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ED2EFB">
      <w:pPr>
        <w:keepNext w:val="0"/>
        <w:keepLines w:val="0"/>
        <w:pageBreakBefore w:val="0"/>
        <w:widowControl w:val="0"/>
        <w:kinsoku/>
        <w:wordWrap/>
        <w:overflowPunct/>
        <w:topLinePunct w:val="0"/>
        <w:autoSpaceDE/>
        <w:autoSpaceDN/>
        <w:bidi w:val="0"/>
        <w:adjustRightInd/>
        <w:snapToGrid/>
        <w:spacing w:line="600" w:lineRule="exact"/>
        <w:ind w:firstLine="5880" w:firstLineChars="2100"/>
        <w:jc w:val="both"/>
        <w:textAlignment w:val="auto"/>
        <w:rPr>
          <w:rFonts w:hint="default" w:ascii="Times New Roman" w:hAnsi="Times New Roman" w:cs="Times New Roman"/>
          <w:color w:val="000000" w:themeColor="text1"/>
          <w:sz w:val="28"/>
          <w:szCs w:val="28"/>
          <w14:textFill>
            <w14:solidFill>
              <w14:schemeClr w14:val="tx1"/>
            </w14:solidFill>
          </w14:textFill>
        </w:rPr>
      </w:pPr>
    </w:p>
    <w:p w14:paraId="1398E63C">
      <w:pPr>
        <w:keepNext w:val="0"/>
        <w:keepLines w:val="0"/>
        <w:pageBreakBefore w:val="0"/>
        <w:widowControl w:val="0"/>
        <w:kinsoku/>
        <w:wordWrap/>
        <w:overflowPunct/>
        <w:topLinePunct w:val="0"/>
        <w:autoSpaceDE/>
        <w:autoSpaceDN/>
        <w:bidi w:val="0"/>
        <w:adjustRightInd/>
        <w:snapToGrid/>
        <w:spacing w:line="600" w:lineRule="exact"/>
        <w:ind w:firstLine="5880" w:firstLineChars="2100"/>
        <w:jc w:val="both"/>
        <w:textAlignment w:val="auto"/>
        <w:rPr>
          <w:rFonts w:hint="default" w:ascii="Times New Roman" w:hAnsi="Times New Roman" w:cs="Times New Roman"/>
          <w:color w:val="000000" w:themeColor="text1"/>
          <w:sz w:val="28"/>
          <w:szCs w:val="28"/>
          <w14:textFill>
            <w14:solidFill>
              <w14:schemeClr w14:val="tx1"/>
            </w14:solidFill>
          </w14:textFill>
        </w:rPr>
      </w:pPr>
    </w:p>
    <w:p w14:paraId="668A4648">
      <w:pPr>
        <w:keepNext w:val="0"/>
        <w:keepLines w:val="0"/>
        <w:pageBreakBefore w:val="0"/>
        <w:widowControl w:val="0"/>
        <w:kinsoku/>
        <w:wordWrap/>
        <w:overflowPunct/>
        <w:topLinePunct w:val="0"/>
        <w:autoSpaceDE/>
        <w:autoSpaceDN/>
        <w:bidi w:val="0"/>
        <w:adjustRightInd/>
        <w:snapToGrid/>
        <w:spacing w:line="600" w:lineRule="exact"/>
        <w:ind w:firstLine="5880" w:firstLineChars="2100"/>
        <w:jc w:val="both"/>
        <w:textAlignment w:val="auto"/>
        <w:rPr>
          <w:rFonts w:hint="default" w:ascii="Times New Roman" w:hAnsi="Times New Roman" w:cs="Times New Roman"/>
          <w:color w:val="000000" w:themeColor="text1"/>
          <w:sz w:val="28"/>
          <w:szCs w:val="28"/>
          <w14:textFill>
            <w14:solidFill>
              <w14:schemeClr w14:val="tx1"/>
            </w14:solidFill>
          </w14:textFill>
        </w:rPr>
      </w:pPr>
    </w:p>
    <w:p w14:paraId="408EB70A">
      <w:pPr>
        <w:keepNext w:val="0"/>
        <w:keepLines w:val="0"/>
        <w:pageBreakBefore w:val="0"/>
        <w:kinsoku/>
        <w:wordWrap/>
        <w:overflowPunct/>
        <w:topLinePunct w:val="0"/>
        <w:autoSpaceDN/>
        <w:bidi w:val="0"/>
        <w:adjustRightInd/>
        <w:snapToGrid/>
        <w:spacing w:line="560" w:lineRule="exact"/>
        <w:ind w:firstLine="5880" w:firstLineChars="2100"/>
        <w:jc w:val="both"/>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岳临环评〔2026〕</w:t>
      </w:r>
      <w:r>
        <w:rPr>
          <w:rFonts w:hint="eastAsia" w:cs="Times New Roman"/>
          <w:color w:val="000000" w:themeColor="text1"/>
          <w:sz w:val="28"/>
          <w:szCs w:val="28"/>
          <w:lang w:val="en-US" w:eastAsia="zh-CN"/>
          <w14:textFill>
            <w14:solidFill>
              <w14:schemeClr w14:val="tx1"/>
            </w14:solidFill>
          </w14:textFill>
        </w:rPr>
        <w:t>11</w:t>
      </w:r>
      <w:r>
        <w:rPr>
          <w:rFonts w:hint="default" w:ascii="Times New Roman" w:hAnsi="Times New Roman" w:cs="Times New Roman"/>
          <w:color w:val="000000" w:themeColor="text1"/>
          <w:sz w:val="28"/>
          <w:szCs w:val="28"/>
          <w14:textFill>
            <w14:solidFill>
              <w14:schemeClr w14:val="tx1"/>
            </w14:solidFill>
          </w14:textFill>
        </w:rPr>
        <w:t>号</w:t>
      </w:r>
    </w:p>
    <w:p w14:paraId="1B911924">
      <w:pPr>
        <w:pStyle w:val="30"/>
        <w:keepNext w:val="0"/>
        <w:keepLines w:val="0"/>
        <w:pageBreakBefore w:val="0"/>
        <w:kinsoku/>
        <w:wordWrap/>
        <w:overflowPunct/>
        <w:topLinePunct w:val="0"/>
        <w:autoSpaceDN/>
        <w:bidi w:val="0"/>
        <w:adjustRightInd/>
        <w:snapToGrid/>
        <w:spacing w:line="560" w:lineRule="exact"/>
        <w:ind w:left="216" w:hanging="216" w:hangingChars="49"/>
        <w:jc w:val="center"/>
        <w:textAlignment w:val="top"/>
        <w:rPr>
          <w:rFonts w:hint="default" w:ascii="Times New Roman" w:hAnsi="Times New Roman" w:cs="Times New Roman"/>
          <w:b/>
          <w:color w:val="000000" w:themeColor="text1"/>
          <w:sz w:val="44"/>
          <w:szCs w:val="44"/>
          <w14:textFill>
            <w14:solidFill>
              <w14:schemeClr w14:val="tx1"/>
            </w14:solidFill>
          </w14:textFill>
        </w:rPr>
      </w:pPr>
      <w:bookmarkStart w:id="1" w:name="_GoBack"/>
      <w:bookmarkStart w:id="0" w:name="_Hlk504140001"/>
      <w:r>
        <w:rPr>
          <w:rFonts w:hint="default" w:ascii="Times New Roman" w:hAnsi="Times New Roman" w:cs="Times New Roman"/>
          <w:b/>
          <w:color w:val="000000" w:themeColor="text1"/>
          <w:sz w:val="44"/>
          <w:szCs w:val="44"/>
          <w14:textFill>
            <w14:solidFill>
              <w14:schemeClr w14:val="tx1"/>
            </w14:solidFill>
          </w14:textFill>
        </w:rPr>
        <w:t>关于1万吨/年油茶果加工生产线设备更新改造项目</w:t>
      </w:r>
      <w:r>
        <w:rPr>
          <w:rFonts w:hint="default" w:ascii="Times New Roman" w:hAnsi="Times New Roman" w:cs="Times New Roman"/>
          <w:b/>
          <w:color w:val="000000" w:themeColor="text1"/>
          <w:sz w:val="44"/>
          <w:szCs w:val="44"/>
          <w:lang w:val="en-US" w:eastAsia="zh-CN"/>
          <w14:textFill>
            <w14:solidFill>
              <w14:schemeClr w14:val="tx1"/>
            </w14:solidFill>
          </w14:textFill>
        </w:rPr>
        <w:t>生态</w:t>
      </w:r>
      <w:r>
        <w:rPr>
          <w:rFonts w:hint="default" w:ascii="Times New Roman" w:hAnsi="Times New Roman" w:cs="Times New Roman"/>
          <w:b/>
          <w:color w:val="000000" w:themeColor="text1"/>
          <w:sz w:val="44"/>
          <w:szCs w:val="44"/>
          <w14:textFill>
            <w14:solidFill>
              <w14:schemeClr w14:val="tx1"/>
            </w14:solidFill>
          </w14:textFill>
        </w:rPr>
        <w:t>环境影响报告表的批复</w:t>
      </w:r>
      <w:bookmarkEnd w:id="1"/>
    </w:p>
    <w:bookmarkEnd w:id="0"/>
    <w:p w14:paraId="3518F21B">
      <w:pPr>
        <w:pStyle w:val="30"/>
        <w:keepNext w:val="0"/>
        <w:keepLines w:val="0"/>
        <w:pageBreakBefore w:val="0"/>
        <w:kinsoku/>
        <w:wordWrap/>
        <w:overflowPunct/>
        <w:topLinePunct w:val="0"/>
        <w:autoSpaceDN/>
        <w:bidi w:val="0"/>
        <w:adjustRightInd/>
        <w:snapToGrid/>
        <w:spacing w:line="560" w:lineRule="exact"/>
        <w:jc w:val="both"/>
        <w:textAlignment w:val="top"/>
        <w:rPr>
          <w:rFonts w:hint="default" w:ascii="Times New Roman" w:hAnsi="Times New Roman" w:eastAsia="仿宋" w:cs="Times New Roman"/>
          <w:color w:val="000000" w:themeColor="text1"/>
          <w:sz w:val="24"/>
          <w:szCs w:val="24"/>
          <w14:textFill>
            <w14:solidFill>
              <w14:schemeClr w14:val="tx1"/>
            </w14:solidFill>
          </w14:textFill>
        </w:rPr>
      </w:pPr>
    </w:p>
    <w:p w14:paraId="1762A531">
      <w:pPr>
        <w:pStyle w:val="30"/>
        <w:keepNext w:val="0"/>
        <w:keepLines w:val="0"/>
        <w:pageBreakBefore w:val="0"/>
        <w:kinsoku/>
        <w:wordWrap/>
        <w:overflowPunct/>
        <w:topLinePunct w:val="0"/>
        <w:autoSpaceDN/>
        <w:bidi w:val="0"/>
        <w:adjustRightInd/>
        <w:snapToGrid/>
        <w:spacing w:line="560" w:lineRule="exact"/>
        <w:jc w:val="both"/>
        <w:textAlignment w:val="top"/>
        <w:rPr>
          <w:rFonts w:hint="default" w:ascii="Times New Roman" w:hAnsi="Times New Roman" w:eastAsia="仿宋" w:cs="Times New Roman"/>
          <w:color w:val="000000" w:themeColor="text1"/>
          <w:kern w:val="2"/>
          <w:sz w:val="32"/>
          <w:szCs w:val="32"/>
          <w14:textFill>
            <w14:solidFill>
              <w14:schemeClr w14:val="tx1"/>
            </w14:solidFill>
          </w14:textFill>
        </w:rPr>
      </w:pPr>
      <w:r>
        <w:rPr>
          <w:rFonts w:hint="default" w:ascii="Times New Roman" w:hAnsi="Times New Roman" w:eastAsia="仿宋" w:cs="Times New Roman"/>
          <w:color w:val="000000" w:themeColor="text1"/>
          <w:kern w:val="2"/>
          <w:sz w:val="32"/>
          <w:szCs w:val="32"/>
          <w14:textFill>
            <w14:solidFill>
              <w14:schemeClr w14:val="tx1"/>
            </w14:solidFill>
          </w14:textFill>
        </w:rPr>
        <w:t>湖南九丰农业发展有限公司：</w:t>
      </w:r>
    </w:p>
    <w:p w14:paraId="0E10D8C4">
      <w:pPr>
        <w:pStyle w:val="39"/>
        <w:keepNext w:val="0"/>
        <w:keepLines w:val="0"/>
        <w:pageBreakBefore w:val="0"/>
        <w:kinsoku/>
        <w:wordWrap/>
        <w:overflowPunct/>
        <w:topLinePunct w:val="0"/>
        <w:autoSpaceDN/>
        <w:bidi w:val="0"/>
        <w:adjustRightInd/>
        <w:snapToGrid/>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你公司报送的《1万吨/年油茶果加工生产线设备更新改造项目生态环境影响报告表》（报批稿）（以下简称《报告表》）、申请批复的报告等相关材料收悉。经研究，现批复如下：</w:t>
      </w:r>
    </w:p>
    <w:p w14:paraId="637DF77A">
      <w:pPr>
        <w:keepNext w:val="0"/>
        <w:keepLines w:val="0"/>
        <w:pageBreakBefore w:val="0"/>
        <w:numPr>
          <w:ilvl w:val="0"/>
          <w:numId w:val="1"/>
        </w:numPr>
        <w:kinsoku/>
        <w:wordWrap/>
        <w:overflowPunct/>
        <w:topLinePunct w:val="0"/>
        <w:autoSpaceDN/>
        <w:bidi w:val="0"/>
        <w:adjustRightInd/>
        <w:snapToGrid/>
        <w:spacing w:line="560" w:lineRule="exact"/>
        <w:ind w:firstLine="640"/>
        <w:jc w:val="both"/>
        <w:rPr>
          <w:rFonts w:hint="default" w:ascii="Times New Roman" w:hAnsi="Times New Roman" w:eastAsia="仿宋" w:cs="Times New Roman"/>
          <w:color w:val="000000" w:themeColor="text1"/>
          <w:kern w:val="2"/>
          <w:sz w:val="32"/>
          <w:szCs w:val="32"/>
          <w14:textFill>
            <w14:solidFill>
              <w14:schemeClr w14:val="tx1"/>
            </w14:solidFill>
          </w14:textFill>
        </w:rPr>
      </w:pPr>
      <w:r>
        <w:rPr>
          <w:rFonts w:hint="default" w:ascii="Times New Roman" w:hAnsi="Times New Roman" w:eastAsia="仿宋" w:cs="Times New Roman"/>
          <w:color w:val="000000" w:themeColor="text1"/>
          <w:kern w:val="2"/>
          <w:sz w:val="32"/>
          <w:szCs w:val="32"/>
          <w14:textFill>
            <w14:solidFill>
              <w14:schemeClr w14:val="tx1"/>
            </w14:solidFill>
          </w14:textFill>
        </w:rPr>
        <w:t>根据</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岳阳凯丰环保</w:t>
      </w:r>
      <w:r>
        <w:rPr>
          <w:rFonts w:hint="default" w:ascii="Times New Roman" w:hAnsi="Times New Roman" w:eastAsia="仿宋" w:cs="Times New Roman"/>
          <w:color w:val="000000" w:themeColor="text1"/>
          <w:kern w:val="2"/>
          <w:sz w:val="32"/>
          <w:szCs w:val="32"/>
          <w14:textFill>
            <w14:solidFill>
              <w14:schemeClr w14:val="tx1"/>
            </w14:solidFill>
          </w14:textFill>
        </w:rPr>
        <w:t>有限公司编制的《报告表》基本内容、结论、专家审查意见及岳阳市临湘生态环境事务中心出具的</w:t>
      </w:r>
      <w:r>
        <w:rPr>
          <w:rFonts w:hint="default" w:ascii="Times New Roman" w:hAnsi="Times New Roman" w:eastAsia="仿宋" w:cs="Times New Roman"/>
          <w:color w:val="000000" w:themeColor="text1"/>
          <w:kern w:val="2"/>
          <w:sz w:val="32"/>
          <w:szCs w:val="32"/>
          <w:lang w:eastAsia="zh-CN"/>
          <w14:textFill>
            <w14:solidFill>
              <w14:schemeClr w14:val="tx1"/>
            </w14:solidFill>
          </w14:textFill>
        </w:rPr>
        <w:t>《关于〈1万吨/年油茶果加工生产线设备更新改造项目生态</w:t>
      </w:r>
      <w:r>
        <w:rPr>
          <w:rFonts w:hint="default" w:ascii="Times New Roman" w:hAnsi="Times New Roman" w:eastAsia="仿宋" w:cs="Times New Roman"/>
          <w:color w:val="000000" w:themeColor="text1"/>
          <w:kern w:val="2"/>
          <w:sz w:val="32"/>
          <w:szCs w:val="32"/>
          <w14:textFill>
            <w14:solidFill>
              <w14:schemeClr w14:val="tx1"/>
            </w14:solidFill>
          </w14:textFill>
        </w:rPr>
        <w:t>环境影响报告表</w:t>
      </w:r>
      <w:r>
        <w:rPr>
          <w:rFonts w:hint="default" w:ascii="Times New Roman" w:hAnsi="Times New Roman" w:eastAsia="仿宋" w:cs="Times New Roman"/>
          <w:color w:val="000000" w:themeColor="text1"/>
          <w:kern w:val="2"/>
          <w:sz w:val="32"/>
          <w:szCs w:val="32"/>
          <w:lang w:eastAsia="zh-CN"/>
          <w14:textFill>
            <w14:solidFill>
              <w14:schemeClr w14:val="tx1"/>
            </w14:solidFill>
          </w14:textFill>
        </w:rPr>
        <w:t>〉</w:t>
      </w:r>
      <w:r>
        <w:rPr>
          <w:rFonts w:hint="default" w:ascii="Times New Roman" w:hAnsi="Times New Roman" w:eastAsia="仿宋" w:cs="Times New Roman"/>
          <w:color w:val="000000" w:themeColor="text1"/>
          <w:kern w:val="2"/>
          <w:sz w:val="32"/>
          <w:szCs w:val="32"/>
          <w14:textFill>
            <w14:solidFill>
              <w14:schemeClr w14:val="tx1"/>
            </w14:solidFill>
          </w14:textFill>
        </w:rPr>
        <w:t>技术评估</w:t>
      </w:r>
      <w:r>
        <w:rPr>
          <w:rFonts w:hint="default" w:ascii="Times New Roman" w:hAnsi="Times New Roman" w:eastAsia="仿宋" w:cs="Times New Roman"/>
          <w:color w:val="000000" w:themeColor="text1"/>
          <w:kern w:val="2"/>
          <w:sz w:val="32"/>
          <w:szCs w:val="32"/>
          <w:lang w:eastAsia="zh-CN"/>
          <w14:textFill>
            <w14:solidFill>
              <w14:schemeClr w14:val="tx1"/>
            </w14:solidFill>
          </w14:textFill>
        </w:rPr>
        <w:t>意见的</w:t>
      </w:r>
      <w:r>
        <w:rPr>
          <w:rFonts w:hint="default" w:ascii="Times New Roman" w:hAnsi="Times New Roman" w:eastAsia="仿宋" w:cs="Times New Roman"/>
          <w:color w:val="000000" w:themeColor="text1"/>
          <w:kern w:val="2"/>
          <w:sz w:val="32"/>
          <w:szCs w:val="32"/>
          <w14:textFill>
            <w14:solidFill>
              <w14:schemeClr w14:val="tx1"/>
            </w14:solidFill>
          </w14:textFill>
        </w:rPr>
        <w:t>报告</w:t>
      </w:r>
      <w:r>
        <w:rPr>
          <w:rFonts w:hint="default" w:ascii="Times New Roman" w:hAnsi="Times New Roman" w:eastAsia="仿宋" w:cs="Times New Roman"/>
          <w:color w:val="000000" w:themeColor="text1"/>
          <w:kern w:val="2"/>
          <w:sz w:val="32"/>
          <w:szCs w:val="32"/>
          <w:lang w:eastAsia="zh-CN"/>
          <w14:textFill>
            <w14:solidFill>
              <w14:schemeClr w14:val="tx1"/>
            </w14:solidFill>
          </w14:textFill>
        </w:rPr>
        <w:t>》</w:t>
      </w:r>
      <w:r>
        <w:rPr>
          <w:rFonts w:hint="default" w:ascii="Times New Roman" w:hAnsi="Times New Roman" w:eastAsia="仿宋" w:cs="Times New Roman"/>
          <w:color w:val="000000" w:themeColor="text1"/>
          <w:kern w:val="2"/>
          <w:sz w:val="32"/>
          <w:szCs w:val="32"/>
          <w14:textFill>
            <w14:solidFill>
              <w14:schemeClr w14:val="tx1"/>
            </w14:solidFill>
          </w14:textFill>
        </w:rPr>
        <w:t>（</w:t>
      </w:r>
      <w:r>
        <w:rPr>
          <w:rFonts w:hint="default" w:ascii="Times New Roman" w:hAnsi="Times New Roman" w:eastAsia="仿宋" w:cs="Times New Roman"/>
          <w:color w:val="000000" w:themeColor="text1"/>
          <w:sz w:val="32"/>
          <w:szCs w:val="32"/>
          <w14:textFill>
            <w14:solidFill>
              <w14:schemeClr w14:val="tx1"/>
            </w14:solidFill>
          </w14:textFill>
        </w:rPr>
        <w:t>临环事评估</w:t>
      </w:r>
      <w:r>
        <w:rPr>
          <w:rFonts w:hint="default" w:ascii="Times New Roman" w:hAnsi="Times New Roman" w:eastAsia="仿宋" w:cs="Times New Roman"/>
          <w:color w:val="000000" w:themeColor="text1"/>
          <w:kern w:val="2"/>
          <w:sz w:val="32"/>
          <w:szCs w:val="32"/>
          <w14:textFill>
            <w14:solidFill>
              <w14:schemeClr w14:val="tx1"/>
            </w14:solidFill>
          </w14:textFill>
        </w:rPr>
        <w:t>〔202</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6</w:t>
      </w:r>
      <w:r>
        <w:rPr>
          <w:rFonts w:hint="default" w:ascii="Times New Roman" w:hAnsi="Times New Roman" w:eastAsia="仿宋" w:cs="Times New Roman"/>
          <w:color w:val="000000" w:themeColor="text1"/>
          <w:kern w:val="2"/>
          <w:sz w:val="32"/>
          <w:szCs w:val="32"/>
          <w14:textFill>
            <w14:solidFill>
              <w14:schemeClr w14:val="tx1"/>
            </w14:solidFill>
          </w14:textFill>
        </w:rPr>
        <w:t>〕</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7</w:t>
      </w:r>
      <w:r>
        <w:rPr>
          <w:rFonts w:hint="default" w:ascii="Times New Roman" w:hAnsi="Times New Roman" w:eastAsia="仿宋" w:cs="Times New Roman"/>
          <w:color w:val="000000" w:themeColor="text1"/>
          <w:kern w:val="2"/>
          <w:sz w:val="32"/>
          <w:szCs w:val="32"/>
          <w14:textFill>
            <w14:solidFill>
              <w14:schemeClr w14:val="tx1"/>
            </w14:solidFill>
          </w14:textFill>
        </w:rPr>
        <w:t>号），从</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生态</w:t>
      </w:r>
      <w:r>
        <w:rPr>
          <w:rFonts w:hint="default" w:ascii="Times New Roman" w:hAnsi="Times New Roman" w:eastAsia="仿宋" w:cs="Times New Roman"/>
          <w:color w:val="000000" w:themeColor="text1"/>
          <w:kern w:val="2"/>
          <w:sz w:val="32"/>
          <w:szCs w:val="32"/>
          <w14:textFill>
            <w14:solidFill>
              <w14:schemeClr w14:val="tx1"/>
            </w14:solidFill>
          </w14:textFill>
        </w:rPr>
        <w:t>环境保护角度考虑，我局原则同意你公司提交的《报告表》所列性质、地点、规模、工艺和</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生态</w:t>
      </w:r>
      <w:r>
        <w:rPr>
          <w:rFonts w:hint="default" w:ascii="Times New Roman" w:hAnsi="Times New Roman" w:eastAsia="仿宋" w:cs="Times New Roman"/>
          <w:color w:val="000000" w:themeColor="text1"/>
          <w:kern w:val="2"/>
          <w:sz w:val="32"/>
          <w:szCs w:val="32"/>
          <w14:textFill>
            <w14:solidFill>
              <w14:schemeClr w14:val="tx1"/>
            </w14:solidFill>
          </w14:textFill>
        </w:rPr>
        <w:t>环境保护对策措施。</w:t>
      </w:r>
    </w:p>
    <w:p w14:paraId="09007242">
      <w:pPr>
        <w:pStyle w:val="5"/>
        <w:keepNext w:val="0"/>
        <w:keepLines w:val="0"/>
        <w:pageBreakBefore w:val="0"/>
        <w:kinsoku/>
        <w:wordWrap/>
        <w:overflowPunct/>
        <w:topLinePunct w:val="0"/>
        <w:autoSpaceDN/>
        <w:bidi w:val="0"/>
        <w:adjustRightInd/>
        <w:snapToGrid/>
        <w:spacing w:line="560" w:lineRule="exact"/>
        <w:rPr>
          <w:rFonts w:hint="default" w:ascii="Times New Roman" w:hAnsi="Times New Roman" w:eastAsia="仿宋" w:cs="Times New Roman"/>
          <w:color w:val="000000" w:themeColor="text1"/>
          <w:kern w:val="2"/>
          <w:sz w:val="32"/>
          <w:szCs w:val="32"/>
          <w:lang w:eastAsia="zh-CN"/>
          <w14:textFill>
            <w14:solidFill>
              <w14:schemeClr w14:val="tx1"/>
            </w14:solidFill>
          </w14:textFill>
        </w:rPr>
        <w:sectPr>
          <w:headerReference r:id="rId5" w:type="default"/>
          <w:footerReference r:id="rId6" w:type="default"/>
          <w:pgSz w:w="11906" w:h="16838"/>
          <w:pgMar w:top="1440" w:right="1588" w:bottom="1440" w:left="1588" w:header="851" w:footer="850" w:gutter="0"/>
          <w:pgNumType w:start="2"/>
          <w:cols w:space="720" w:num="1"/>
          <w:docGrid w:type="lines" w:linePitch="273" w:charSpace="0"/>
        </w:sectPr>
      </w:pPr>
      <w:r>
        <w:rPr>
          <w:rFonts w:hint="default" w:ascii="Times New Roman" w:hAnsi="Times New Roman" w:eastAsia="仿宋" w:cs="Times New Roman"/>
          <w:color w:val="000000" w:themeColor="text1"/>
          <w:kern w:val="2"/>
          <w:sz w:val="32"/>
          <w:szCs w:val="32"/>
          <w:lang w:val="en-US" w:eastAsia="zh-CN" w:bidi="ar-SA"/>
          <w14:textFill>
            <w14:solidFill>
              <w14:schemeClr w14:val="tx1"/>
            </w14:solidFill>
          </w14:textFill>
        </w:rPr>
        <w:t>为响应</w:t>
      </w:r>
      <w:r>
        <w:rPr>
          <w:rFonts w:hint="default" w:ascii="Times New Roman" w:hAnsi="Times New Roman" w:eastAsia="仿宋_GB2312" w:cs="Times New Roman"/>
          <w:b w:val="0"/>
          <w:bCs w:val="0"/>
          <w:color w:val="000000"/>
          <w:sz w:val="32"/>
          <w:szCs w:val="32"/>
          <w:u w:val="none" w:color="auto"/>
          <w:lang w:val="en-US" w:eastAsia="zh-CN"/>
        </w:rPr>
        <w:t>岳阳市发展和改革委员会、岳阳市市场监督管理局、岳阳市生态环境局、岳阳市工业和信息化局于2025年7月7日联合发布的《关于开展全市每小时2蒸吨及以下生物质锅炉淘汰工作的通知》（岳发改资环</w:t>
      </w:r>
      <w:r>
        <w:rPr>
          <w:rFonts w:hint="eastAsia" w:ascii="Times New Roman" w:hAnsi="Times New Roman" w:eastAsia="仿宋_GB2312" w:cs="Times New Roman"/>
          <w:b w:val="0"/>
          <w:bCs w:val="0"/>
          <w:color w:val="000000"/>
          <w:sz w:val="32"/>
          <w:szCs w:val="32"/>
          <w:u w:val="none" w:color="auto"/>
          <w:lang w:val="en-US" w:eastAsia="zh-CN"/>
        </w:rPr>
        <w:t>〔2025〕230号）</w:t>
      </w:r>
      <w:r>
        <w:rPr>
          <w:rFonts w:hint="default" w:ascii="Times New Roman" w:hAnsi="Times New Roman" w:eastAsia="仿宋_GB2312" w:cs="Times New Roman"/>
          <w:b w:val="0"/>
          <w:bCs w:val="0"/>
          <w:color w:val="000000"/>
          <w:sz w:val="32"/>
          <w:szCs w:val="32"/>
          <w:u w:val="none" w:color="auto"/>
          <w:lang w:val="en-US" w:eastAsia="zh-CN"/>
        </w:rPr>
        <w:t>文件精神</w:t>
      </w:r>
      <w:r>
        <w:rPr>
          <w:rFonts w:hint="default" w:ascii="Times New Roman" w:hAnsi="Times New Roman" w:eastAsia="仿宋" w:cs="Times New Roman"/>
          <w:color w:val="000000" w:themeColor="text1"/>
          <w:kern w:val="2"/>
          <w:sz w:val="32"/>
          <w:szCs w:val="32"/>
          <w:lang w:val="en-US" w:eastAsia="zh-CN" w:bidi="ar-SA"/>
          <w14:textFill>
            <w14:solidFill>
              <w14:schemeClr w14:val="tx1"/>
            </w14:solidFill>
          </w14:textFill>
        </w:rPr>
        <w:t>，你公司拟投资800万元（其中环保投资约29万元）在临湘市白羊田镇万利村汤港片横山岭（现有厂区内，不新增用地）建设</w:t>
      </w:r>
      <w:r>
        <w:rPr>
          <w:rFonts w:hint="default" w:ascii="Times New Roman" w:hAnsi="Times New Roman" w:eastAsia="仿宋" w:cs="Times New Roman"/>
          <w:color w:val="000000" w:themeColor="text1"/>
          <w:kern w:val="2"/>
          <w:sz w:val="32"/>
          <w:szCs w:val="32"/>
          <w:lang w:eastAsia="zh-CN"/>
          <w14:textFill>
            <w14:solidFill>
              <w14:schemeClr w14:val="tx1"/>
            </w14:solidFill>
          </w14:textFill>
        </w:rPr>
        <w:t>1万</w:t>
      </w:r>
    </w:p>
    <w:p w14:paraId="266A6B4B">
      <w:pPr>
        <w:pStyle w:val="5"/>
        <w:keepNext w:val="0"/>
        <w:keepLines w:val="0"/>
        <w:pageBreakBefore w:val="0"/>
        <w:kinsoku/>
        <w:wordWrap/>
        <w:overflowPunct/>
        <w:topLinePunct w:val="0"/>
        <w:autoSpaceDN/>
        <w:bidi w:val="0"/>
        <w:adjustRightInd/>
        <w:snapToGrid/>
        <w:spacing w:line="560" w:lineRule="exact"/>
        <w:ind w:left="0" w:leftChars="0" w:firstLine="0" w:firstLineChars="0"/>
        <w:rPr>
          <w:rFonts w:hint="default" w:ascii="Times New Roman" w:hAnsi="Times New Roman" w:eastAsia="仿宋" w:cs="Times New Roman"/>
          <w:color w:val="000000" w:themeColor="text1"/>
          <w:kern w:val="2"/>
          <w:sz w:val="32"/>
          <w:szCs w:val="32"/>
          <w14:textFill>
            <w14:solidFill>
              <w14:schemeClr w14:val="tx1"/>
            </w14:solidFill>
          </w14:textFill>
        </w:rPr>
      </w:pPr>
      <w:r>
        <w:rPr>
          <w:rFonts w:hint="default" w:ascii="Times New Roman" w:hAnsi="Times New Roman" w:eastAsia="仿宋" w:cs="Times New Roman"/>
          <w:color w:val="000000" w:themeColor="text1"/>
          <w:kern w:val="2"/>
          <w:sz w:val="32"/>
          <w:szCs w:val="32"/>
          <w:lang w:eastAsia="zh-CN"/>
          <w14:textFill>
            <w14:solidFill>
              <w14:schemeClr w14:val="tx1"/>
            </w14:solidFill>
          </w14:textFill>
        </w:rPr>
        <w:t>吨/年油茶果加工生产线设备更新改造项目。</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主要建设内容：</w:t>
      </w:r>
      <w:r>
        <w:rPr>
          <w:rFonts w:hint="default" w:ascii="Times New Roman" w:hAnsi="Times New Roman" w:eastAsia="仿宋" w:cs="Times New Roman"/>
          <w:color w:val="000000" w:themeColor="text1"/>
          <w:kern w:val="2"/>
          <w:sz w:val="32"/>
          <w:szCs w:val="32"/>
          <w:lang w:val="en-US" w:eastAsia="zh-CN" w:bidi="ar-SA"/>
          <w14:textFill>
            <w14:solidFill>
              <w14:schemeClr w14:val="tx1"/>
            </w14:solidFill>
          </w14:textFill>
        </w:rPr>
        <w:t>淘汰一台2t/h生物质蒸汽锅炉和1台0.33t/h导热油炉及配套的布袋除尘器和30m高排气筒，新建1台228万kcal</w:t>
      </w: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w:t>
      </w:r>
      <w:r>
        <w:rPr>
          <w:rFonts w:hint="default" w:ascii="Times New Roman" w:hAnsi="Times New Roman" w:eastAsia="仿宋" w:cs="Times New Roman"/>
          <w:color w:val="000000" w:themeColor="text1"/>
          <w:kern w:val="2"/>
          <w:sz w:val="32"/>
          <w:szCs w:val="32"/>
          <w:lang w:val="en-US" w:eastAsia="zh-CN" w:bidi="ar-SA"/>
          <w14:textFill>
            <w14:solidFill>
              <w14:schemeClr w14:val="tx1"/>
            </w14:solidFill>
          </w14:textFill>
        </w:rPr>
        <w:t>3.8t/h</w:t>
      </w:r>
      <w:r>
        <w:rPr>
          <w:rFonts w:hint="eastAsia" w:ascii="Times New Roman" w:hAnsi="Times New Roman" w:eastAsia="仿宋" w:cs="Times New Roman"/>
          <w:color w:val="000000" w:themeColor="text1"/>
          <w:kern w:val="2"/>
          <w:sz w:val="32"/>
          <w:szCs w:val="32"/>
          <w:lang w:val="en-US" w:eastAsia="zh-CN" w:bidi="ar-SA"/>
          <w14:textFill>
            <w14:solidFill>
              <w14:schemeClr w14:val="tx1"/>
            </w14:solidFill>
          </w14:textFill>
        </w:rPr>
        <w:t>）</w:t>
      </w:r>
      <w:r>
        <w:rPr>
          <w:rFonts w:hint="default" w:ascii="Times New Roman" w:hAnsi="Times New Roman" w:eastAsia="仿宋" w:cs="Times New Roman"/>
          <w:color w:val="000000" w:themeColor="text1"/>
          <w:kern w:val="2"/>
          <w:sz w:val="32"/>
          <w:szCs w:val="32"/>
          <w:lang w:val="en-US" w:eastAsia="zh-CN" w:bidi="ar-SA"/>
          <w14:textFill>
            <w14:solidFill>
              <w14:schemeClr w14:val="tx1"/>
            </w14:solidFill>
          </w14:textFill>
        </w:rPr>
        <w:t>生物质热风炉并配套建设“多管旋风+布袋除尘”及18m高排气筒；同时将茶油果生产线的烘干设备进行更新替换，将原烘干线配套的旋风除尘器淘汰拆除，新建布袋除尘器及15m高排气筒</w:t>
      </w:r>
      <w:r>
        <w:rPr>
          <w:rFonts w:hint="default" w:ascii="Times New Roman" w:hAnsi="Times New Roman" w:eastAsia="宋体" w:cs="Times New Roman"/>
          <w:color w:val="000000" w:themeColor="text1"/>
          <w:u w:val="none"/>
          <w:lang w:val="en-US" w:eastAsia="zh-CN"/>
          <w14:textFill>
            <w14:solidFill>
              <w14:schemeClr w14:val="tx1"/>
            </w14:solidFill>
          </w14:textFill>
        </w:rPr>
        <w:t>。</w:t>
      </w:r>
      <w:r>
        <w:rPr>
          <w:rFonts w:hint="default" w:ascii="Times New Roman" w:hAnsi="Times New Roman" w:eastAsia="仿宋" w:cs="Times New Roman"/>
          <w:color w:val="000000" w:themeColor="text1"/>
          <w:kern w:val="2"/>
          <w:sz w:val="32"/>
          <w:szCs w:val="32"/>
          <w:lang w:val="en-US" w:eastAsia="zh-CN" w:bidi="ar-SA"/>
          <w14:textFill>
            <w14:solidFill>
              <w14:schemeClr w14:val="tx1"/>
            </w14:solidFill>
          </w14:textFill>
        </w:rPr>
        <w:t>茶油果烘干车间生产时间由原来120天变为50天，技改完成后茶油果生产线产能不变，仍为年加工1万吨茶油果。对现有一般固废暂存间和危废暂存间按照相关标准规范进行改造；食堂、办公、给排水、供配电等公辅配套设施均依托厂区现有配套设施。</w:t>
      </w:r>
    </w:p>
    <w:p w14:paraId="01F3CD3B">
      <w:pPr>
        <w:keepNext w:val="0"/>
        <w:keepLines w:val="0"/>
        <w:pageBreakBefore w:val="0"/>
        <w:numPr>
          <w:ilvl w:val="0"/>
          <w:numId w:val="1"/>
        </w:numPr>
        <w:kinsoku/>
        <w:wordWrap/>
        <w:overflowPunct/>
        <w:topLinePunct w:val="0"/>
        <w:autoSpaceDN/>
        <w:bidi w:val="0"/>
        <w:adjustRightInd/>
        <w:snapToGrid/>
        <w:spacing w:line="560" w:lineRule="exact"/>
        <w:ind w:firstLine="640"/>
        <w:jc w:val="both"/>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pPr>
      <w:r>
        <w:rPr>
          <w:rFonts w:hint="default" w:ascii="Times New Roman" w:hAnsi="Times New Roman" w:eastAsia="仿宋" w:cs="Times New Roman"/>
          <w:color w:val="000000" w:themeColor="text1"/>
          <w:kern w:val="2"/>
          <w:sz w:val="32"/>
          <w:szCs w:val="32"/>
          <w:lang w:eastAsia="zh-CN"/>
          <w14:textFill>
            <w14:solidFill>
              <w14:schemeClr w14:val="tx1"/>
            </w14:solidFill>
          </w14:textFill>
        </w:rPr>
        <w:t>项目在建设和运营中，须全面落实《报告表》提出的各项污染防治、风险防范措施，严格执行环保“三同时”制度，确保外排污染物稳定达标排放，</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生态</w:t>
      </w:r>
      <w:r>
        <w:rPr>
          <w:rFonts w:hint="default" w:ascii="Times New Roman" w:hAnsi="Times New Roman" w:eastAsia="仿宋" w:cs="Times New Roman"/>
          <w:color w:val="000000" w:themeColor="text1"/>
          <w:kern w:val="2"/>
          <w:sz w:val="32"/>
          <w:szCs w:val="32"/>
          <w:lang w:eastAsia="zh-CN"/>
          <w14:textFill>
            <w14:solidFill>
              <w14:schemeClr w14:val="tx1"/>
            </w14:solidFill>
          </w14:textFill>
        </w:rPr>
        <w:t>环境风险可控，并着重做好以下几方面的工作：</w:t>
      </w:r>
    </w:p>
    <w:p w14:paraId="021780BB">
      <w:pPr>
        <w:pStyle w:val="5"/>
        <w:keepNext w:val="0"/>
        <w:keepLines w:val="0"/>
        <w:pageBreakBefore w:val="0"/>
        <w:kinsoku/>
        <w:wordWrap/>
        <w:overflowPunct/>
        <w:topLinePunct w:val="0"/>
        <w:autoSpaceDN/>
        <w:bidi w:val="0"/>
        <w:adjustRightInd/>
        <w:snapToGrid/>
        <w:spacing w:line="560" w:lineRule="exact"/>
        <w:jc w:val="left"/>
        <w:rPr>
          <w:rFonts w:hint="default" w:ascii="Times New Roman" w:hAnsi="Times New Roman" w:eastAsia="仿宋" w:cs="Times New Roman"/>
          <w:b w:val="0"/>
          <w:bCs w:val="0"/>
          <w:color w:val="000000" w:themeColor="text1"/>
          <w:spacing w:val="0"/>
          <w:kern w:val="2"/>
          <w:sz w:val="32"/>
          <w:szCs w:val="32"/>
          <w:lang w:val="en-US" w:eastAsia="zh-CN" w:bidi="ar-SA"/>
          <w14:textFill>
            <w14:solidFill>
              <w14:schemeClr w14:val="tx1"/>
            </w14:solidFill>
          </w14:textFill>
        </w:rPr>
      </w:pPr>
      <w:r>
        <w:rPr>
          <w:rFonts w:hint="default" w:ascii="Times New Roman" w:hAnsi="Times New Roman" w:eastAsia="仿宋" w:cs="Times New Roman"/>
          <w:b/>
          <w:bCs/>
          <w:color w:val="000000" w:themeColor="text1"/>
          <w:spacing w:val="0"/>
          <w:kern w:val="2"/>
          <w:sz w:val="32"/>
          <w:szCs w:val="32"/>
          <w:lang w:val="en-US" w:eastAsia="zh-CN" w:bidi="ar-SA"/>
          <w14:textFill>
            <w14:solidFill>
              <w14:schemeClr w14:val="tx1"/>
            </w14:solidFill>
          </w14:textFill>
        </w:rPr>
        <w:t>（一）</w:t>
      </w:r>
      <w:r>
        <w:rPr>
          <w:rFonts w:hint="default" w:ascii="Times New Roman" w:hAnsi="Times New Roman" w:eastAsia="仿宋" w:cs="Times New Roman"/>
          <w:b/>
          <w:bCs/>
          <w:color w:val="000000" w:themeColor="text1"/>
          <w:sz w:val="32"/>
          <w:szCs w:val="32"/>
          <w:highlight w:val="none"/>
          <w:u w:val="none" w:color="auto"/>
          <w:lang w:val="en-US" w:eastAsia="zh-CN"/>
          <w14:textFill>
            <w14:solidFill>
              <w14:schemeClr w14:val="tx1"/>
            </w14:solidFill>
          </w14:textFill>
        </w:rPr>
        <w:t>落</w:t>
      </w:r>
      <w:r>
        <w:rPr>
          <w:rFonts w:hint="default" w:ascii="Times New Roman" w:hAnsi="Times New Roman" w:eastAsia="仿宋" w:cs="Times New Roman"/>
          <w:b/>
          <w:bCs/>
          <w:color w:val="000000" w:themeColor="text1"/>
          <w:spacing w:val="0"/>
          <w:kern w:val="2"/>
          <w:sz w:val="32"/>
          <w:szCs w:val="32"/>
          <w:lang w:val="en-US" w:eastAsia="zh-CN" w:bidi="ar-SA"/>
          <w14:textFill>
            <w14:solidFill>
              <w14:schemeClr w14:val="tx1"/>
            </w14:solidFill>
          </w14:textFill>
        </w:rPr>
        <w:t>实施工期各项污染防治和生态保护措施。</w:t>
      </w:r>
      <w:r>
        <w:rPr>
          <w:rFonts w:hint="default" w:ascii="Times New Roman" w:hAnsi="Times New Roman" w:eastAsia="仿宋" w:cs="Times New Roman"/>
          <w:b w:val="0"/>
          <w:bCs w:val="0"/>
          <w:color w:val="000000" w:themeColor="text1"/>
          <w:spacing w:val="0"/>
          <w:kern w:val="2"/>
          <w:sz w:val="32"/>
          <w:szCs w:val="32"/>
          <w:lang w:val="en-US" w:eastAsia="zh-CN" w:bidi="ar-SA"/>
          <w14:textFill>
            <w14:solidFill>
              <w14:schemeClr w14:val="tx1"/>
            </w14:solidFill>
          </w14:textFill>
        </w:rPr>
        <w:t>采用先进的施工设备；合理安排作业时间、施工方式，减少设备安装等过程中产生的噪声影响；落实扬尘防治要求；加强对车辆运输管理；及时洒水降尘；妥善收集处理施工过</w:t>
      </w:r>
      <w:r>
        <w:rPr>
          <w:rFonts w:hint="eastAsia" w:ascii="Times New Roman" w:hAnsi="Times New Roman" w:eastAsia="仿宋" w:cs="Times New Roman"/>
          <w:b w:val="0"/>
          <w:bCs w:val="0"/>
          <w:color w:val="000000" w:themeColor="text1"/>
          <w:spacing w:val="0"/>
          <w:kern w:val="2"/>
          <w:sz w:val="32"/>
          <w:szCs w:val="32"/>
          <w:lang w:val="en-US" w:eastAsia="zh-CN" w:bidi="ar-SA"/>
          <w14:textFill>
            <w14:solidFill>
              <w14:schemeClr w14:val="tx1"/>
            </w14:solidFill>
          </w14:textFill>
        </w:rPr>
        <w:t>程中</w:t>
      </w:r>
      <w:r>
        <w:rPr>
          <w:rFonts w:hint="default" w:ascii="Times New Roman" w:hAnsi="Times New Roman" w:eastAsia="仿宋" w:cs="Times New Roman"/>
          <w:b w:val="0"/>
          <w:bCs w:val="0"/>
          <w:color w:val="000000" w:themeColor="text1"/>
          <w:spacing w:val="0"/>
          <w:kern w:val="2"/>
          <w:sz w:val="32"/>
          <w:szCs w:val="32"/>
          <w:lang w:val="en-US" w:eastAsia="zh-CN" w:bidi="ar-SA"/>
          <w14:textFill>
            <w14:solidFill>
              <w14:schemeClr w14:val="tx1"/>
            </w14:solidFill>
          </w14:textFill>
        </w:rPr>
        <w:t>产生的废弃物及生活垃圾；防止噪声、粉尘、施工固体废弃物等污染周边环境。</w:t>
      </w:r>
    </w:p>
    <w:p w14:paraId="3291E3DB">
      <w:pPr>
        <w:keepNext w:val="0"/>
        <w:keepLines w:val="0"/>
        <w:pageBreakBefore w:val="0"/>
        <w:widowControl w:val="0"/>
        <w:kinsoku/>
        <w:wordWrap/>
        <w:overflowPunct/>
        <w:topLinePunct w:val="0"/>
        <w:autoSpaceDE/>
        <w:autoSpaceDN/>
        <w:bidi w:val="0"/>
        <w:adjustRightInd/>
        <w:snapToGrid/>
        <w:spacing w:before="0" w:after="0" w:line="560" w:lineRule="exact"/>
        <w:ind w:left="0" w:leftChars="0" w:firstLine="643" w:firstLineChars="200"/>
        <w:jc w:val="both"/>
        <w:rPr>
          <w:rFonts w:hint="default" w:ascii="Times New Roman" w:hAnsi="Times New Roman" w:eastAsia="仿宋" w:cs="Times New Roman"/>
          <w:b w:val="0"/>
          <w:bCs w:val="0"/>
          <w:color w:val="000000" w:themeColor="text1"/>
          <w:kern w:val="2"/>
          <w:sz w:val="32"/>
          <w:szCs w:val="32"/>
          <w:lang w:val="en-US" w:eastAsia="zh-CN"/>
          <w14:textFill>
            <w14:solidFill>
              <w14:schemeClr w14:val="tx1"/>
            </w14:solidFill>
          </w14:textFill>
        </w:rPr>
      </w:pPr>
      <w:r>
        <w:rPr>
          <w:rFonts w:hint="default" w:ascii="Times New Roman" w:hAnsi="Times New Roman" w:eastAsia="仿宋" w:cs="Times New Roman"/>
          <w:b/>
          <w:bCs/>
          <w:color w:val="000000" w:themeColor="text1"/>
          <w:spacing w:val="0"/>
          <w:kern w:val="2"/>
          <w:sz w:val="32"/>
          <w:szCs w:val="32"/>
          <w:lang w:val="en-US" w:eastAsia="zh-CN" w:bidi="ar-SA"/>
          <w14:textFill>
            <w14:solidFill>
              <w14:schemeClr w14:val="tx1"/>
            </w14:solidFill>
          </w14:textFill>
        </w:rPr>
        <w:t>（二）强化营运期污染防治和风险管控工作。</w:t>
      </w:r>
    </w:p>
    <w:p w14:paraId="4A1803BA">
      <w:pPr>
        <w:keepNext w:val="0"/>
        <w:keepLines w:val="0"/>
        <w:pageBreakBefore w:val="0"/>
        <w:numPr>
          <w:ilvl w:val="0"/>
          <w:numId w:val="0"/>
        </w:numPr>
        <w:kinsoku/>
        <w:wordWrap/>
        <w:overflowPunct/>
        <w:topLinePunct w:val="0"/>
        <w:autoSpaceDN/>
        <w:bidi w:val="0"/>
        <w:adjustRightInd/>
        <w:snapToGrid/>
        <w:spacing w:line="560" w:lineRule="exact"/>
        <w:ind w:firstLine="643" w:firstLineChars="200"/>
        <w:jc w:val="both"/>
        <w:rPr>
          <w:rFonts w:hint="default" w:ascii="Times New Roman" w:hAnsi="Times New Roman" w:eastAsia="仿宋" w:cs="Times New Roman"/>
          <w:b w:val="0"/>
          <w:bCs w:val="0"/>
          <w:color w:val="000000" w:themeColor="text1"/>
          <w:sz w:val="32"/>
          <w:szCs w:val="32"/>
          <w:highlight w:val="none"/>
          <w:u w:val="none" w:color="auto"/>
          <w:lang w:val="en-US" w:eastAsia="zh-CN"/>
          <w14:textFill>
            <w14:solidFill>
              <w14:schemeClr w14:val="tx1"/>
            </w14:solidFill>
          </w14:textFill>
        </w:rPr>
      </w:pPr>
      <w:r>
        <w:rPr>
          <w:rFonts w:hint="default" w:ascii="Times New Roman" w:hAnsi="Times New Roman" w:eastAsia="仿宋" w:cs="Times New Roman"/>
          <w:b/>
          <w:bCs/>
          <w:color w:val="000000" w:themeColor="text1"/>
          <w:kern w:val="2"/>
          <w:sz w:val="32"/>
          <w:szCs w:val="32"/>
          <w:lang w:val="en-US" w:eastAsia="zh-CN"/>
          <w14:textFill>
            <w14:solidFill>
              <w14:schemeClr w14:val="tx1"/>
            </w14:solidFill>
          </w14:textFill>
        </w:rPr>
        <w:t>1.</w:t>
      </w:r>
      <w:r>
        <w:rPr>
          <w:rFonts w:hint="default" w:ascii="Times New Roman" w:hAnsi="Times New Roman" w:eastAsia="仿宋" w:cs="Times New Roman"/>
          <w:b/>
          <w:bCs/>
          <w:color w:val="000000" w:themeColor="text1"/>
          <w:kern w:val="2"/>
          <w:sz w:val="32"/>
          <w:szCs w:val="32"/>
          <w14:textFill>
            <w14:solidFill>
              <w14:schemeClr w14:val="tx1"/>
            </w14:solidFill>
          </w14:textFill>
        </w:rPr>
        <w:t>废气污染防治。</w:t>
      </w:r>
      <w:r>
        <w:rPr>
          <w:rFonts w:hint="default" w:ascii="Times New Roman" w:hAnsi="Times New Roman" w:eastAsia="仿宋" w:cs="Times New Roman"/>
          <w:b w:val="0"/>
          <w:bCs w:val="0"/>
          <w:color w:val="000000" w:themeColor="text1"/>
          <w:sz w:val="32"/>
          <w:szCs w:val="32"/>
          <w:highlight w:val="none"/>
          <w:u w:val="none" w:color="auto"/>
          <w:lang w:val="en-US" w:eastAsia="zh-CN"/>
          <w14:textFill>
            <w14:solidFill>
              <w14:schemeClr w14:val="tx1"/>
            </w14:solidFill>
          </w14:textFill>
        </w:rPr>
        <w:t>营运期废气污染源主要为生物质燃烧废气、烘干车间形选精选粉尘、茶油果烘干车间异味等。其中，生物质热风炉燃烧废气采用“多管旋风+布袋除尘器”处理后经18m高排气筒DA002排放；烘干车间形选、精选粉尘采取“布袋除尘器”处理后经15m高排气筒DA003排放；烘干车间异味（臭气浓度）通过加强管理、源头控制，加强车间通风换气后，呈无组织排放。</w:t>
      </w:r>
    </w:p>
    <w:p w14:paraId="7705C8F3">
      <w:pPr>
        <w:keepNext w:val="0"/>
        <w:keepLines w:val="0"/>
        <w:pageBreakBefore w:val="0"/>
        <w:numPr>
          <w:ilvl w:val="0"/>
          <w:numId w:val="0"/>
        </w:numPr>
        <w:kinsoku/>
        <w:wordWrap/>
        <w:overflowPunct/>
        <w:topLinePunct w:val="0"/>
        <w:autoSpaceDN/>
        <w:bidi w:val="0"/>
        <w:adjustRightInd/>
        <w:snapToGrid/>
        <w:spacing w:line="560" w:lineRule="exact"/>
        <w:ind w:firstLine="640" w:firstLineChars="200"/>
        <w:jc w:val="both"/>
        <w:rPr>
          <w:rFonts w:hint="default" w:ascii="Times New Roman" w:hAnsi="Times New Roman" w:eastAsia="仿宋" w:cs="Times New Roman"/>
          <w:b w:val="0"/>
          <w:bCs w:val="0"/>
          <w:color w:val="000000" w:themeColor="text1"/>
          <w:sz w:val="32"/>
          <w:szCs w:val="32"/>
          <w:highlight w:val="none"/>
          <w:u w:val="none" w:color="auto"/>
          <w:lang w:val="en-US" w:eastAsia="zh-CN"/>
          <w14:textFill>
            <w14:solidFill>
              <w14:schemeClr w14:val="tx1"/>
            </w14:solidFill>
          </w14:textFill>
        </w:rPr>
      </w:pPr>
      <w:r>
        <w:rPr>
          <w:rFonts w:hint="default" w:ascii="Times New Roman" w:hAnsi="Times New Roman" w:eastAsia="仿宋" w:cs="Times New Roman"/>
          <w:b w:val="0"/>
          <w:bCs w:val="0"/>
          <w:color w:val="000000" w:themeColor="text1"/>
          <w:sz w:val="32"/>
          <w:szCs w:val="32"/>
          <w:highlight w:val="none"/>
          <w:u w:val="none" w:color="auto"/>
          <w:lang w:val="en-US" w:eastAsia="zh-CN"/>
          <w14:textFill>
            <w14:solidFill>
              <w14:schemeClr w14:val="tx1"/>
            </w14:solidFill>
          </w14:textFill>
        </w:rPr>
        <w:t>生物质燃烧废气颗粒物、二氧化硫、氮氧化物满足《关于印发</w:t>
      </w:r>
      <w:r>
        <w:rPr>
          <w:rFonts w:hint="eastAsia" w:ascii="Times New Roman" w:hAnsi="Times New Roman" w:eastAsia="仿宋" w:cs="Times New Roman"/>
          <w:b w:val="0"/>
          <w:bCs w:val="0"/>
          <w:color w:val="000000" w:themeColor="text1"/>
          <w:sz w:val="32"/>
          <w:szCs w:val="32"/>
          <w:highlight w:val="none"/>
          <w:u w:val="none" w:color="auto"/>
          <w:lang w:val="en-US" w:eastAsia="zh-CN"/>
          <w14:textFill>
            <w14:solidFill>
              <w14:schemeClr w14:val="tx1"/>
            </w14:solidFill>
          </w14:textFill>
        </w:rPr>
        <w:t>〈</w:t>
      </w:r>
      <w:r>
        <w:rPr>
          <w:rFonts w:hint="default" w:ascii="Times New Roman" w:hAnsi="Times New Roman" w:eastAsia="仿宋" w:cs="Times New Roman"/>
          <w:b w:val="0"/>
          <w:bCs w:val="0"/>
          <w:color w:val="000000" w:themeColor="text1"/>
          <w:sz w:val="32"/>
          <w:szCs w:val="32"/>
          <w:highlight w:val="none"/>
          <w:u w:val="none" w:color="auto"/>
          <w:lang w:val="en-US" w:eastAsia="zh-CN"/>
          <w14:textFill>
            <w14:solidFill>
              <w14:schemeClr w14:val="tx1"/>
            </w14:solidFill>
          </w14:textFill>
        </w:rPr>
        <w:t>湖南省工业炉窑大气污染综合治理实施方案</w:t>
      </w:r>
      <w:r>
        <w:rPr>
          <w:rFonts w:hint="eastAsia" w:ascii="Times New Roman" w:hAnsi="Times New Roman" w:eastAsia="仿宋" w:cs="Times New Roman"/>
          <w:b w:val="0"/>
          <w:bCs w:val="0"/>
          <w:color w:val="000000" w:themeColor="text1"/>
          <w:sz w:val="32"/>
          <w:szCs w:val="32"/>
          <w:highlight w:val="none"/>
          <w:u w:val="none" w:color="auto"/>
          <w:lang w:val="en-US" w:eastAsia="zh-CN"/>
          <w14:textFill>
            <w14:solidFill>
              <w14:schemeClr w14:val="tx1"/>
            </w14:solidFill>
          </w14:textFill>
        </w:rPr>
        <w:t>〉的通知》（</w:t>
      </w:r>
      <w:r>
        <w:rPr>
          <w:rFonts w:hint="default" w:ascii="Times New Roman" w:hAnsi="Times New Roman" w:eastAsia="仿宋" w:cs="Times New Roman"/>
          <w:b w:val="0"/>
          <w:bCs w:val="0"/>
          <w:color w:val="000000" w:themeColor="text1"/>
          <w:sz w:val="32"/>
          <w:szCs w:val="32"/>
          <w:highlight w:val="none"/>
          <w:u w:val="none" w:color="auto"/>
          <w:lang w:val="en-US" w:eastAsia="zh-CN"/>
          <w14:textFill>
            <w14:solidFill>
              <w14:schemeClr w14:val="tx1"/>
            </w14:solidFill>
          </w14:textFill>
        </w:rPr>
        <w:t>湘环发</w:t>
      </w:r>
      <w:r>
        <w:rPr>
          <w:rFonts w:hint="eastAsia" w:ascii="Times New Roman" w:hAnsi="Times New Roman" w:eastAsia="仿宋" w:cs="Times New Roman"/>
          <w:b w:val="0"/>
          <w:bCs w:val="0"/>
          <w:color w:val="000000" w:themeColor="text1"/>
          <w:sz w:val="32"/>
          <w:szCs w:val="32"/>
          <w:highlight w:val="none"/>
          <w:u w:val="none" w:color="auto"/>
          <w:lang w:val="en-US" w:eastAsia="zh-CN"/>
          <w14:textFill>
            <w14:solidFill>
              <w14:schemeClr w14:val="tx1"/>
            </w14:solidFill>
          </w14:textFill>
        </w:rPr>
        <w:t>〔2020〕6号）</w:t>
      </w:r>
      <w:r>
        <w:rPr>
          <w:rFonts w:hint="default" w:ascii="Times New Roman" w:hAnsi="Times New Roman" w:eastAsia="仿宋" w:cs="Times New Roman"/>
          <w:b w:val="0"/>
          <w:bCs w:val="0"/>
          <w:color w:val="000000" w:themeColor="text1"/>
          <w:sz w:val="32"/>
          <w:szCs w:val="32"/>
          <w:highlight w:val="none"/>
          <w:u w:val="none" w:color="auto"/>
          <w:lang w:val="en-US" w:eastAsia="zh-CN"/>
          <w14:textFill>
            <w14:solidFill>
              <w14:schemeClr w14:val="tx1"/>
            </w14:solidFill>
          </w14:textFill>
        </w:rPr>
        <w:t>排放限值要求；形选、精选有组织颗粒物满足《大气污染物综合排放标准》（GB16297-1996）表2二级标准；厂界无组织排放的颗粒物满足《大气污染物综合排放标准》（GB16297-1996）表2中无组织排放监控浓度限值；厂界臭气浓度满足《恶臭污染物排放标准》（GB14554-93）表1排放标准要求。</w:t>
      </w:r>
    </w:p>
    <w:p w14:paraId="545F1299">
      <w:pPr>
        <w:pStyle w:val="6"/>
        <w:keepNext w:val="0"/>
        <w:keepLines w:val="0"/>
        <w:pageBreakBefore w:val="0"/>
        <w:kinsoku/>
        <w:wordWrap/>
        <w:overflowPunct/>
        <w:topLinePunct w:val="0"/>
        <w:autoSpaceDN/>
        <w:bidi w:val="0"/>
        <w:adjustRightInd/>
        <w:snapToGrid/>
        <w:spacing w:after="0" w:line="560" w:lineRule="exact"/>
        <w:ind w:firstLine="643"/>
        <w:jc w:val="both"/>
        <w:rPr>
          <w:rFonts w:hint="default" w:ascii="Times New Roman" w:hAnsi="Times New Roman" w:eastAsia="仿宋" w:cs="Times New Roman"/>
          <w:b w:val="0"/>
          <w:bCs w:val="0"/>
          <w:color w:val="000000" w:themeColor="text1"/>
          <w:kern w:val="2"/>
          <w:sz w:val="32"/>
          <w:szCs w:val="32"/>
          <w:lang w:val="en-US" w:eastAsia="zh-CN"/>
          <w14:textFill>
            <w14:solidFill>
              <w14:schemeClr w14:val="tx1"/>
            </w14:solidFill>
          </w14:textFill>
        </w:rPr>
      </w:pPr>
      <w:r>
        <w:rPr>
          <w:rFonts w:hint="default" w:ascii="Times New Roman" w:hAnsi="Times New Roman" w:eastAsia="仿宋" w:cs="Times New Roman"/>
          <w:b/>
          <w:bCs/>
          <w:color w:val="000000" w:themeColor="text1"/>
          <w:kern w:val="2"/>
          <w:sz w:val="32"/>
          <w:szCs w:val="32"/>
          <w:lang w:val="en-US" w:eastAsia="zh-CN"/>
          <w14:textFill>
            <w14:solidFill>
              <w14:schemeClr w14:val="tx1"/>
            </w14:solidFill>
          </w14:textFill>
        </w:rPr>
        <w:t>2</w:t>
      </w:r>
      <w:r>
        <w:rPr>
          <w:rFonts w:hint="default" w:ascii="Times New Roman" w:hAnsi="Times New Roman" w:eastAsia="仿宋" w:cs="Times New Roman"/>
          <w:b/>
          <w:bCs/>
          <w:color w:val="000000" w:themeColor="text1"/>
          <w:kern w:val="2"/>
          <w:sz w:val="32"/>
          <w:szCs w:val="32"/>
          <w14:textFill>
            <w14:solidFill>
              <w14:schemeClr w14:val="tx1"/>
            </w14:solidFill>
          </w14:textFill>
        </w:rPr>
        <w:t>.废水污染防治。</w:t>
      </w:r>
      <w:r>
        <w:rPr>
          <w:rFonts w:hint="default" w:ascii="Times New Roman" w:hAnsi="Times New Roman" w:eastAsia="仿宋" w:cs="Times New Roman"/>
          <w:b w:val="0"/>
          <w:bCs w:val="0"/>
          <w:color w:val="000000" w:themeColor="text1"/>
          <w:kern w:val="2"/>
          <w:sz w:val="32"/>
          <w:szCs w:val="32"/>
          <w14:textFill>
            <w14:solidFill>
              <w14:schemeClr w14:val="tx1"/>
            </w14:solidFill>
          </w14:textFill>
        </w:rPr>
        <w:t>本项目不新增生活废水</w:t>
      </w:r>
      <w:r>
        <w:rPr>
          <w:rFonts w:hint="default" w:ascii="Times New Roman" w:hAnsi="Times New Roman" w:eastAsia="仿宋" w:cs="Times New Roman"/>
          <w:b w:val="0"/>
          <w:bCs w:val="0"/>
          <w:color w:val="000000" w:themeColor="text1"/>
          <w:kern w:val="2"/>
          <w:sz w:val="32"/>
          <w:szCs w:val="32"/>
          <w:lang w:eastAsia="zh-CN"/>
          <w14:textFill>
            <w14:solidFill>
              <w14:schemeClr w14:val="tx1"/>
            </w14:solidFill>
          </w14:textFill>
        </w:rPr>
        <w:t>；生活污水经</w:t>
      </w:r>
      <w:r>
        <w:rPr>
          <w:rFonts w:hint="default" w:ascii="Times New Roman" w:hAnsi="Times New Roman" w:eastAsia="仿宋" w:cs="Times New Roman"/>
          <w:b w:val="0"/>
          <w:bCs w:val="0"/>
          <w:color w:val="000000" w:themeColor="text1"/>
          <w:kern w:val="2"/>
          <w:sz w:val="32"/>
          <w:szCs w:val="32"/>
          <w:lang w:val="en-US" w:eastAsia="zh-CN"/>
          <w14:textFill>
            <w14:solidFill>
              <w14:schemeClr w14:val="tx1"/>
            </w14:solidFill>
          </w14:textFill>
        </w:rPr>
        <w:t>三格</w:t>
      </w:r>
      <w:r>
        <w:rPr>
          <w:rFonts w:hint="default" w:ascii="Times New Roman" w:hAnsi="Times New Roman" w:eastAsia="仿宋" w:cs="Times New Roman"/>
          <w:b w:val="0"/>
          <w:bCs w:val="0"/>
          <w:color w:val="000000" w:themeColor="text1"/>
          <w:kern w:val="2"/>
          <w:sz w:val="32"/>
          <w:szCs w:val="32"/>
          <w:lang w:eastAsia="zh-CN"/>
          <w14:textFill>
            <w14:solidFill>
              <w14:schemeClr w14:val="tx1"/>
            </w14:solidFill>
          </w14:textFill>
        </w:rPr>
        <w:t>化粪池预处理后用于企业周边茶树施肥，不外排；设备冲洗水、精炼水洗废水等生产废水通过废水收集池收集后</w:t>
      </w:r>
      <w:r>
        <w:rPr>
          <w:rFonts w:hint="default" w:ascii="Times New Roman" w:hAnsi="Times New Roman" w:eastAsia="仿宋" w:cs="Times New Roman"/>
          <w:b w:val="0"/>
          <w:bCs w:val="0"/>
          <w:color w:val="000000" w:themeColor="text1"/>
          <w:kern w:val="2"/>
          <w:sz w:val="32"/>
          <w:szCs w:val="32"/>
          <w:lang w:val="en-US" w:eastAsia="zh-CN"/>
          <w14:textFill>
            <w14:solidFill>
              <w14:schemeClr w14:val="tx1"/>
            </w14:solidFill>
          </w14:textFill>
        </w:rPr>
        <w:t>经</w:t>
      </w:r>
      <w:r>
        <w:rPr>
          <w:rFonts w:hint="default" w:ascii="Times New Roman" w:hAnsi="Times New Roman" w:eastAsia="仿宋" w:cs="Times New Roman"/>
          <w:b w:val="0"/>
          <w:bCs w:val="0"/>
          <w:color w:val="000000" w:themeColor="text1"/>
          <w:kern w:val="2"/>
          <w:sz w:val="32"/>
          <w:szCs w:val="32"/>
          <w:lang w:eastAsia="zh-CN"/>
          <w14:textFill>
            <w14:solidFill>
              <w14:schemeClr w14:val="tx1"/>
            </w14:solidFill>
          </w14:textFill>
        </w:rPr>
        <w:t>自建污水处理设施处理</w:t>
      </w:r>
      <w:r>
        <w:rPr>
          <w:rFonts w:hint="default" w:ascii="Times New Roman" w:hAnsi="Times New Roman" w:eastAsia="仿宋" w:cs="Times New Roman"/>
          <w:b w:val="0"/>
          <w:bCs w:val="0"/>
          <w:color w:val="000000" w:themeColor="text1"/>
          <w:kern w:val="2"/>
          <w:sz w:val="32"/>
          <w:szCs w:val="32"/>
          <w:lang w:val="en-US" w:eastAsia="zh-CN"/>
          <w14:textFill>
            <w14:solidFill>
              <w14:schemeClr w14:val="tx1"/>
            </w14:solidFill>
          </w14:textFill>
        </w:rPr>
        <w:t>后</w:t>
      </w:r>
      <w:r>
        <w:rPr>
          <w:rFonts w:hint="default" w:ascii="Times New Roman" w:hAnsi="Times New Roman" w:eastAsia="仿宋" w:cs="Times New Roman"/>
          <w:b w:val="0"/>
          <w:bCs w:val="0"/>
          <w:color w:val="000000" w:themeColor="text1"/>
          <w:kern w:val="2"/>
          <w:sz w:val="32"/>
          <w:szCs w:val="32"/>
          <w:lang w:eastAsia="zh-CN"/>
          <w14:textFill>
            <w14:solidFill>
              <w14:schemeClr w14:val="tx1"/>
            </w14:solidFill>
          </w14:textFill>
        </w:rPr>
        <w:t>于周边林地灌溉，不外排。</w:t>
      </w:r>
    </w:p>
    <w:p w14:paraId="703724E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color w:val="000000" w:themeColor="text1"/>
          <w:kern w:val="2"/>
          <w:sz w:val="32"/>
          <w:szCs w:val="32"/>
          <w:lang w:val="zh-CN"/>
          <w14:textFill>
            <w14:solidFill>
              <w14:schemeClr w14:val="tx1"/>
            </w14:solidFill>
          </w14:textFill>
        </w:rPr>
      </w:pPr>
      <w:r>
        <w:rPr>
          <w:rFonts w:hint="default" w:ascii="Times New Roman" w:hAnsi="Times New Roman" w:eastAsia="仿宋" w:cs="Times New Roman"/>
          <w:b/>
          <w:bCs/>
          <w:color w:val="000000" w:themeColor="text1"/>
          <w:kern w:val="2"/>
          <w:sz w:val="32"/>
          <w:szCs w:val="32"/>
          <w:lang w:val="en-US" w:eastAsia="zh-CN"/>
          <w14:textFill>
            <w14:solidFill>
              <w14:schemeClr w14:val="tx1"/>
            </w14:solidFill>
          </w14:textFill>
        </w:rPr>
        <w:t>3</w:t>
      </w:r>
      <w:r>
        <w:rPr>
          <w:rFonts w:hint="default" w:ascii="Times New Roman" w:hAnsi="Times New Roman" w:eastAsia="仿宋" w:cs="Times New Roman"/>
          <w:b/>
          <w:bCs/>
          <w:color w:val="000000" w:themeColor="text1"/>
          <w:kern w:val="2"/>
          <w:sz w:val="32"/>
          <w:szCs w:val="32"/>
          <w14:textFill>
            <w14:solidFill>
              <w14:schemeClr w14:val="tx1"/>
            </w14:solidFill>
          </w14:textFill>
        </w:rPr>
        <w:t>.噪声污染防治</w:t>
      </w:r>
      <w:r>
        <w:rPr>
          <w:rFonts w:hint="default" w:ascii="Times New Roman" w:hAnsi="Times New Roman" w:eastAsia="仿宋" w:cs="Times New Roman"/>
          <w:b/>
          <w:bCs/>
          <w:color w:val="000000" w:themeColor="text1"/>
          <w:kern w:val="2"/>
          <w:sz w:val="32"/>
          <w:szCs w:val="32"/>
          <w:lang w:val="zh-CN"/>
          <w14:textFill>
            <w14:solidFill>
              <w14:schemeClr w14:val="tx1"/>
            </w14:solidFill>
          </w14:textFill>
        </w:rPr>
        <w:t>。</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运营</w:t>
      </w:r>
      <w:r>
        <w:rPr>
          <w:rFonts w:hint="default" w:ascii="Times New Roman" w:hAnsi="Times New Roman" w:eastAsia="仿宋" w:cs="Times New Roman"/>
          <w:color w:val="000000" w:themeColor="text1"/>
          <w:kern w:val="2"/>
          <w:sz w:val="32"/>
          <w:szCs w:val="32"/>
          <w:lang w:val="zh-CN"/>
          <w14:textFill>
            <w14:solidFill>
              <w14:schemeClr w14:val="tx1"/>
            </w14:solidFill>
          </w14:textFill>
        </w:rPr>
        <w:t>期噪声源</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主要为热力爆蒲烘干机、油茶初分机组、提升机、破壳机、复烘机、风机、空压机等生产设备运行时产生的噪声</w:t>
      </w:r>
      <w:r>
        <w:rPr>
          <w:rFonts w:hint="default" w:ascii="Times New Roman" w:hAnsi="Times New Roman" w:eastAsia="仿宋" w:cs="Times New Roman"/>
          <w:color w:val="000000" w:themeColor="text1"/>
          <w:kern w:val="2"/>
          <w:sz w:val="32"/>
          <w:szCs w:val="32"/>
          <w:lang w:val="zh-CN"/>
          <w14:textFill>
            <w14:solidFill>
              <w14:schemeClr w14:val="tx1"/>
            </w14:solidFill>
          </w14:textFill>
        </w:rPr>
        <w:t>。选用低噪声且符合国家标准的生产设备；采取隔声、吸声、减振等措施；对噪声较大的生产设备进行合理布局；加强厂区绿化、个体防护</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和</w:t>
      </w:r>
      <w:r>
        <w:rPr>
          <w:rFonts w:hint="default" w:ascii="Times New Roman" w:hAnsi="Times New Roman" w:eastAsia="仿宋" w:cs="Times New Roman"/>
          <w:color w:val="000000" w:themeColor="text1"/>
          <w:kern w:val="2"/>
          <w:sz w:val="32"/>
          <w:szCs w:val="32"/>
          <w:lang w:val="zh-CN"/>
          <w14:textFill>
            <w14:solidFill>
              <w14:schemeClr w14:val="tx1"/>
            </w14:solidFill>
          </w14:textFill>
        </w:rPr>
        <w:t>设备维护。施工期厂界噪声执行《建筑施工噪声排放标准》（GB12523-2025）；</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运营期</w:t>
      </w:r>
      <w:r>
        <w:rPr>
          <w:rFonts w:hint="default" w:ascii="Times New Roman" w:hAnsi="Times New Roman" w:eastAsia="仿宋" w:cs="Times New Roman"/>
          <w:color w:val="000000" w:themeColor="text1"/>
          <w:kern w:val="2"/>
          <w:sz w:val="32"/>
          <w:szCs w:val="32"/>
          <w:lang w:val="zh-CN"/>
          <w14:textFill>
            <w14:solidFill>
              <w14:schemeClr w14:val="tx1"/>
            </w14:solidFill>
          </w14:textFill>
        </w:rPr>
        <w:t>厂界噪声</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执行</w:t>
      </w:r>
      <w:r>
        <w:rPr>
          <w:rFonts w:hint="default" w:ascii="Times New Roman" w:hAnsi="Times New Roman" w:eastAsia="仿宋" w:cs="Times New Roman"/>
          <w:color w:val="000000" w:themeColor="text1"/>
          <w:kern w:val="2"/>
          <w:sz w:val="32"/>
          <w:szCs w:val="32"/>
          <w:lang w:val="zh-CN"/>
          <w14:textFill>
            <w14:solidFill>
              <w14:schemeClr w14:val="tx1"/>
            </w14:solidFill>
          </w14:textFill>
        </w:rPr>
        <w:t>《工业企业厂界环境噪声排放标准》（GB12348-2008）中</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2</w:t>
      </w:r>
      <w:r>
        <w:rPr>
          <w:rFonts w:hint="default" w:ascii="Times New Roman" w:hAnsi="Times New Roman" w:eastAsia="仿宋" w:cs="Times New Roman"/>
          <w:color w:val="000000" w:themeColor="text1"/>
          <w:kern w:val="2"/>
          <w:sz w:val="32"/>
          <w:szCs w:val="32"/>
          <w:lang w:val="zh-CN"/>
          <w14:textFill>
            <w14:solidFill>
              <w14:schemeClr w14:val="tx1"/>
            </w14:solidFill>
          </w14:textFill>
        </w:rPr>
        <w:t>类标准要求。</w:t>
      </w:r>
    </w:p>
    <w:p w14:paraId="33714B3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pPr>
      <w:r>
        <w:rPr>
          <w:rFonts w:hint="default" w:ascii="Times New Roman" w:hAnsi="Times New Roman" w:eastAsia="仿宋" w:cs="Times New Roman"/>
          <w:b/>
          <w:bCs/>
          <w:color w:val="000000" w:themeColor="text1"/>
          <w:kern w:val="2"/>
          <w:sz w:val="32"/>
          <w:szCs w:val="32"/>
          <w:lang w:val="en-US" w:eastAsia="zh-CN"/>
          <w14:textFill>
            <w14:solidFill>
              <w14:schemeClr w14:val="tx1"/>
            </w14:solidFill>
          </w14:textFill>
        </w:rPr>
        <w:t>4</w:t>
      </w:r>
      <w:r>
        <w:rPr>
          <w:rFonts w:hint="default" w:ascii="Times New Roman" w:hAnsi="Times New Roman" w:eastAsia="仿宋" w:cs="Times New Roman"/>
          <w:b/>
          <w:bCs/>
          <w:color w:val="000000" w:themeColor="text1"/>
          <w:kern w:val="2"/>
          <w:sz w:val="32"/>
          <w:szCs w:val="32"/>
          <w14:textFill>
            <w14:solidFill>
              <w14:schemeClr w14:val="tx1"/>
            </w14:solidFill>
          </w14:textFill>
        </w:rPr>
        <w:t>.固体废物防治。</w:t>
      </w:r>
      <w:r>
        <w:rPr>
          <w:rFonts w:hint="default" w:ascii="Times New Roman" w:hAnsi="Times New Roman" w:eastAsia="仿宋" w:cs="Times New Roman"/>
          <w:b w:val="0"/>
          <w:bCs w:val="0"/>
          <w:color w:val="000000" w:themeColor="text1"/>
          <w:spacing w:val="0"/>
          <w:kern w:val="2"/>
          <w:sz w:val="32"/>
          <w:szCs w:val="32"/>
          <w:lang w:val="en-US" w:eastAsia="zh-CN" w:bidi="ar-SA"/>
          <w14:textFill>
            <w14:solidFill>
              <w14:schemeClr w14:val="tx1"/>
            </w14:solidFill>
          </w14:textFill>
        </w:rPr>
        <w:t>严格按《一般工业固体废物贮存和填埋污染控制标准》（GB18599-2020）和《危险废物贮存污染控制标准》（GB18597-2023），对现有一般固体废物暂存间和危废暂存间进行改造，建立健全固体废物及危险废物管理台账。</w:t>
      </w:r>
      <w:r>
        <w:rPr>
          <w:rFonts w:hint="default" w:ascii="Times New Roman" w:hAnsi="Times New Roman" w:eastAsia="仿宋" w:cs="Times New Roman"/>
          <w:color w:val="000000" w:themeColor="text1"/>
          <w:kern w:val="2"/>
          <w:sz w:val="32"/>
          <w:szCs w:val="32"/>
          <w:lang w:val="zh-CN"/>
          <w14:textFill>
            <w14:solidFill>
              <w14:schemeClr w14:val="tx1"/>
            </w14:solidFill>
          </w14:textFill>
        </w:rPr>
        <w:t>固体废物主要为生物质灰渣、除尘器收集粉尘、茶蒲、废润滑油、废润滑油桶、废含油劳保用品等</w:t>
      </w:r>
      <w:r>
        <w:rPr>
          <w:rFonts w:hint="default" w:ascii="Times New Roman" w:hAnsi="Times New Roman" w:eastAsia="仿宋" w:cs="Times New Roman"/>
          <w:color w:val="000000" w:themeColor="text1"/>
          <w:kern w:val="2"/>
          <w:sz w:val="32"/>
          <w:szCs w:val="32"/>
          <w:lang w:val="zh-CN" w:eastAsia="zh-CN"/>
          <w14:textFill>
            <w14:solidFill>
              <w14:schemeClr w14:val="tx1"/>
            </w14:solidFill>
          </w14:textFill>
        </w:rPr>
        <w:t>。</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其中，</w:t>
      </w:r>
      <w:r>
        <w:rPr>
          <w:rFonts w:hint="default" w:ascii="Times New Roman" w:hAnsi="Times New Roman" w:eastAsia="仿宋" w:cs="Times New Roman"/>
          <w:color w:val="000000" w:themeColor="text1"/>
          <w:kern w:val="2"/>
          <w:sz w:val="32"/>
          <w:szCs w:val="32"/>
          <w:lang w:val="zh-CN"/>
          <w14:textFill>
            <w14:solidFill>
              <w14:schemeClr w14:val="tx1"/>
            </w14:solidFill>
          </w14:textFill>
        </w:rPr>
        <w:t>生物质灰渣、除尘器收集粉尘经收集后综合利用</w:t>
      </w:r>
      <w:r>
        <w:rPr>
          <w:rFonts w:hint="default" w:ascii="Times New Roman" w:hAnsi="Times New Roman" w:eastAsia="仿宋" w:cs="Times New Roman"/>
          <w:color w:val="000000" w:themeColor="text1"/>
          <w:kern w:val="2"/>
          <w:sz w:val="32"/>
          <w:szCs w:val="32"/>
          <w:lang w:val="zh-CN" w:eastAsia="zh-CN"/>
          <w14:textFill>
            <w14:solidFill>
              <w14:schemeClr w14:val="tx1"/>
            </w14:solidFill>
          </w14:textFill>
        </w:rPr>
        <w:t>；</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干茶蒲部分综合用于本项目生物质热风炉燃料，剩余部分经统一收集后外售作生物质厂原料；废润滑油、废润滑油桶及废含油劳保用品收集暂存于危废暂存间，委托资质单位处置。</w:t>
      </w:r>
    </w:p>
    <w:p w14:paraId="6D15CC6C">
      <w:pPr>
        <w:keepNext w:val="0"/>
        <w:keepLines w:val="0"/>
        <w:pageBreakBefore w:val="0"/>
        <w:kinsoku/>
        <w:wordWrap/>
        <w:overflowPunct/>
        <w:topLinePunct w:val="0"/>
        <w:autoSpaceDN/>
        <w:bidi w:val="0"/>
        <w:adjustRightInd/>
        <w:snapToGrid/>
        <w:spacing w:line="560" w:lineRule="exact"/>
        <w:rPr>
          <w:rFonts w:hint="default" w:ascii="Times New Roman" w:hAnsi="Times New Roman" w:eastAsia="仿宋" w:cs="Times New Roman"/>
          <w:b/>
          <w:bCs/>
          <w:color w:val="000000" w:themeColor="text1"/>
          <w:kern w:val="2"/>
          <w:sz w:val="32"/>
          <w:szCs w:val="32"/>
          <w:lang w:val="en-US" w:eastAsia="zh-CN"/>
          <w14:textFill>
            <w14:solidFill>
              <w14:schemeClr w14:val="tx1"/>
            </w14:solidFill>
          </w14:textFill>
        </w:rPr>
      </w:pPr>
      <w:r>
        <w:rPr>
          <w:rFonts w:hint="default" w:ascii="Times New Roman" w:hAnsi="Times New Roman" w:eastAsia="仿宋" w:cs="Times New Roman"/>
          <w:b/>
          <w:bCs/>
          <w:color w:val="000000" w:themeColor="text1"/>
          <w:kern w:val="2"/>
          <w:sz w:val="32"/>
          <w:szCs w:val="32"/>
          <w:lang w:val="en-US" w:eastAsia="zh-CN"/>
          <w14:textFill>
            <w14:solidFill>
              <w14:schemeClr w14:val="tx1"/>
            </w14:solidFill>
          </w14:textFill>
        </w:rPr>
        <w:t>5.</w:t>
      </w:r>
      <w:r>
        <w:rPr>
          <w:rFonts w:hint="default" w:ascii="Times New Roman" w:hAnsi="Times New Roman" w:eastAsia="仿宋" w:cs="Times New Roman"/>
          <w:b/>
          <w:bCs/>
          <w:color w:val="000000" w:themeColor="text1"/>
          <w:spacing w:val="0"/>
          <w:kern w:val="2"/>
          <w:sz w:val="32"/>
          <w:szCs w:val="32"/>
          <w:lang w:val="en-US" w:eastAsia="zh-CN" w:bidi="ar-SA"/>
          <w14:textFill>
            <w14:solidFill>
              <w14:schemeClr w14:val="tx1"/>
            </w14:solidFill>
          </w14:textFill>
        </w:rPr>
        <w:t>土壤和地下水防治</w:t>
      </w:r>
      <w:r>
        <w:rPr>
          <w:rFonts w:hint="default" w:ascii="Times New Roman" w:hAnsi="Times New Roman" w:eastAsia="仿宋" w:cs="Times New Roman"/>
          <w:b w:val="0"/>
          <w:bCs w:val="0"/>
          <w:color w:val="000000" w:themeColor="text1"/>
          <w:spacing w:val="0"/>
          <w:kern w:val="2"/>
          <w:sz w:val="32"/>
          <w:szCs w:val="32"/>
          <w:lang w:val="en-US" w:eastAsia="zh-CN" w:bidi="ar-SA"/>
          <w14:textFill>
            <w14:solidFill>
              <w14:schemeClr w14:val="tx1"/>
            </w14:solidFill>
          </w14:textFill>
        </w:rPr>
        <w:t>。按照“源头控制，分区防控”的原则落实土壤和地下水污染防治措施。对场区进行分区防渗，一般防渗区、重点防渗区均应按相关技术规范要求落实防渗措施，确保防渗性能达到要求，防范污染源对地下水、土壤环境的垂直下渗和地面漫流污染影响，避免污染地下水和土壤环境，杜绝“跑、冒、滴、漏”等事故的发生。</w:t>
      </w:r>
    </w:p>
    <w:p w14:paraId="320DDD5F">
      <w:pPr>
        <w:keepNext w:val="0"/>
        <w:keepLines w:val="0"/>
        <w:pageBreakBefore w:val="0"/>
        <w:kinsoku/>
        <w:wordWrap/>
        <w:overflowPunct/>
        <w:topLinePunct w:val="0"/>
        <w:autoSpaceDN/>
        <w:bidi w:val="0"/>
        <w:adjustRightInd/>
        <w:snapToGrid/>
        <w:spacing w:line="560" w:lineRule="exact"/>
        <w:ind w:firstLine="643"/>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pPr>
      <w:r>
        <w:rPr>
          <w:rFonts w:hint="default" w:ascii="Times New Roman" w:hAnsi="Times New Roman" w:eastAsia="仿宋" w:cs="Times New Roman"/>
          <w:b/>
          <w:bCs/>
          <w:color w:val="000000" w:themeColor="text1"/>
          <w:kern w:val="2"/>
          <w:sz w:val="32"/>
          <w:szCs w:val="32"/>
          <w:lang w:val="en-US" w:eastAsia="zh-CN"/>
          <w14:textFill>
            <w14:solidFill>
              <w14:schemeClr w14:val="tx1"/>
            </w14:solidFill>
          </w14:textFill>
        </w:rPr>
        <w:t>6.总量控制。</w:t>
      </w:r>
      <w:r>
        <w:rPr>
          <w:rFonts w:hint="default" w:ascii="Times New Roman" w:hAnsi="Times New Roman" w:eastAsia="仿宋" w:cs="Times New Roman"/>
          <w:color w:val="000000" w:themeColor="text1"/>
          <w:kern w:val="2"/>
          <w:sz w:val="32"/>
          <w:szCs w:val="32"/>
          <w14:textFill>
            <w14:solidFill>
              <w14:schemeClr w14:val="tx1"/>
            </w14:solidFill>
          </w14:textFill>
        </w:rPr>
        <w:t>本项目</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技改后</w:t>
      </w:r>
      <w:r>
        <w:rPr>
          <w:rFonts w:hint="default" w:ascii="Times New Roman" w:hAnsi="Times New Roman" w:eastAsia="仿宋" w:cs="Times New Roman"/>
          <w:color w:val="000000" w:themeColor="text1"/>
          <w:kern w:val="2"/>
          <w:sz w:val="32"/>
          <w:szCs w:val="32"/>
          <w14:textFill>
            <w14:solidFill>
              <w14:schemeClr w14:val="tx1"/>
            </w14:solidFill>
          </w14:textFill>
        </w:rPr>
        <w:t>不新增</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全厂</w:t>
      </w:r>
      <w:r>
        <w:rPr>
          <w:rFonts w:hint="default" w:ascii="Times New Roman" w:hAnsi="Times New Roman" w:eastAsia="仿宋" w:cs="Times New Roman"/>
          <w:color w:val="000000" w:themeColor="text1"/>
          <w:kern w:val="2"/>
          <w:sz w:val="32"/>
          <w:szCs w:val="32"/>
          <w14:textFill>
            <w14:solidFill>
              <w14:schemeClr w14:val="tx1"/>
            </w14:solidFill>
          </w14:textFill>
        </w:rPr>
        <w:t>NOx</w:t>
      </w:r>
      <w:r>
        <w:rPr>
          <w:rFonts w:hint="default" w:ascii="Times New Roman" w:hAnsi="Times New Roman" w:eastAsia="仿宋" w:cs="Times New Roman"/>
          <w:color w:val="000000" w:themeColor="text1"/>
          <w:kern w:val="2"/>
          <w:sz w:val="32"/>
          <w:szCs w:val="32"/>
          <w:lang w:eastAsia="zh-CN"/>
          <w14:textFill>
            <w14:solidFill>
              <w14:schemeClr w14:val="tx1"/>
            </w14:solidFill>
          </w14:textFill>
        </w:rPr>
        <w:t>、</w:t>
      </w:r>
      <w:r>
        <w:rPr>
          <w:rFonts w:hint="default" w:ascii="Times New Roman" w:hAnsi="Times New Roman" w:eastAsia="仿宋" w:cs="Times New Roman"/>
          <w:color w:val="000000" w:themeColor="text1"/>
          <w:kern w:val="2"/>
          <w:sz w:val="32"/>
          <w:szCs w:val="32"/>
          <w14:textFill>
            <w14:solidFill>
              <w14:schemeClr w14:val="tx1"/>
            </w14:solidFill>
          </w14:textFill>
        </w:rPr>
        <w:t>SO</w:t>
      </w:r>
      <w:r>
        <w:rPr>
          <w:rFonts w:hint="default" w:ascii="Times New Roman" w:hAnsi="Times New Roman" w:eastAsia="仿宋" w:cs="Times New Roman"/>
          <w:color w:val="000000" w:themeColor="text1"/>
          <w:kern w:val="2"/>
          <w:sz w:val="32"/>
          <w:szCs w:val="32"/>
          <w:vertAlign w:val="subscript"/>
          <w14:textFill>
            <w14:solidFill>
              <w14:schemeClr w14:val="tx1"/>
            </w14:solidFill>
          </w14:textFill>
        </w:rPr>
        <w:t>2</w:t>
      </w:r>
      <w:r>
        <w:rPr>
          <w:rFonts w:hint="default" w:ascii="Times New Roman" w:hAnsi="Times New Roman" w:eastAsia="仿宋" w:cs="Times New Roman"/>
          <w:color w:val="000000" w:themeColor="text1"/>
          <w:kern w:val="2"/>
          <w:sz w:val="32"/>
          <w:szCs w:val="32"/>
          <w14:textFill>
            <w14:solidFill>
              <w14:schemeClr w14:val="tx1"/>
            </w14:solidFill>
          </w14:textFill>
        </w:rPr>
        <w:t>排放量，总量</w:t>
      </w:r>
      <w:r>
        <w:rPr>
          <w:rFonts w:hint="default" w:ascii="Times New Roman" w:hAnsi="Times New Roman" w:eastAsia="仿宋" w:cs="Times New Roman"/>
          <w:color w:val="000000" w:themeColor="text1"/>
          <w:kern w:val="2"/>
          <w:sz w:val="32"/>
          <w:szCs w:val="32"/>
          <w:lang w:val="en-US" w:eastAsia="zh-CN"/>
          <w14:textFill>
            <w14:solidFill>
              <w14:schemeClr w14:val="tx1"/>
            </w14:solidFill>
          </w14:textFill>
        </w:rPr>
        <w:t>指标</w:t>
      </w:r>
      <w:r>
        <w:rPr>
          <w:rFonts w:hint="default" w:ascii="Times New Roman" w:hAnsi="Times New Roman" w:eastAsia="仿宋" w:cs="Times New Roman"/>
          <w:color w:val="000000" w:themeColor="text1"/>
          <w:kern w:val="2"/>
          <w:sz w:val="32"/>
          <w:szCs w:val="32"/>
          <w14:textFill>
            <w14:solidFill>
              <w14:schemeClr w14:val="tx1"/>
            </w14:solidFill>
          </w14:textFill>
        </w:rPr>
        <w:t>无需购买</w:t>
      </w:r>
      <w:r>
        <w:rPr>
          <w:rFonts w:hint="default" w:ascii="Times New Roman" w:hAnsi="Times New Roman" w:eastAsia="仿宋" w:cs="Times New Roman"/>
          <w:color w:val="000000" w:themeColor="text1"/>
          <w:kern w:val="2"/>
          <w:sz w:val="32"/>
          <w:szCs w:val="32"/>
          <w:lang w:eastAsia="zh-CN"/>
          <w14:textFill>
            <w14:solidFill>
              <w14:schemeClr w14:val="tx1"/>
            </w14:solidFill>
          </w14:textFill>
        </w:rPr>
        <w:t>。</w:t>
      </w:r>
    </w:p>
    <w:p w14:paraId="22DC1210">
      <w:pPr>
        <w:pStyle w:val="13"/>
        <w:keepNext w:val="0"/>
        <w:keepLines w:val="0"/>
        <w:pageBreakBefore w:val="0"/>
        <w:widowControl w:val="0"/>
        <w:kinsoku/>
        <w:wordWrap/>
        <w:overflowPunct/>
        <w:topLinePunct w:val="0"/>
        <w:autoSpaceDE w:val="0"/>
        <w:autoSpaceDN/>
        <w:bidi w:val="0"/>
        <w:adjustRightInd/>
        <w:snapToGrid/>
        <w:spacing w:before="0" w:beforeAutospacing="0" w:after="0" w:afterAutospacing="0" w:line="560" w:lineRule="exact"/>
        <w:ind w:firstLine="643" w:firstLineChars="200"/>
        <w:jc w:val="both"/>
        <w:rPr>
          <w:rFonts w:hint="default" w:ascii="Times New Roman" w:hAnsi="Times New Roman" w:eastAsia="仿宋"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 w:cs="Times New Roman"/>
          <w:b/>
          <w:bCs/>
          <w:color w:val="000000" w:themeColor="text1"/>
          <w:kern w:val="2"/>
          <w:sz w:val="32"/>
          <w:szCs w:val="32"/>
          <w:lang w:val="en-US" w:eastAsia="zh-CN"/>
          <w14:textFill>
            <w14:solidFill>
              <w14:schemeClr w14:val="tx1"/>
            </w14:solidFill>
          </w14:textFill>
        </w:rPr>
        <w:t>7</w:t>
      </w:r>
      <w:r>
        <w:rPr>
          <w:rFonts w:hint="default" w:ascii="Times New Roman" w:hAnsi="Times New Roman" w:eastAsia="仿宋" w:cs="Times New Roman"/>
          <w:b/>
          <w:bCs/>
          <w:color w:val="000000" w:themeColor="text1"/>
          <w:kern w:val="2"/>
          <w:sz w:val="32"/>
          <w:szCs w:val="32"/>
          <w14:textFill>
            <w14:solidFill>
              <w14:schemeClr w14:val="tx1"/>
            </w14:solidFill>
          </w14:textFill>
        </w:rPr>
        <w:t>.加强环境管理与环境风险防范。</w:t>
      </w:r>
      <w:r>
        <w:rPr>
          <w:rFonts w:hint="default" w:ascii="Times New Roman" w:hAnsi="Times New Roman" w:eastAsia="仿宋" w:cs="Times New Roman"/>
          <w:color w:val="000000" w:themeColor="text1"/>
          <w:kern w:val="2"/>
          <w:sz w:val="32"/>
          <w:szCs w:val="32"/>
          <w:lang w:val="en-US" w:eastAsia="zh-CN" w:bidi="ar-SA"/>
          <w14:textFill>
            <w14:solidFill>
              <w14:schemeClr w14:val="tx1"/>
            </w14:solidFill>
          </w14:textFill>
        </w:rPr>
        <w:t>设置环保机构和专职人员，建立健全的环境管理制度；做好非正常工况下的污染防治措施，确保设施正常稳定运行；规范化建设排污口及标识标牌，落实企业自行监测、排污许可等要求；严格按照国家有关法律法规要求落实各项安全措施和风险防范措施。</w:t>
      </w:r>
    </w:p>
    <w:p w14:paraId="2E3CECD4">
      <w:pPr>
        <w:pStyle w:val="13"/>
        <w:keepNext w:val="0"/>
        <w:keepLines w:val="0"/>
        <w:pageBreakBefore w:val="0"/>
        <w:widowControl w:val="0"/>
        <w:kinsoku/>
        <w:wordWrap/>
        <w:overflowPunct/>
        <w:topLinePunct w:val="0"/>
        <w:autoSpaceDE w:val="0"/>
        <w:autoSpaceDN/>
        <w:bidi w:val="0"/>
        <w:adjustRightInd/>
        <w:snapToGrid/>
        <w:spacing w:before="0" w:beforeAutospacing="0" w:after="0" w:afterAutospacing="0" w:line="560" w:lineRule="exact"/>
        <w:ind w:firstLine="643" w:firstLineChars="200"/>
        <w:jc w:val="both"/>
        <w:rPr>
          <w:rFonts w:hint="default" w:ascii="Times New Roman" w:hAnsi="Times New Roman" w:eastAsia="仿宋"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 w:cs="Times New Roman"/>
          <w:b/>
          <w:bCs/>
          <w:color w:val="000000" w:themeColor="text1"/>
          <w:kern w:val="2"/>
          <w:sz w:val="32"/>
          <w:szCs w:val="32"/>
          <w:lang w:val="en-US" w:eastAsia="zh-CN" w:bidi="ar-SA"/>
          <w14:textFill>
            <w14:solidFill>
              <w14:schemeClr w14:val="tx1"/>
            </w14:solidFill>
          </w14:textFill>
        </w:rPr>
        <w:t>8</w:t>
      </w:r>
      <w:r>
        <w:rPr>
          <w:rFonts w:hint="default" w:ascii="Times New Roman" w:hAnsi="Times New Roman" w:eastAsia="仿宋" w:cs="Times New Roman"/>
          <w:color w:val="000000" w:themeColor="text1"/>
          <w:kern w:val="2"/>
          <w:sz w:val="32"/>
          <w:szCs w:val="32"/>
          <w:lang w:val="en-US" w:eastAsia="zh-CN" w:bidi="ar-SA"/>
          <w14:textFill>
            <w14:solidFill>
              <w14:schemeClr w14:val="tx1"/>
            </w14:solidFill>
          </w14:textFill>
        </w:rPr>
        <w:t>.</w:t>
      </w:r>
      <w:r>
        <w:rPr>
          <w:rFonts w:hint="default" w:ascii="Times New Roman" w:hAnsi="Times New Roman" w:eastAsia="仿宋" w:cs="Times New Roman"/>
          <w:b w:val="0"/>
          <w:bCs w:val="0"/>
          <w:color w:val="000000" w:themeColor="text1"/>
          <w:sz w:val="32"/>
          <w:szCs w:val="32"/>
          <w:lang w:eastAsia="zh-CN"/>
          <w14:textFill>
            <w14:solidFill>
              <w14:schemeClr w14:val="tx1"/>
            </w14:solidFill>
          </w14:textFill>
        </w:rPr>
        <w:t>其余仍执行</w:t>
      </w:r>
      <w:r>
        <w:rPr>
          <w:rFonts w:hint="default" w:ascii="Times New Roman" w:hAnsi="Times New Roman" w:eastAsia="仿宋_GB2312" w:cs="Times New Roman"/>
          <w:b w:val="0"/>
          <w:bCs w:val="0"/>
          <w:color w:val="000000"/>
          <w:sz w:val="32"/>
          <w:szCs w:val="32"/>
          <w:u w:val="none" w:color="auto"/>
          <w:lang w:val="en-US" w:eastAsia="zh-CN"/>
        </w:rPr>
        <w:t>《关于湖南九丰农业发展有限公司年产1000吨浓香菜籽油项目环境影响报告表的批复》</w:t>
      </w:r>
      <w:r>
        <w:rPr>
          <w:rFonts w:hint="default" w:ascii="Times New Roman" w:hAnsi="Times New Roman" w:eastAsia="仿宋" w:cs="Times New Roman"/>
          <w:b w:val="0"/>
          <w:bCs w:val="0"/>
          <w:color w:val="000000" w:themeColor="text1"/>
          <w:sz w:val="32"/>
          <w:szCs w:val="32"/>
          <w:lang w:val="en-US" w:eastAsia="zh-CN"/>
          <w14:textFill>
            <w14:solidFill>
              <w14:schemeClr w14:val="tx1"/>
            </w14:solidFill>
          </w14:textFill>
        </w:rPr>
        <w:t>岳临环评〔2022〕20号中的相关要求。</w:t>
      </w:r>
    </w:p>
    <w:p w14:paraId="53C96697">
      <w:pPr>
        <w:keepNext w:val="0"/>
        <w:keepLines w:val="0"/>
        <w:pageBreakBefore w:val="0"/>
        <w:kinsoku/>
        <w:wordWrap/>
        <w:overflowPunct/>
        <w:topLinePunct w:val="0"/>
        <w:autoSpaceDN/>
        <w:bidi w:val="0"/>
        <w:adjustRightInd/>
        <w:snapToGrid/>
        <w:spacing w:line="560" w:lineRule="exact"/>
        <w:ind w:firstLine="640"/>
        <w:jc w:val="both"/>
        <w:rPr>
          <w:rFonts w:hint="default" w:ascii="Times New Roman" w:hAnsi="Times New Roman" w:eastAsia="仿宋" w:cs="Times New Roman"/>
          <w:color w:val="000000" w:themeColor="text1"/>
          <w:kern w:val="2"/>
          <w:sz w:val="32"/>
          <w:szCs w:val="32"/>
          <w:lang w:val="zh-CN"/>
          <w14:textFill>
            <w14:solidFill>
              <w14:schemeClr w14:val="tx1"/>
            </w14:solidFill>
          </w14:textFill>
        </w:rPr>
      </w:pPr>
      <w:r>
        <w:rPr>
          <w:rFonts w:hint="default" w:ascii="Times New Roman" w:hAnsi="Times New Roman" w:eastAsia="仿宋" w:cs="Times New Roman"/>
          <w:color w:val="000000" w:themeColor="text1"/>
          <w:kern w:val="2"/>
          <w:sz w:val="32"/>
          <w:szCs w:val="32"/>
          <w14:textFill>
            <w14:solidFill>
              <w14:schemeClr w14:val="tx1"/>
            </w14:solidFill>
          </w14:textFill>
        </w:rPr>
        <w:t>三、严格按规程操作，确保各种污染治理设施的正常运行。项目建成后应按规定程序实施竣工环境保护验收。由岳阳市临湘生态环境保护综合行政执法大队负责该项目的日常现场监管</w:t>
      </w:r>
      <w:r>
        <w:rPr>
          <w:rFonts w:hint="default" w:ascii="Times New Roman" w:hAnsi="Times New Roman" w:eastAsia="仿宋" w:cs="Times New Roman"/>
          <w:color w:val="000000" w:themeColor="text1"/>
          <w:kern w:val="2"/>
          <w:sz w:val="32"/>
          <w:szCs w:val="32"/>
          <w:lang w:val="zh-CN"/>
          <w14:textFill>
            <w14:solidFill>
              <w14:schemeClr w14:val="tx1"/>
            </w14:solidFill>
          </w14:textFill>
        </w:rPr>
        <w:t>。</w:t>
      </w:r>
    </w:p>
    <w:p w14:paraId="769A925D">
      <w:pPr>
        <w:keepNext w:val="0"/>
        <w:keepLines w:val="0"/>
        <w:pageBreakBefore w:val="0"/>
        <w:kinsoku/>
        <w:wordWrap/>
        <w:overflowPunct/>
        <w:topLinePunct w:val="0"/>
        <w:autoSpaceDN/>
        <w:bidi w:val="0"/>
        <w:adjustRightInd/>
        <w:snapToGrid/>
        <w:spacing w:line="560" w:lineRule="exact"/>
        <w:ind w:firstLine="640"/>
        <w:jc w:val="both"/>
        <w:rPr>
          <w:rFonts w:hint="default" w:ascii="Times New Roman" w:hAnsi="Times New Roman" w:eastAsia="仿宋" w:cs="Times New Roman"/>
          <w:color w:val="000000" w:themeColor="text1"/>
          <w:kern w:val="2"/>
          <w:sz w:val="32"/>
          <w:szCs w:val="32"/>
          <w:lang w:val="zh-CN"/>
          <w14:textFill>
            <w14:solidFill>
              <w14:schemeClr w14:val="tx1"/>
            </w14:solidFill>
          </w14:textFill>
        </w:rPr>
      </w:pPr>
    </w:p>
    <w:p w14:paraId="4E0F1B10">
      <w:pPr>
        <w:keepNext w:val="0"/>
        <w:keepLines w:val="0"/>
        <w:pageBreakBefore w:val="0"/>
        <w:kinsoku/>
        <w:wordWrap/>
        <w:overflowPunct/>
        <w:topLinePunct w:val="0"/>
        <w:autoSpaceDN/>
        <w:bidi w:val="0"/>
        <w:adjustRightInd/>
        <w:snapToGrid/>
        <w:spacing w:line="560" w:lineRule="exact"/>
        <w:ind w:firstLine="640"/>
        <w:jc w:val="both"/>
        <w:rPr>
          <w:rFonts w:hint="default" w:ascii="Times New Roman" w:hAnsi="Times New Roman" w:eastAsia="仿宋" w:cs="Times New Roman"/>
          <w:color w:val="000000" w:themeColor="text1"/>
          <w:kern w:val="2"/>
          <w:sz w:val="32"/>
          <w:szCs w:val="32"/>
          <w:lang w:val="zh-CN"/>
          <w14:textFill>
            <w14:solidFill>
              <w14:schemeClr w14:val="tx1"/>
            </w14:solidFill>
          </w14:textFill>
        </w:rPr>
      </w:pPr>
    </w:p>
    <w:p w14:paraId="7DA5C337">
      <w:pPr>
        <w:pStyle w:val="30"/>
        <w:keepNext w:val="0"/>
        <w:keepLines w:val="0"/>
        <w:pageBreakBefore w:val="0"/>
        <w:kinsoku/>
        <w:wordWrap/>
        <w:overflowPunct/>
        <w:topLinePunct w:val="0"/>
        <w:autoSpaceDN/>
        <w:bidi w:val="0"/>
        <w:adjustRightInd/>
        <w:snapToGrid/>
        <w:spacing w:line="560" w:lineRule="exact"/>
        <w:ind w:firstLine="5760" w:firstLineChars="1800"/>
        <w:jc w:val="both"/>
        <w:textAlignment w:val="top"/>
        <w:rPr>
          <w:rFonts w:hint="default" w:ascii="Times New Roman" w:hAnsi="Times New Roman" w:eastAsia="仿宋" w:cs="Times New Roman"/>
          <w:color w:val="000000" w:themeColor="text1"/>
          <w:kern w:val="2"/>
          <w:sz w:val="32"/>
          <w:szCs w:val="32"/>
          <w14:textFill>
            <w14:solidFill>
              <w14:schemeClr w14:val="tx1"/>
            </w14:solidFill>
          </w14:textFill>
        </w:rPr>
      </w:pPr>
      <w:r>
        <w:rPr>
          <w:rFonts w:hint="default" w:ascii="Times New Roman" w:hAnsi="Times New Roman" w:eastAsia="仿宋" w:cs="Times New Roman"/>
          <w:color w:val="000000" w:themeColor="text1"/>
          <w:kern w:val="2"/>
          <w:sz w:val="32"/>
          <w:szCs w:val="32"/>
          <w14:textFill>
            <w14:solidFill>
              <w14:schemeClr w14:val="tx1"/>
            </w14:solidFill>
          </w14:textFill>
        </w:rPr>
        <w:t>岳阳市生态环境局</w:t>
      </w:r>
    </w:p>
    <w:p w14:paraId="59238E26">
      <w:pPr>
        <w:pStyle w:val="30"/>
        <w:keepNext w:val="0"/>
        <w:keepLines w:val="0"/>
        <w:pageBreakBefore w:val="0"/>
        <w:tabs>
          <w:tab w:val="left" w:pos="5580"/>
        </w:tabs>
        <w:kinsoku/>
        <w:wordWrap/>
        <w:overflowPunct/>
        <w:topLinePunct w:val="0"/>
        <w:autoSpaceDN/>
        <w:bidi w:val="0"/>
        <w:adjustRightInd/>
        <w:snapToGrid/>
        <w:spacing w:line="560" w:lineRule="exact"/>
        <w:ind w:firstLine="5760" w:firstLineChars="1800"/>
        <w:jc w:val="both"/>
        <w:textAlignment w:val="top"/>
        <w:rPr>
          <w:rFonts w:hint="default" w:ascii="Times New Roman" w:hAnsi="Times New Roman" w:eastAsia="仿宋" w:cs="Times New Roman"/>
          <w:color w:val="000000" w:themeColor="text1"/>
          <w:sz w:val="32"/>
          <w:szCs w:val="32"/>
          <w:highlight w:val="none"/>
          <w14:textFill>
            <w14:solidFill>
              <w14:schemeClr w14:val="tx1"/>
            </w14:solidFill>
          </w14:textFill>
        </w:rPr>
      </w:pPr>
      <w:r>
        <w:rPr>
          <w:rFonts w:hint="default" w:ascii="Times New Roman" w:hAnsi="Times New Roman" w:eastAsia="仿宋" w:cs="Times New Roman"/>
          <w:color w:val="000000" w:themeColor="text1"/>
          <w:kern w:val="2"/>
          <w:sz w:val="32"/>
          <w:szCs w:val="32"/>
          <w:highlight w:val="none"/>
          <w14:textFill>
            <w14:solidFill>
              <w14:schemeClr w14:val="tx1"/>
            </w14:solidFill>
          </w14:textFill>
        </w:rPr>
        <w:t>202</w:t>
      </w:r>
      <w:r>
        <w:rPr>
          <w:rFonts w:hint="default" w:ascii="Times New Roman" w:hAnsi="Times New Roman" w:eastAsia="仿宋" w:cs="Times New Roman"/>
          <w:color w:val="000000" w:themeColor="text1"/>
          <w:kern w:val="2"/>
          <w:sz w:val="32"/>
          <w:szCs w:val="32"/>
          <w:highlight w:val="none"/>
          <w:lang w:val="en-US" w:eastAsia="zh-CN"/>
          <w14:textFill>
            <w14:solidFill>
              <w14:schemeClr w14:val="tx1"/>
            </w14:solidFill>
          </w14:textFill>
        </w:rPr>
        <w:t>6</w:t>
      </w:r>
      <w:r>
        <w:rPr>
          <w:rFonts w:hint="default" w:ascii="Times New Roman" w:hAnsi="Times New Roman" w:eastAsia="仿宋" w:cs="Times New Roman"/>
          <w:color w:val="000000" w:themeColor="text1"/>
          <w:kern w:val="2"/>
          <w:sz w:val="32"/>
          <w:szCs w:val="32"/>
          <w:highlight w:val="none"/>
          <w14:textFill>
            <w14:solidFill>
              <w14:schemeClr w14:val="tx1"/>
            </w14:solidFill>
          </w14:textFill>
        </w:rPr>
        <w:t>年</w:t>
      </w:r>
      <w:r>
        <w:rPr>
          <w:rFonts w:hint="default" w:ascii="Times New Roman" w:hAnsi="Times New Roman" w:eastAsia="仿宋" w:cs="Times New Roman"/>
          <w:color w:val="000000" w:themeColor="text1"/>
          <w:kern w:val="2"/>
          <w:sz w:val="32"/>
          <w:szCs w:val="32"/>
          <w:highlight w:val="none"/>
          <w:lang w:val="en-US" w:eastAsia="zh-CN"/>
          <w14:textFill>
            <w14:solidFill>
              <w14:schemeClr w14:val="tx1"/>
            </w14:solidFill>
          </w14:textFill>
        </w:rPr>
        <w:t>9</w:t>
      </w:r>
      <w:r>
        <w:rPr>
          <w:rFonts w:hint="default" w:ascii="Times New Roman" w:hAnsi="Times New Roman" w:eastAsia="仿宋" w:cs="Times New Roman"/>
          <w:color w:val="000000" w:themeColor="text1"/>
          <w:kern w:val="2"/>
          <w:sz w:val="32"/>
          <w:szCs w:val="32"/>
          <w:highlight w:val="none"/>
          <w14:textFill>
            <w14:solidFill>
              <w14:schemeClr w14:val="tx1"/>
            </w14:solidFill>
          </w14:textFill>
        </w:rPr>
        <w:t>月</w:t>
      </w:r>
      <w:r>
        <w:rPr>
          <w:rFonts w:hint="default" w:ascii="Times New Roman" w:hAnsi="Times New Roman" w:eastAsia="仿宋" w:cs="Times New Roman"/>
          <w:color w:val="000000" w:themeColor="text1"/>
          <w:kern w:val="2"/>
          <w:sz w:val="32"/>
          <w:szCs w:val="32"/>
          <w:highlight w:val="none"/>
          <w:lang w:val="en-US" w:eastAsia="zh-CN"/>
          <w14:textFill>
            <w14:solidFill>
              <w14:schemeClr w14:val="tx1"/>
            </w14:solidFill>
          </w14:textFill>
        </w:rPr>
        <w:t>17</w:t>
      </w:r>
      <w:r>
        <w:rPr>
          <w:rFonts w:hint="default" w:ascii="Times New Roman" w:hAnsi="Times New Roman" w:eastAsia="仿宋" w:cs="Times New Roman"/>
          <w:color w:val="000000" w:themeColor="text1"/>
          <w:kern w:val="2"/>
          <w:sz w:val="32"/>
          <w:szCs w:val="32"/>
          <w:highlight w:val="none"/>
          <w14:textFill>
            <w14:solidFill>
              <w14:schemeClr w14:val="tx1"/>
            </w14:solidFill>
          </w14:textFill>
        </w:rPr>
        <w:t>日</w:t>
      </w:r>
    </w:p>
    <w:sectPr>
      <w:footerReference r:id="rId7" w:type="default"/>
      <w:pgSz w:w="11906" w:h="16838"/>
      <w:pgMar w:top="1440" w:right="1588" w:bottom="1440" w:left="1588" w:header="851" w:footer="850" w:gutter="0"/>
      <w:pgNumType w:start="2"/>
      <w:cols w:space="720" w:num="1"/>
      <w:docGrid w:type="lines" w:linePitch="273"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00"/>
      </w:pPr>
      <w:r>
        <w:separator/>
      </w:r>
    </w:p>
  </w:endnote>
  <w:endnote w:type="continuationSeparator" w:id="1">
    <w:p>
      <w:pPr>
        <w:ind w:firstLine="4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font>
  <w:font w:name="方正楷体_GB2312">
    <w:panose1 w:val="02000000000000000000"/>
    <w:charset w:val="86"/>
    <w:family w:val="auto"/>
    <w:pitch w:val="default"/>
    <w:sig w:usb0="A00002BF" w:usb1="184F6CFA" w:usb2="00000012" w:usb3="00000000" w:csb0="00040001" w:csb1="00000000"/>
  </w:font>
  <w:font w:name="方正仿宋_GB2312">
    <w:panose1 w:val="02000000000000000000"/>
    <w:charset w:val="86"/>
    <w:family w:val="auto"/>
    <w:pitch w:val="default"/>
    <w:sig w:usb0="A00002BF" w:usb1="184F6CFA" w:usb2="00000012"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Arial Unicode MS">
    <w:panose1 w:val="020B0604020202020204"/>
    <w:charset w:val="86"/>
    <w:family w:val="swiss"/>
    <w:pitch w:val="default"/>
    <w:sig w:usb0="F7FFAEFF" w:usb1="F9DFFFFF" w:usb2="0000007F" w:usb3="00000000" w:csb0="203F01FF" w:csb1="DFFF0000"/>
  </w:font>
  <w:font w:name="Corbel">
    <w:panose1 w:val="020B0503020204020204"/>
    <w:charset w:val="00"/>
    <w:family w:val="swiss"/>
    <w:pitch w:val="default"/>
    <w:sig w:usb0="A00002EF" w:usb1="4000A44B" w:usb2="00000000" w:usb3="00000000" w:csb0="2000019F"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8AA4E">
    <w:pPr>
      <w:pStyle w:val="11"/>
      <w:tabs>
        <w:tab w:val="left" w:pos="3903"/>
        <w:tab w:val="clear" w:pos="4153"/>
      </w:tabs>
      <w:ind w:firstLine="360"/>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FE8E4">
    <w:pPr>
      <w:pStyle w:val="11"/>
      <w:tabs>
        <w:tab w:val="left" w:pos="3903"/>
        <w:tab w:val="clear" w:pos="4153"/>
      </w:tabs>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992F50">
                          <w:pPr>
                            <w:pStyle w:val="11"/>
                            <w:ind w:firstLine="36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74992F50">
                    <w:pPr>
                      <w:pStyle w:val="11"/>
                      <w:ind w:firstLine="36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r>
      <w:rPr>
        <w:rFonts w:hint="eastAsia"/>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00"/>
      </w:pPr>
      <w:r>
        <w:separator/>
      </w:r>
    </w:p>
  </w:footnote>
  <w:footnote w:type="continuationSeparator" w:id="1">
    <w:p>
      <w:pPr>
        <w:ind w:firstLine="40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7209E">
    <w:pPr>
      <w:pStyle w:val="12"/>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2A5F2C"/>
    <w:multiLevelType w:val="singleLevel"/>
    <w:tmpl w:val="B12A5F2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0"/>
  <w:drawingGridVerticalSpacing w:val="273"/>
  <w:displayHorizontalDrawingGridEvery w:val="0"/>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520"/>
    <w:rsid w:val="00306F3A"/>
    <w:rsid w:val="00345C05"/>
    <w:rsid w:val="00395B61"/>
    <w:rsid w:val="003A03E2"/>
    <w:rsid w:val="0041729C"/>
    <w:rsid w:val="00646C16"/>
    <w:rsid w:val="006A3FC2"/>
    <w:rsid w:val="006C3ACD"/>
    <w:rsid w:val="006D21E4"/>
    <w:rsid w:val="009C1E4E"/>
    <w:rsid w:val="00A6644F"/>
    <w:rsid w:val="00B34EDC"/>
    <w:rsid w:val="00B734C6"/>
    <w:rsid w:val="00C11338"/>
    <w:rsid w:val="00CE459A"/>
    <w:rsid w:val="00E97E38"/>
    <w:rsid w:val="00EC4520"/>
    <w:rsid w:val="00FE2CD5"/>
    <w:rsid w:val="014D28C9"/>
    <w:rsid w:val="01B666C0"/>
    <w:rsid w:val="01FC55C4"/>
    <w:rsid w:val="020407DD"/>
    <w:rsid w:val="023C53DB"/>
    <w:rsid w:val="02777BFD"/>
    <w:rsid w:val="02EA4873"/>
    <w:rsid w:val="03D177E1"/>
    <w:rsid w:val="03D96696"/>
    <w:rsid w:val="040265F8"/>
    <w:rsid w:val="04BF6FBF"/>
    <w:rsid w:val="04FA2D68"/>
    <w:rsid w:val="052A53FB"/>
    <w:rsid w:val="058368B9"/>
    <w:rsid w:val="05B253F0"/>
    <w:rsid w:val="065F10D4"/>
    <w:rsid w:val="06766D74"/>
    <w:rsid w:val="0717375D"/>
    <w:rsid w:val="07271259"/>
    <w:rsid w:val="07A442D1"/>
    <w:rsid w:val="07C1191B"/>
    <w:rsid w:val="080109C6"/>
    <w:rsid w:val="088C3CD7"/>
    <w:rsid w:val="08C23B9D"/>
    <w:rsid w:val="09810AA5"/>
    <w:rsid w:val="099F5A02"/>
    <w:rsid w:val="0B1F52D6"/>
    <w:rsid w:val="0BDF4656"/>
    <w:rsid w:val="0C8B7410"/>
    <w:rsid w:val="0CD30126"/>
    <w:rsid w:val="0D0F3224"/>
    <w:rsid w:val="0D576499"/>
    <w:rsid w:val="0D9A523E"/>
    <w:rsid w:val="0DAF1467"/>
    <w:rsid w:val="0E0367E9"/>
    <w:rsid w:val="0E486D6B"/>
    <w:rsid w:val="0E54021A"/>
    <w:rsid w:val="0F084C1D"/>
    <w:rsid w:val="0F0E4067"/>
    <w:rsid w:val="0F8B68A4"/>
    <w:rsid w:val="0FA45C75"/>
    <w:rsid w:val="0FC87CEA"/>
    <w:rsid w:val="0FD541B5"/>
    <w:rsid w:val="100028AE"/>
    <w:rsid w:val="106B68C8"/>
    <w:rsid w:val="107547A7"/>
    <w:rsid w:val="10927ABC"/>
    <w:rsid w:val="10C17EAD"/>
    <w:rsid w:val="11AC7198"/>
    <w:rsid w:val="11D0604B"/>
    <w:rsid w:val="124318AA"/>
    <w:rsid w:val="128629E5"/>
    <w:rsid w:val="128A19B4"/>
    <w:rsid w:val="129245E0"/>
    <w:rsid w:val="12B912C7"/>
    <w:rsid w:val="12F2507E"/>
    <w:rsid w:val="13242127"/>
    <w:rsid w:val="132A7A44"/>
    <w:rsid w:val="13734411"/>
    <w:rsid w:val="13C609E5"/>
    <w:rsid w:val="146B6E96"/>
    <w:rsid w:val="14942891"/>
    <w:rsid w:val="14E86739"/>
    <w:rsid w:val="1540069F"/>
    <w:rsid w:val="159266A5"/>
    <w:rsid w:val="160E4AAD"/>
    <w:rsid w:val="16247C45"/>
    <w:rsid w:val="16856BC4"/>
    <w:rsid w:val="17562080"/>
    <w:rsid w:val="176A5B2B"/>
    <w:rsid w:val="17EB59EB"/>
    <w:rsid w:val="182B350C"/>
    <w:rsid w:val="183A7126"/>
    <w:rsid w:val="18421155"/>
    <w:rsid w:val="18680CF7"/>
    <w:rsid w:val="186B3909"/>
    <w:rsid w:val="19AF3CC9"/>
    <w:rsid w:val="19CE3AEE"/>
    <w:rsid w:val="19EF26A6"/>
    <w:rsid w:val="1A460E27"/>
    <w:rsid w:val="1AD91131"/>
    <w:rsid w:val="1B100797"/>
    <w:rsid w:val="1B627E82"/>
    <w:rsid w:val="1B672092"/>
    <w:rsid w:val="1B6D1F0E"/>
    <w:rsid w:val="1BCA7BC9"/>
    <w:rsid w:val="1BD03EEB"/>
    <w:rsid w:val="1C72170E"/>
    <w:rsid w:val="1C7467DC"/>
    <w:rsid w:val="1CB60C0D"/>
    <w:rsid w:val="1DDC7057"/>
    <w:rsid w:val="1E4075E6"/>
    <w:rsid w:val="1E5124DA"/>
    <w:rsid w:val="1E6F015B"/>
    <w:rsid w:val="1E876F10"/>
    <w:rsid w:val="1F1F6287"/>
    <w:rsid w:val="1F226CEB"/>
    <w:rsid w:val="1F291F60"/>
    <w:rsid w:val="20120B0E"/>
    <w:rsid w:val="201E3957"/>
    <w:rsid w:val="206A094A"/>
    <w:rsid w:val="20B50873"/>
    <w:rsid w:val="212201CD"/>
    <w:rsid w:val="21726EAE"/>
    <w:rsid w:val="220B1CB9"/>
    <w:rsid w:val="22364F87"/>
    <w:rsid w:val="22A04AF7"/>
    <w:rsid w:val="22B71C0B"/>
    <w:rsid w:val="230230BC"/>
    <w:rsid w:val="235D6544"/>
    <w:rsid w:val="23644CDE"/>
    <w:rsid w:val="23CA65C3"/>
    <w:rsid w:val="24AD62FD"/>
    <w:rsid w:val="24AE7586"/>
    <w:rsid w:val="25793825"/>
    <w:rsid w:val="25EB42DB"/>
    <w:rsid w:val="25EC0B17"/>
    <w:rsid w:val="26236B82"/>
    <w:rsid w:val="263A0D4A"/>
    <w:rsid w:val="26793695"/>
    <w:rsid w:val="267E0CAB"/>
    <w:rsid w:val="26964247"/>
    <w:rsid w:val="26A57AC5"/>
    <w:rsid w:val="26F64CE5"/>
    <w:rsid w:val="27937E96"/>
    <w:rsid w:val="27A75FE0"/>
    <w:rsid w:val="282D0BDB"/>
    <w:rsid w:val="2848606D"/>
    <w:rsid w:val="28692EB0"/>
    <w:rsid w:val="290F6532"/>
    <w:rsid w:val="29311DD0"/>
    <w:rsid w:val="29826D04"/>
    <w:rsid w:val="2A385615"/>
    <w:rsid w:val="2AD417E1"/>
    <w:rsid w:val="2AD41D17"/>
    <w:rsid w:val="2AE216BA"/>
    <w:rsid w:val="2B141465"/>
    <w:rsid w:val="2C7F752B"/>
    <w:rsid w:val="2CB52E8B"/>
    <w:rsid w:val="2D087520"/>
    <w:rsid w:val="2D0A34E8"/>
    <w:rsid w:val="2D506C2A"/>
    <w:rsid w:val="2D807BE3"/>
    <w:rsid w:val="2D8C63A3"/>
    <w:rsid w:val="2DDD7A33"/>
    <w:rsid w:val="2F963CB6"/>
    <w:rsid w:val="2FCD1E2A"/>
    <w:rsid w:val="30696528"/>
    <w:rsid w:val="309C68FD"/>
    <w:rsid w:val="311D1A84"/>
    <w:rsid w:val="313A33BB"/>
    <w:rsid w:val="3176789C"/>
    <w:rsid w:val="31992E3D"/>
    <w:rsid w:val="31C14142"/>
    <w:rsid w:val="31FE39F9"/>
    <w:rsid w:val="32827D75"/>
    <w:rsid w:val="32942D03"/>
    <w:rsid w:val="32D35DC0"/>
    <w:rsid w:val="33AD3976"/>
    <w:rsid w:val="33CA3782"/>
    <w:rsid w:val="33DC1707"/>
    <w:rsid w:val="33E406E4"/>
    <w:rsid w:val="33E5369B"/>
    <w:rsid w:val="340C5B48"/>
    <w:rsid w:val="341F169E"/>
    <w:rsid w:val="345E431C"/>
    <w:rsid w:val="3576787D"/>
    <w:rsid w:val="357A1A28"/>
    <w:rsid w:val="36611AF0"/>
    <w:rsid w:val="36624145"/>
    <w:rsid w:val="36B12429"/>
    <w:rsid w:val="36C00E6C"/>
    <w:rsid w:val="36C22E36"/>
    <w:rsid w:val="36C721FA"/>
    <w:rsid w:val="36C8026D"/>
    <w:rsid w:val="3793516C"/>
    <w:rsid w:val="38F35E38"/>
    <w:rsid w:val="394E09B1"/>
    <w:rsid w:val="39CC3AB9"/>
    <w:rsid w:val="3A377697"/>
    <w:rsid w:val="3B656368"/>
    <w:rsid w:val="3C834E15"/>
    <w:rsid w:val="3D840E45"/>
    <w:rsid w:val="3DB35286"/>
    <w:rsid w:val="3E4D56DB"/>
    <w:rsid w:val="3E7C38CA"/>
    <w:rsid w:val="3ECB6600"/>
    <w:rsid w:val="401069C0"/>
    <w:rsid w:val="41670862"/>
    <w:rsid w:val="41677DDB"/>
    <w:rsid w:val="41FA0356"/>
    <w:rsid w:val="42CE66BF"/>
    <w:rsid w:val="432A7D99"/>
    <w:rsid w:val="433D4DFE"/>
    <w:rsid w:val="435726DF"/>
    <w:rsid w:val="435F13C2"/>
    <w:rsid w:val="4377058C"/>
    <w:rsid w:val="437B05F4"/>
    <w:rsid w:val="437E7B29"/>
    <w:rsid w:val="43AA712C"/>
    <w:rsid w:val="43D7362E"/>
    <w:rsid w:val="43D956BC"/>
    <w:rsid w:val="43E5237C"/>
    <w:rsid w:val="44E126D9"/>
    <w:rsid w:val="45336443"/>
    <w:rsid w:val="457D5993"/>
    <w:rsid w:val="4597723C"/>
    <w:rsid w:val="45AF3521"/>
    <w:rsid w:val="46240408"/>
    <w:rsid w:val="465A4129"/>
    <w:rsid w:val="46DC584E"/>
    <w:rsid w:val="472B2331"/>
    <w:rsid w:val="473867FC"/>
    <w:rsid w:val="477261B2"/>
    <w:rsid w:val="47F70466"/>
    <w:rsid w:val="48074B4D"/>
    <w:rsid w:val="48E72288"/>
    <w:rsid w:val="48EC3D42"/>
    <w:rsid w:val="4981448B"/>
    <w:rsid w:val="49A931C2"/>
    <w:rsid w:val="49E76610"/>
    <w:rsid w:val="4A686803"/>
    <w:rsid w:val="4ADF3B5F"/>
    <w:rsid w:val="4BBA6677"/>
    <w:rsid w:val="4BCD39B7"/>
    <w:rsid w:val="4BFB49C8"/>
    <w:rsid w:val="4C340028"/>
    <w:rsid w:val="4C6F0F12"/>
    <w:rsid w:val="4C7D65CC"/>
    <w:rsid w:val="4C92075D"/>
    <w:rsid w:val="4CD75C9B"/>
    <w:rsid w:val="4CF3569F"/>
    <w:rsid w:val="4DC332C4"/>
    <w:rsid w:val="4DCD4142"/>
    <w:rsid w:val="4DD70957"/>
    <w:rsid w:val="4E4B5418"/>
    <w:rsid w:val="4F0A4F22"/>
    <w:rsid w:val="4F91177A"/>
    <w:rsid w:val="4F993284"/>
    <w:rsid w:val="50836D3A"/>
    <w:rsid w:val="5087540C"/>
    <w:rsid w:val="513A1AEF"/>
    <w:rsid w:val="51444387"/>
    <w:rsid w:val="51E952C3"/>
    <w:rsid w:val="51FC5FD7"/>
    <w:rsid w:val="525F1CB4"/>
    <w:rsid w:val="52BE0E40"/>
    <w:rsid w:val="53EE119D"/>
    <w:rsid w:val="53F65A75"/>
    <w:rsid w:val="54022DA0"/>
    <w:rsid w:val="542919A7"/>
    <w:rsid w:val="54F13EB8"/>
    <w:rsid w:val="551E27A9"/>
    <w:rsid w:val="5563713A"/>
    <w:rsid w:val="55AA0755"/>
    <w:rsid w:val="55AA2FBB"/>
    <w:rsid w:val="55B865D0"/>
    <w:rsid w:val="55E22755"/>
    <w:rsid w:val="562C577E"/>
    <w:rsid w:val="563147AD"/>
    <w:rsid w:val="57603931"/>
    <w:rsid w:val="58122FAA"/>
    <w:rsid w:val="585A65D3"/>
    <w:rsid w:val="5864454A"/>
    <w:rsid w:val="587A1784"/>
    <w:rsid w:val="58BB5497"/>
    <w:rsid w:val="5910095D"/>
    <w:rsid w:val="59284923"/>
    <w:rsid w:val="5A4F7C8D"/>
    <w:rsid w:val="5AF727FF"/>
    <w:rsid w:val="5BC110D0"/>
    <w:rsid w:val="5C313AEE"/>
    <w:rsid w:val="5CC6285A"/>
    <w:rsid w:val="5D957ECE"/>
    <w:rsid w:val="5D9C768D"/>
    <w:rsid w:val="5E693A13"/>
    <w:rsid w:val="5E6F0574"/>
    <w:rsid w:val="5E7A202A"/>
    <w:rsid w:val="5F380192"/>
    <w:rsid w:val="5FB92779"/>
    <w:rsid w:val="5FD276B3"/>
    <w:rsid w:val="5FF90DC7"/>
    <w:rsid w:val="60247DCB"/>
    <w:rsid w:val="60932FCA"/>
    <w:rsid w:val="6117377F"/>
    <w:rsid w:val="611A2D52"/>
    <w:rsid w:val="612C2629"/>
    <w:rsid w:val="613876CD"/>
    <w:rsid w:val="615857B5"/>
    <w:rsid w:val="619C4100"/>
    <w:rsid w:val="61A92379"/>
    <w:rsid w:val="62886432"/>
    <w:rsid w:val="62D6719E"/>
    <w:rsid w:val="62E71472"/>
    <w:rsid w:val="63041F5D"/>
    <w:rsid w:val="638D1F52"/>
    <w:rsid w:val="64873F89"/>
    <w:rsid w:val="64F8789F"/>
    <w:rsid w:val="65077E41"/>
    <w:rsid w:val="65535C7B"/>
    <w:rsid w:val="65964C86"/>
    <w:rsid w:val="65B562F9"/>
    <w:rsid w:val="66A43760"/>
    <w:rsid w:val="66D439F4"/>
    <w:rsid w:val="66DB2FD4"/>
    <w:rsid w:val="66F61BAB"/>
    <w:rsid w:val="67073DC9"/>
    <w:rsid w:val="67825B46"/>
    <w:rsid w:val="67C03F80"/>
    <w:rsid w:val="67C50BF2"/>
    <w:rsid w:val="67D7106C"/>
    <w:rsid w:val="68785CC8"/>
    <w:rsid w:val="69120710"/>
    <w:rsid w:val="695E64F6"/>
    <w:rsid w:val="69B2622D"/>
    <w:rsid w:val="69C51D1A"/>
    <w:rsid w:val="69DA57C5"/>
    <w:rsid w:val="6A213DF7"/>
    <w:rsid w:val="6A3053E5"/>
    <w:rsid w:val="6A7F011B"/>
    <w:rsid w:val="6AB95096"/>
    <w:rsid w:val="6ABA5FAC"/>
    <w:rsid w:val="6AFB5BA3"/>
    <w:rsid w:val="6B6537B4"/>
    <w:rsid w:val="6B6E08BB"/>
    <w:rsid w:val="6B715CB5"/>
    <w:rsid w:val="6BCE2025"/>
    <w:rsid w:val="6C910E04"/>
    <w:rsid w:val="6CCF1AF5"/>
    <w:rsid w:val="6D06656D"/>
    <w:rsid w:val="6D355AF1"/>
    <w:rsid w:val="6D41164D"/>
    <w:rsid w:val="6D88378A"/>
    <w:rsid w:val="6E3336F6"/>
    <w:rsid w:val="6F0532E4"/>
    <w:rsid w:val="6F815875"/>
    <w:rsid w:val="6FB16FC8"/>
    <w:rsid w:val="6FC75452"/>
    <w:rsid w:val="70161521"/>
    <w:rsid w:val="702E21FA"/>
    <w:rsid w:val="704626FC"/>
    <w:rsid w:val="707B1384"/>
    <w:rsid w:val="70A02A01"/>
    <w:rsid w:val="70B5704B"/>
    <w:rsid w:val="718B55F7"/>
    <w:rsid w:val="71A30B93"/>
    <w:rsid w:val="726411D5"/>
    <w:rsid w:val="728075B4"/>
    <w:rsid w:val="72EA7263"/>
    <w:rsid w:val="730B26F6"/>
    <w:rsid w:val="737A608E"/>
    <w:rsid w:val="73EF4563"/>
    <w:rsid w:val="73F76F74"/>
    <w:rsid w:val="7431692A"/>
    <w:rsid w:val="74494C3B"/>
    <w:rsid w:val="74B44E65"/>
    <w:rsid w:val="754A358C"/>
    <w:rsid w:val="756920F3"/>
    <w:rsid w:val="756B7C19"/>
    <w:rsid w:val="75B3511C"/>
    <w:rsid w:val="76386CC0"/>
    <w:rsid w:val="767E1B72"/>
    <w:rsid w:val="76CE0316"/>
    <w:rsid w:val="76CF1C1E"/>
    <w:rsid w:val="76CF21A1"/>
    <w:rsid w:val="770C0F88"/>
    <w:rsid w:val="77C55FEF"/>
    <w:rsid w:val="77E85551"/>
    <w:rsid w:val="78AC445A"/>
    <w:rsid w:val="79FF17E9"/>
    <w:rsid w:val="7A093C1F"/>
    <w:rsid w:val="7A2605B3"/>
    <w:rsid w:val="7B0411AF"/>
    <w:rsid w:val="7B4A7A78"/>
    <w:rsid w:val="7BB61541"/>
    <w:rsid w:val="7CB449E4"/>
    <w:rsid w:val="7CB47DAA"/>
    <w:rsid w:val="7CCD2F68"/>
    <w:rsid w:val="7CE409BA"/>
    <w:rsid w:val="7D1666BD"/>
    <w:rsid w:val="7E3774BB"/>
    <w:rsid w:val="7E9304FB"/>
    <w:rsid w:val="7F027131"/>
    <w:rsid w:val="7F127358"/>
    <w:rsid w:val="7F2D4191"/>
    <w:rsid w:val="7F755E40"/>
    <w:rsid w:val="7FA0601C"/>
    <w:rsid w:val="7FD91C2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1" w:firstLineChars="200"/>
    </w:pPr>
    <w:rPr>
      <w:rFonts w:ascii="Times New Roman" w:hAnsi="Times New Roman" w:eastAsia="宋体" w:cs="Times New Roman"/>
      <w:lang w:val="en-US" w:eastAsia="zh-CN" w:bidi="ar-SA"/>
    </w:rPr>
  </w:style>
  <w:style w:type="paragraph" w:styleId="2">
    <w:name w:val="heading 2"/>
    <w:basedOn w:val="1"/>
    <w:next w:val="1"/>
    <w:semiHidden/>
    <w:unhideWhenUsed/>
    <w:qFormat/>
    <w:uiPriority w:val="0"/>
    <w:pPr>
      <w:keepNext/>
      <w:spacing w:before="120" w:line="360" w:lineRule="auto"/>
      <w:ind w:firstLine="1285"/>
      <w:outlineLvl w:val="1"/>
    </w:pPr>
    <w:rPr>
      <w:rFonts w:ascii="宋体" w:hAnsi="宋体"/>
      <w:spacing w:val="6"/>
      <w:sz w:val="28"/>
    </w:rPr>
  </w:style>
  <w:style w:type="paragraph" w:styleId="3">
    <w:name w:val="heading 3"/>
    <w:basedOn w:val="1"/>
    <w:next w:val="1"/>
    <w:qFormat/>
    <w:uiPriority w:val="0"/>
    <w:pPr>
      <w:keepNext/>
      <w:keepLines/>
      <w:spacing w:before="260" w:after="260" w:line="413" w:lineRule="auto"/>
      <w:outlineLvl w:val="2"/>
    </w:pPr>
    <w:rPr>
      <w:rFonts w:ascii="Arial" w:hAnsi="Arial"/>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unhideWhenUsed/>
    <w:qFormat/>
    <w:uiPriority w:val="0"/>
    <w:pPr>
      <w:ind w:firstLine="420"/>
    </w:pPr>
  </w:style>
  <w:style w:type="paragraph" w:styleId="5">
    <w:name w:val="annotation text"/>
    <w:basedOn w:val="1"/>
    <w:qFormat/>
    <w:uiPriority w:val="0"/>
  </w:style>
  <w:style w:type="paragraph" w:styleId="6">
    <w:name w:val="Body Text"/>
    <w:basedOn w:val="1"/>
    <w:next w:val="1"/>
    <w:qFormat/>
    <w:uiPriority w:val="0"/>
    <w:pPr>
      <w:spacing w:after="120"/>
    </w:pPr>
  </w:style>
  <w:style w:type="paragraph" w:styleId="7">
    <w:name w:val="Body Text Indent"/>
    <w:basedOn w:val="1"/>
    <w:next w:val="8"/>
    <w:qFormat/>
    <w:uiPriority w:val="0"/>
    <w:pPr>
      <w:spacing w:line="360" w:lineRule="auto"/>
      <w:ind w:firstLine="570"/>
    </w:pPr>
    <w:rPr>
      <w:rFonts w:eastAsia="仿宋_GB2312"/>
      <w:sz w:val="28"/>
    </w:rPr>
  </w:style>
  <w:style w:type="paragraph" w:customStyle="1" w:styleId="8">
    <w:name w:val="样式 正文文本缩进 + 行距: 1.5 倍行距"/>
    <w:basedOn w:val="1"/>
    <w:qFormat/>
    <w:uiPriority w:val="0"/>
    <w:pPr>
      <w:spacing w:after="120" w:line="360" w:lineRule="auto"/>
      <w:ind w:left="90" w:leftChars="32" w:firstLine="560"/>
    </w:pPr>
    <w:rPr>
      <w:rFonts w:cs="宋体"/>
    </w:rPr>
  </w:style>
  <w:style w:type="paragraph" w:styleId="9">
    <w:name w:val="Date"/>
    <w:basedOn w:val="1"/>
    <w:next w:val="1"/>
    <w:qFormat/>
    <w:uiPriority w:val="0"/>
    <w:pPr>
      <w:ind w:left="100" w:leftChars="2500"/>
    </w:pPr>
  </w:style>
  <w:style w:type="paragraph" w:styleId="10">
    <w:name w:val="Balloon Text"/>
    <w:basedOn w:val="1"/>
    <w:qFormat/>
    <w:uiPriority w:val="0"/>
    <w:rPr>
      <w:sz w:val="18"/>
      <w:szCs w:val="18"/>
    </w:rPr>
  </w:style>
  <w:style w:type="paragraph" w:styleId="11">
    <w:name w:val="footer"/>
    <w:basedOn w:val="1"/>
    <w:link w:val="34"/>
    <w:qFormat/>
    <w:uiPriority w:val="99"/>
    <w:pPr>
      <w:tabs>
        <w:tab w:val="center" w:pos="4153"/>
        <w:tab w:val="right" w:pos="8306"/>
      </w:tabs>
      <w:snapToGrid w:val="0"/>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qFormat/>
    <w:uiPriority w:val="0"/>
    <w:pPr>
      <w:spacing w:before="100" w:beforeAutospacing="1" w:after="100" w:afterAutospacing="1"/>
    </w:pPr>
    <w:rPr>
      <w:rFonts w:ascii="Arial Unicode MS" w:hAnsi="Arial Unicode MS" w:eastAsia="Arial Unicode MS" w:cs="Arial Unicode MS"/>
      <w:sz w:val="24"/>
      <w:szCs w:val="24"/>
      <w:lang w:val="en-US" w:eastAsia="zh-CN" w:bidi="ar-SA"/>
    </w:rPr>
  </w:style>
  <w:style w:type="paragraph" w:styleId="14">
    <w:name w:val="Body Text First Indent"/>
    <w:basedOn w:val="6"/>
    <w:link w:val="26"/>
    <w:qFormat/>
    <w:uiPriority w:val="0"/>
    <w:pPr>
      <w:adjustRightInd w:val="0"/>
      <w:snapToGrid w:val="0"/>
      <w:spacing w:after="0" w:line="360" w:lineRule="auto"/>
      <w:ind w:firstLine="200"/>
      <w:jc w:val="both"/>
    </w:pPr>
    <w:rPr>
      <w:kern w:val="2"/>
      <w:sz w:val="24"/>
    </w:rPr>
  </w:style>
  <w:style w:type="paragraph" w:styleId="15">
    <w:name w:val="Body Text First Indent 2"/>
    <w:basedOn w:val="7"/>
    <w:next w:val="1"/>
    <w:qFormat/>
    <w:uiPriority w:val="0"/>
    <w:pPr>
      <w:spacing w:after="120" w:line="240" w:lineRule="auto"/>
      <w:ind w:left="420" w:leftChars="200" w:firstLine="420"/>
    </w:pPr>
    <w:rPr>
      <w:rFonts w:ascii="Corbel" w:hAnsi="Corbel"/>
      <w:sz w:val="21"/>
    </w:rPr>
  </w:style>
  <w:style w:type="table" w:styleId="17">
    <w:name w:val="Table Grid"/>
    <w:basedOn w:val="16"/>
    <w:qFormat/>
    <w:uiPriority w:val="59"/>
    <w:pPr>
      <w:widowControl w:val="0"/>
      <w:ind w:firstLine="21" w:firstLineChars="20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styleId="20">
    <w:name w:val="annotation reference"/>
    <w:qFormat/>
    <w:uiPriority w:val="0"/>
    <w:rPr>
      <w:sz w:val="21"/>
      <w:szCs w:val="21"/>
    </w:rPr>
  </w:style>
  <w:style w:type="paragraph" w:customStyle="1" w:styleId="21">
    <w:name w:val="列出段落1"/>
    <w:basedOn w:val="1"/>
    <w:qFormat/>
    <w:uiPriority w:val="34"/>
    <w:pPr>
      <w:ind w:firstLine="420"/>
    </w:pPr>
  </w:style>
  <w:style w:type="paragraph" w:customStyle="1" w:styleId="22">
    <w:name w:val="Default"/>
    <w:basedOn w:val="23"/>
    <w:next w:val="1"/>
    <w:qFormat/>
    <w:uiPriority w:val="99"/>
    <w:pPr>
      <w:autoSpaceDE w:val="0"/>
      <w:autoSpaceDN w:val="0"/>
    </w:pPr>
    <w:rPr>
      <w:rFonts w:hAnsi="Calibri" w:cs="宋体"/>
      <w:color w:val="000000"/>
      <w:sz w:val="24"/>
      <w:szCs w:val="24"/>
    </w:rPr>
  </w:style>
  <w:style w:type="paragraph" w:customStyle="1" w:styleId="23">
    <w:name w:val="纯文本1"/>
    <w:basedOn w:val="1"/>
    <w:qFormat/>
    <w:uiPriority w:val="0"/>
    <w:pPr>
      <w:adjustRightInd w:val="0"/>
    </w:pPr>
    <w:rPr>
      <w:rFonts w:ascii="宋体" w:hAnsi="Courier New"/>
    </w:rPr>
  </w:style>
  <w:style w:type="character" w:customStyle="1" w:styleId="24">
    <w:name w:val="p0 Char"/>
    <w:basedOn w:val="18"/>
    <w:link w:val="25"/>
    <w:qFormat/>
    <w:uiPriority w:val="0"/>
    <w:rPr>
      <w:rFonts w:eastAsia="宋体"/>
      <w:sz w:val="32"/>
      <w:szCs w:val="32"/>
      <w:lang w:val="en-US" w:eastAsia="zh-CN" w:bidi="ar-SA"/>
    </w:rPr>
  </w:style>
  <w:style w:type="paragraph" w:customStyle="1" w:styleId="25">
    <w:name w:val="p0"/>
    <w:basedOn w:val="1"/>
    <w:link w:val="24"/>
    <w:qFormat/>
    <w:uiPriority w:val="0"/>
    <w:pPr>
      <w:widowControl/>
      <w:ind w:firstLine="0" w:firstLineChars="0"/>
      <w:jc w:val="both"/>
    </w:pPr>
    <w:rPr>
      <w:sz w:val="32"/>
      <w:szCs w:val="32"/>
    </w:rPr>
  </w:style>
  <w:style w:type="character" w:customStyle="1" w:styleId="26">
    <w:name w:val="正文文本首行缩进 字符"/>
    <w:basedOn w:val="18"/>
    <w:link w:val="14"/>
    <w:qFormat/>
    <w:uiPriority w:val="0"/>
    <w:rPr>
      <w:rFonts w:eastAsia="宋体"/>
      <w:kern w:val="2"/>
      <w:sz w:val="24"/>
      <w:lang w:val="en-US" w:eastAsia="zh-CN" w:bidi="ar-SA"/>
    </w:rPr>
  </w:style>
  <w:style w:type="character" w:customStyle="1" w:styleId="27">
    <w:name w:val="表格文字 Char"/>
    <w:link w:val="28"/>
    <w:qFormat/>
    <w:uiPriority w:val="0"/>
    <w:rPr>
      <w:rFonts w:eastAsia="宋体"/>
      <w:kern w:val="2"/>
      <w:sz w:val="21"/>
      <w:szCs w:val="21"/>
      <w:lang w:val="en-US" w:eastAsia="zh-CN" w:bidi="ar-SA"/>
    </w:rPr>
  </w:style>
  <w:style w:type="paragraph" w:customStyle="1" w:styleId="28">
    <w:name w:val="表格文字"/>
    <w:basedOn w:val="1"/>
    <w:link w:val="27"/>
    <w:qFormat/>
    <w:uiPriority w:val="0"/>
    <w:pPr>
      <w:widowControl/>
      <w:adjustRightInd w:val="0"/>
      <w:snapToGrid w:val="0"/>
      <w:ind w:firstLine="0" w:firstLineChars="0"/>
      <w:jc w:val="center"/>
    </w:pPr>
    <w:rPr>
      <w:kern w:val="2"/>
      <w:sz w:val="21"/>
      <w:szCs w:val="21"/>
    </w:rPr>
  </w:style>
  <w:style w:type="paragraph" w:customStyle="1" w:styleId="29">
    <w:name w:val="Char Char Char Char Char Char Char Char Char Char"/>
    <w:basedOn w:val="1"/>
    <w:qFormat/>
    <w:uiPriority w:val="0"/>
    <w:pPr>
      <w:widowControl/>
      <w:spacing w:after="160" w:line="240" w:lineRule="exact"/>
      <w:ind w:firstLine="0" w:firstLineChars="0"/>
    </w:pPr>
    <w:rPr>
      <w:rFonts w:ascii="Verdana" w:hAnsi="Verdana"/>
      <w:lang w:eastAsia="en-US"/>
    </w:rPr>
  </w:style>
  <w:style w:type="paragraph" w:customStyle="1" w:styleId="30">
    <w:name w:val="WPS Plain"/>
    <w:qFormat/>
    <w:uiPriority w:val="0"/>
    <w:rPr>
      <w:rFonts w:ascii="Times New Roman" w:hAnsi="Times New Roman" w:eastAsia="宋体" w:cs="Times New Roman"/>
      <w:lang w:val="en-US" w:eastAsia="zh-CN" w:bidi="ar-SA"/>
    </w:rPr>
  </w:style>
  <w:style w:type="paragraph" w:customStyle="1" w:styleId="31">
    <w:name w:val="特殊标题３"/>
    <w:basedOn w:val="1"/>
    <w:qFormat/>
    <w:uiPriority w:val="0"/>
    <w:pPr>
      <w:overflowPunct w:val="0"/>
      <w:autoSpaceDE w:val="0"/>
      <w:autoSpaceDN w:val="0"/>
      <w:adjustRightInd w:val="0"/>
      <w:spacing w:line="360" w:lineRule="auto"/>
      <w:textAlignment w:val="baseline"/>
    </w:pPr>
    <w:rPr>
      <w:rFonts w:eastAsia="仿宋_GB2312"/>
      <w:sz w:val="28"/>
    </w:rPr>
  </w:style>
  <w:style w:type="paragraph" w:customStyle="1" w:styleId="32">
    <w:name w:val="样式 首行缩进:  2 字符"/>
    <w:qFormat/>
    <w:uiPriority w:val="0"/>
    <w:pPr>
      <w:adjustRightInd w:val="0"/>
      <w:spacing w:line="360" w:lineRule="auto"/>
      <w:ind w:firstLine="560" w:firstLineChars="200"/>
    </w:pPr>
    <w:rPr>
      <w:rFonts w:ascii="Times New Roman" w:hAnsi="Times New Roman" w:eastAsia="宋体" w:cs="宋体"/>
      <w:sz w:val="24"/>
      <w:lang w:val="en-US" w:eastAsia="zh-CN" w:bidi="ar-SA"/>
    </w:rPr>
  </w:style>
  <w:style w:type="paragraph" w:customStyle="1" w:styleId="33">
    <w:name w:val="样式1"/>
    <w:next w:val="14"/>
    <w:qFormat/>
    <w:uiPriority w:val="0"/>
    <w:pPr>
      <w:widowControl w:val="0"/>
      <w:adjustRightInd w:val="0"/>
      <w:spacing w:line="312" w:lineRule="atLeast"/>
      <w:jc w:val="center"/>
      <w:textAlignment w:val="baseline"/>
    </w:pPr>
    <w:rPr>
      <w:rFonts w:ascii="Times New Roman" w:hAnsi="Times New Roman" w:eastAsia="宋体" w:cs="Times New Roman"/>
      <w:kern w:val="2"/>
      <w:sz w:val="28"/>
      <w:szCs w:val="24"/>
      <w:lang w:val="en-US" w:eastAsia="zh-CN" w:bidi="ar-SA"/>
    </w:rPr>
  </w:style>
  <w:style w:type="character" w:customStyle="1" w:styleId="34">
    <w:name w:val="页脚 字符"/>
    <w:basedOn w:val="18"/>
    <w:link w:val="11"/>
    <w:qFormat/>
    <w:uiPriority w:val="99"/>
    <w:rPr>
      <w:sz w:val="18"/>
      <w:szCs w:val="18"/>
    </w:rPr>
  </w:style>
  <w:style w:type="paragraph" w:customStyle="1" w:styleId="35">
    <w:name w:val="0"/>
    <w:basedOn w:val="1"/>
    <w:qFormat/>
    <w:uiPriority w:val="0"/>
    <w:pPr>
      <w:widowControl/>
      <w:snapToGrid w:val="0"/>
      <w:spacing w:line="365" w:lineRule="atLeast"/>
      <w:ind w:left="1" w:firstLine="0" w:firstLineChars="0"/>
      <w:jc w:val="both"/>
      <w:textAlignment w:val="bottom"/>
    </w:pPr>
  </w:style>
  <w:style w:type="paragraph" w:customStyle="1" w:styleId="36">
    <w:name w:val="表格"/>
    <w:basedOn w:val="1"/>
    <w:qFormat/>
    <w:uiPriority w:val="0"/>
    <w:pPr>
      <w:spacing w:line="300" w:lineRule="auto"/>
      <w:ind w:firstLine="0" w:firstLineChars="0"/>
      <w:jc w:val="center"/>
    </w:pPr>
    <w:rPr>
      <w:rFonts w:cs="宋体"/>
      <w:sz w:val="21"/>
      <w:szCs w:val="24"/>
      <w:lang w:eastAsia="en-US"/>
    </w:rPr>
  </w:style>
  <w:style w:type="paragraph" w:styleId="37">
    <w:name w:val="List Paragraph"/>
    <w:basedOn w:val="1"/>
    <w:qFormat/>
    <w:uiPriority w:val="99"/>
    <w:pPr>
      <w:ind w:firstLine="420"/>
    </w:pPr>
  </w:style>
  <w:style w:type="character" w:customStyle="1" w:styleId="38">
    <w:name w:val="正文内容 Char Char"/>
    <w:qFormat/>
    <w:uiPriority w:val="0"/>
    <w:rPr>
      <w:kern w:val="2"/>
      <w:sz w:val="24"/>
      <w:szCs w:val="24"/>
      <w:lang w:val="en-US" w:eastAsia="zh-CN" w:bidi="ar-SA"/>
    </w:rPr>
  </w:style>
  <w:style w:type="paragraph" w:customStyle="1" w:styleId="39">
    <w:name w:val="样式 10 磅"/>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
    <w:name w:val="表格内容"/>
    <w:qFormat/>
    <w:uiPriority w:val="0"/>
    <w:pPr>
      <w:widowControl w:val="0"/>
      <w:spacing w:line="240" w:lineRule="auto"/>
      <w:ind w:firstLine="0" w:firstLineChars="0"/>
      <w:jc w:val="center"/>
    </w:pPr>
    <w:rPr>
      <w:rFonts w:ascii="Times New Roman" w:hAnsi="Times New Roman" w:eastAsia="宋体" w:cs="Times New Roman"/>
      <w:snapToGrid w:val="0"/>
      <w:kern w:val="0"/>
      <w:sz w:val="21"/>
      <w:szCs w:val="24"/>
      <w:lang w:val="en-US" w:eastAsia="zh-CN" w:bidi="ar-SA"/>
    </w:rPr>
  </w:style>
  <w:style w:type="character" w:customStyle="1" w:styleId="41">
    <w:name w:val="表图标题 Char"/>
    <w:link w:val="42"/>
    <w:qFormat/>
    <w:uiPriority w:val="0"/>
    <w:rPr>
      <w:rFonts w:ascii="Times New Roman" w:hAnsi="Times New Roman" w:eastAsia="宋体"/>
      <w:b/>
      <w:bCs/>
      <w:kern w:val="2"/>
      <w:sz w:val="21"/>
      <w:szCs w:val="24"/>
      <w:lang w:val="en-US" w:eastAsia="zh-CN" w:bidi="ar-SA"/>
    </w:rPr>
  </w:style>
  <w:style w:type="paragraph" w:customStyle="1" w:styleId="42">
    <w:name w:val="表图标题"/>
    <w:link w:val="41"/>
    <w:qFormat/>
    <w:uiPriority w:val="0"/>
    <w:pPr>
      <w:widowControl w:val="0"/>
      <w:spacing w:line="240" w:lineRule="auto"/>
      <w:jc w:val="center"/>
    </w:pPr>
    <w:rPr>
      <w:rFonts w:ascii="Times New Roman" w:hAnsi="Times New Roman" w:eastAsia="宋体" w:cs="Times New Roman"/>
      <w:b/>
      <w:bCs/>
      <w:kern w:val="2"/>
      <w:sz w:val="21"/>
      <w:szCs w:val="24"/>
      <w:lang w:val="en-US" w:eastAsia="zh-CN" w:bidi="ar-SA"/>
    </w:rPr>
  </w:style>
  <w:style w:type="character" w:customStyle="1" w:styleId="43">
    <w:name w:val="font121"/>
    <w:qFormat/>
    <w:uiPriority w:val="0"/>
    <w:rPr>
      <w:rFonts w:hint="eastAsia" w:ascii="宋体" w:hAnsi="宋体" w:eastAsia="宋体" w:cs="宋体"/>
      <w:color w:val="000000"/>
      <w:sz w:val="22"/>
      <w:szCs w:val="22"/>
      <w:u w:val="single"/>
    </w:rPr>
  </w:style>
  <w:style w:type="character" w:customStyle="1" w:styleId="44">
    <w:name w:val="font01"/>
    <w:qFormat/>
    <w:uiPriority w:val="0"/>
    <w:rPr>
      <w:rFonts w:hint="default" w:ascii="Times New Roman" w:hAnsi="Times New Roman" w:cs="Times New Roman"/>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F80C2E-1E84-49DD-8C16-E9B161C8BD7D}">
  <ds:schemaRefs/>
</ds:datastoreItem>
</file>

<file path=customXml/itemProps3.xml><?xml version="1.0" encoding="utf-8"?>
<ds:datastoreItem xmlns:ds="http://schemas.openxmlformats.org/officeDocument/2006/customXml" ds:itemID="{f33b84f9-a147-48b8-8261-b1b4ca266dd8}">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Pages>
  <Words>2308</Words>
  <Characters>2467</Characters>
  <Lines>47</Lines>
  <Paragraphs>21</Paragraphs>
  <TotalTime>20</TotalTime>
  <ScaleCrop>false</ScaleCrop>
  <LinksUpToDate>false</LinksUpToDate>
  <CharactersWithSpaces>2467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2019-05-11T05:51:00Z</dcterms:created>
  <dc:creator>微软用户</dc:creator>
  <cp:lastModifiedBy>呱呱</cp:lastModifiedBy>
  <cp:lastPrinted>2026-09-16T01:47:20Z</cp:lastPrinted>
  <dcterms:modified xsi:type="dcterms:W3CDTF">2026-09-16T02:12:55Z</dcterms:modified>
  <dc:title>1、省道1825线湘阴至长沙公路岳阳段改建工程总投资12300万元</dc:title>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eyJoZGlkIjoiYzFlM2FmOGFmNDQ1ODkzMTAzZTU0MmJkMTljNzRjZDQiLCJ1c2VySWQiOiIxMTQxODUzNzMwIn0=</vt:lpwstr>
  </property>
  <property fmtid="{D5CDD505-2E9C-101B-9397-08002B2CF9AE}" pid="4" name="ICV">
    <vt:lpwstr>52B16A7A99474119BF4FA913C2C64AA0_13</vt:lpwstr>
  </property>
</Properties>
</file>