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D2EFB">
      <w:pPr>
        <w:keepNext w:val="0"/>
        <w:keepLines w:val="0"/>
        <w:pageBreakBefore w:val="0"/>
        <w:widowControl w:val="0"/>
        <w:kinsoku/>
        <w:wordWrap/>
        <w:overflowPunct/>
        <w:topLinePunct w:val="0"/>
        <w:autoSpaceDE/>
        <w:autoSpaceDN/>
        <w:bidi w:val="0"/>
        <w:adjustRightInd/>
        <w:snapToGrid/>
        <w:spacing w:line="640" w:lineRule="exact"/>
        <w:ind w:firstLine="5880" w:firstLineChars="2100"/>
        <w:jc w:val="both"/>
        <w:textAlignment w:val="auto"/>
        <w:rPr>
          <w:color w:val="auto"/>
          <w:sz w:val="28"/>
          <w:szCs w:val="28"/>
        </w:rPr>
      </w:pPr>
    </w:p>
    <w:p w14:paraId="1398E63C">
      <w:pPr>
        <w:keepNext w:val="0"/>
        <w:keepLines w:val="0"/>
        <w:pageBreakBefore w:val="0"/>
        <w:widowControl w:val="0"/>
        <w:kinsoku/>
        <w:wordWrap/>
        <w:overflowPunct/>
        <w:topLinePunct w:val="0"/>
        <w:autoSpaceDE/>
        <w:autoSpaceDN/>
        <w:bidi w:val="0"/>
        <w:adjustRightInd/>
        <w:snapToGrid/>
        <w:spacing w:line="640" w:lineRule="exact"/>
        <w:ind w:firstLine="5880" w:firstLineChars="2100"/>
        <w:jc w:val="both"/>
        <w:textAlignment w:val="auto"/>
        <w:rPr>
          <w:color w:val="auto"/>
          <w:sz w:val="28"/>
          <w:szCs w:val="28"/>
        </w:rPr>
      </w:pPr>
    </w:p>
    <w:p w14:paraId="668A4648">
      <w:pPr>
        <w:keepNext w:val="0"/>
        <w:keepLines w:val="0"/>
        <w:pageBreakBefore w:val="0"/>
        <w:widowControl w:val="0"/>
        <w:kinsoku/>
        <w:wordWrap/>
        <w:overflowPunct/>
        <w:topLinePunct w:val="0"/>
        <w:autoSpaceDE/>
        <w:autoSpaceDN/>
        <w:bidi w:val="0"/>
        <w:adjustRightInd/>
        <w:snapToGrid/>
        <w:spacing w:line="640" w:lineRule="exact"/>
        <w:ind w:firstLine="5880" w:firstLineChars="2100"/>
        <w:jc w:val="both"/>
        <w:textAlignment w:val="auto"/>
        <w:rPr>
          <w:color w:val="auto"/>
          <w:sz w:val="28"/>
          <w:szCs w:val="28"/>
        </w:rPr>
      </w:pPr>
    </w:p>
    <w:p w14:paraId="408EB70A">
      <w:pPr>
        <w:spacing w:line="560" w:lineRule="exact"/>
        <w:ind w:firstLine="5880" w:firstLineChars="2100"/>
        <w:jc w:val="both"/>
        <w:rPr>
          <w:color w:val="auto"/>
          <w:sz w:val="28"/>
          <w:szCs w:val="28"/>
        </w:rPr>
      </w:pPr>
      <w:r>
        <w:rPr>
          <w:color w:val="auto"/>
          <w:sz w:val="28"/>
          <w:szCs w:val="28"/>
        </w:rPr>
        <w:t>岳临环评〔202</w:t>
      </w:r>
      <w:r>
        <w:rPr>
          <w:rFonts w:hint="eastAsia"/>
          <w:color w:val="auto"/>
          <w:sz w:val="28"/>
          <w:szCs w:val="28"/>
        </w:rPr>
        <w:t>6</w:t>
      </w:r>
      <w:r>
        <w:rPr>
          <w:color w:val="auto"/>
          <w:sz w:val="28"/>
          <w:szCs w:val="28"/>
        </w:rPr>
        <w:t>〕</w:t>
      </w:r>
      <w:r>
        <w:rPr>
          <w:rFonts w:hint="eastAsia"/>
          <w:color w:val="auto"/>
          <w:sz w:val="28"/>
          <w:szCs w:val="28"/>
          <w:lang w:val="en-US" w:eastAsia="zh-CN"/>
        </w:rPr>
        <w:t>8</w:t>
      </w:r>
      <w:r>
        <w:rPr>
          <w:color w:val="auto"/>
          <w:sz w:val="28"/>
          <w:szCs w:val="28"/>
        </w:rPr>
        <w:t>号</w:t>
      </w:r>
    </w:p>
    <w:p w14:paraId="1B911924">
      <w:pPr>
        <w:pStyle w:val="30"/>
        <w:spacing w:line="560" w:lineRule="exact"/>
        <w:ind w:left="216" w:hanging="216" w:hangingChars="49"/>
        <w:jc w:val="center"/>
        <w:textAlignment w:val="top"/>
        <w:rPr>
          <w:b/>
          <w:color w:val="auto"/>
          <w:sz w:val="44"/>
          <w:szCs w:val="44"/>
        </w:rPr>
      </w:pPr>
      <w:bookmarkStart w:id="0" w:name="_Hlk504140001"/>
      <w:r>
        <w:rPr>
          <w:b/>
          <w:color w:val="auto"/>
          <w:sz w:val="44"/>
          <w:szCs w:val="44"/>
        </w:rPr>
        <w:t>关于</w:t>
      </w:r>
      <w:r>
        <w:rPr>
          <w:rFonts w:hint="eastAsia"/>
          <w:b/>
          <w:color w:val="auto"/>
          <w:sz w:val="44"/>
          <w:szCs w:val="44"/>
        </w:rPr>
        <w:t>临湘海螺综合利用一般固废</w:t>
      </w:r>
      <w:r>
        <w:rPr>
          <w:rFonts w:hint="eastAsia"/>
          <w:b/>
          <w:color w:val="auto"/>
          <w:sz w:val="44"/>
          <w:szCs w:val="44"/>
          <w:lang w:eastAsia="zh-CN"/>
        </w:rPr>
        <w:t>（</w:t>
      </w:r>
      <w:r>
        <w:rPr>
          <w:rFonts w:hint="eastAsia"/>
          <w:b/>
          <w:color w:val="auto"/>
          <w:sz w:val="44"/>
          <w:szCs w:val="44"/>
        </w:rPr>
        <w:t>含替代燃料、原料</w:t>
      </w:r>
      <w:r>
        <w:rPr>
          <w:rFonts w:hint="eastAsia"/>
          <w:b/>
          <w:color w:val="auto"/>
          <w:sz w:val="44"/>
          <w:szCs w:val="44"/>
          <w:lang w:eastAsia="zh-CN"/>
        </w:rPr>
        <w:t>）</w:t>
      </w:r>
      <w:r>
        <w:rPr>
          <w:rFonts w:hint="eastAsia"/>
          <w:b/>
          <w:color w:val="auto"/>
          <w:sz w:val="44"/>
          <w:szCs w:val="44"/>
        </w:rPr>
        <w:t>20万吨/年技改项目</w:t>
      </w:r>
      <w:r>
        <w:rPr>
          <w:b/>
          <w:color w:val="auto"/>
          <w:sz w:val="44"/>
          <w:szCs w:val="44"/>
        </w:rPr>
        <w:t>环境影响报告表的批复</w:t>
      </w:r>
    </w:p>
    <w:bookmarkEnd w:id="0"/>
    <w:p w14:paraId="3518F21B">
      <w:pPr>
        <w:pStyle w:val="30"/>
        <w:spacing w:line="600" w:lineRule="exact"/>
        <w:jc w:val="both"/>
        <w:textAlignment w:val="top"/>
        <w:rPr>
          <w:rFonts w:hint="eastAsia" w:eastAsia="仿宋"/>
          <w:color w:val="auto"/>
          <w:sz w:val="24"/>
          <w:szCs w:val="24"/>
        </w:rPr>
      </w:pPr>
    </w:p>
    <w:p w14:paraId="1762A531">
      <w:pPr>
        <w:pStyle w:val="30"/>
        <w:keepNext w:val="0"/>
        <w:keepLines w:val="0"/>
        <w:pageBreakBefore w:val="0"/>
        <w:kinsoku/>
        <w:wordWrap/>
        <w:overflowPunct/>
        <w:topLinePunct w:val="0"/>
        <w:autoSpaceDN/>
        <w:bidi w:val="0"/>
        <w:adjustRightInd/>
        <w:snapToGrid/>
        <w:spacing w:line="540" w:lineRule="exact"/>
        <w:jc w:val="both"/>
        <w:textAlignment w:val="top"/>
        <w:rPr>
          <w:rFonts w:eastAsia="仿宋"/>
          <w:color w:val="auto"/>
          <w:kern w:val="2"/>
          <w:sz w:val="32"/>
          <w:szCs w:val="32"/>
        </w:rPr>
      </w:pPr>
      <w:r>
        <w:rPr>
          <w:rFonts w:hint="eastAsia" w:eastAsia="仿宋"/>
          <w:color w:val="auto"/>
          <w:sz w:val="32"/>
          <w:szCs w:val="32"/>
        </w:rPr>
        <w:t>临湘海螺水泥有限责任公司</w:t>
      </w:r>
      <w:r>
        <w:rPr>
          <w:rFonts w:eastAsia="仿宋"/>
          <w:color w:val="auto"/>
          <w:kern w:val="2"/>
          <w:sz w:val="32"/>
          <w:szCs w:val="32"/>
        </w:rPr>
        <w:t>：</w:t>
      </w:r>
    </w:p>
    <w:p w14:paraId="0E10D8C4">
      <w:pPr>
        <w:pStyle w:val="39"/>
        <w:keepNext w:val="0"/>
        <w:keepLines w:val="0"/>
        <w:pageBreakBefore w:val="0"/>
        <w:kinsoku/>
        <w:wordWrap/>
        <w:overflowPunct/>
        <w:topLinePunct w:val="0"/>
        <w:autoSpaceDN/>
        <w:bidi w:val="0"/>
        <w:adjustRightInd/>
        <w:snapToGrid/>
        <w:spacing w:line="540" w:lineRule="exact"/>
        <w:ind w:firstLine="640" w:firstLineChars="200"/>
        <w:rPr>
          <w:rFonts w:eastAsia="仿宋"/>
          <w:color w:val="auto"/>
          <w:sz w:val="32"/>
          <w:szCs w:val="32"/>
        </w:rPr>
      </w:pPr>
      <w:r>
        <w:rPr>
          <w:rFonts w:eastAsia="仿宋"/>
          <w:color w:val="auto"/>
          <w:sz w:val="32"/>
          <w:szCs w:val="32"/>
        </w:rPr>
        <w:t>你公司报送的《</w:t>
      </w:r>
      <w:r>
        <w:rPr>
          <w:rFonts w:hint="eastAsia" w:eastAsia="仿宋"/>
          <w:color w:val="auto"/>
          <w:sz w:val="32"/>
          <w:szCs w:val="32"/>
        </w:rPr>
        <w:t>临湘海螺综合利用一般固废</w:t>
      </w:r>
      <w:r>
        <w:rPr>
          <w:rFonts w:hint="eastAsia" w:eastAsia="仿宋"/>
          <w:color w:val="auto"/>
          <w:sz w:val="32"/>
          <w:szCs w:val="32"/>
          <w:lang w:eastAsia="zh-CN"/>
        </w:rPr>
        <w:t>（</w:t>
      </w:r>
      <w:r>
        <w:rPr>
          <w:rFonts w:hint="eastAsia" w:eastAsia="仿宋"/>
          <w:color w:val="auto"/>
          <w:sz w:val="32"/>
          <w:szCs w:val="32"/>
        </w:rPr>
        <w:t>含替代燃料、原料</w:t>
      </w:r>
      <w:r>
        <w:rPr>
          <w:rFonts w:hint="eastAsia" w:eastAsia="仿宋"/>
          <w:color w:val="auto"/>
          <w:sz w:val="32"/>
          <w:szCs w:val="32"/>
          <w:lang w:eastAsia="zh-CN"/>
        </w:rPr>
        <w:t>）</w:t>
      </w:r>
      <w:r>
        <w:rPr>
          <w:rFonts w:hint="eastAsia" w:eastAsia="仿宋"/>
          <w:color w:val="auto"/>
          <w:sz w:val="32"/>
          <w:szCs w:val="32"/>
        </w:rPr>
        <w:t>20万吨/年技改项目</w:t>
      </w:r>
      <w:r>
        <w:rPr>
          <w:rFonts w:eastAsia="仿宋"/>
          <w:color w:val="auto"/>
          <w:sz w:val="32"/>
          <w:szCs w:val="32"/>
        </w:rPr>
        <w:t>环境影响报告表》（报批稿）（以下简称《报告表》）、申请批复的报告等相关材料收悉。经研究，现批复如下：</w:t>
      </w:r>
    </w:p>
    <w:p w14:paraId="732C5A13">
      <w:pPr>
        <w:pStyle w:val="5"/>
        <w:keepNext w:val="0"/>
        <w:keepLines w:val="0"/>
        <w:pageBreakBefore w:val="0"/>
        <w:kinsoku/>
        <w:wordWrap/>
        <w:overflowPunct/>
        <w:topLinePunct w:val="0"/>
        <w:autoSpaceDN/>
        <w:bidi w:val="0"/>
        <w:adjustRightInd/>
        <w:snapToGrid/>
        <w:spacing w:line="540" w:lineRule="exact"/>
        <w:rPr>
          <w:rFonts w:hint="eastAsia" w:ascii="Times New Roman" w:hAnsi="Times New Roman" w:eastAsia="仿宋_GB2312" w:cs="Times New Roman"/>
          <w:color w:val="auto"/>
          <w:sz w:val="32"/>
          <w:szCs w:val="32"/>
          <w:lang w:val="en-US" w:eastAsia="zh-CN"/>
        </w:rPr>
        <w:sectPr>
          <w:headerReference r:id="rId5" w:type="default"/>
          <w:footerReference r:id="rId6" w:type="default"/>
          <w:pgSz w:w="11906" w:h="16838"/>
          <w:pgMar w:top="1440" w:right="1588" w:bottom="1440" w:left="1588" w:header="851" w:footer="850" w:gutter="0"/>
          <w:pgNumType w:start="2"/>
          <w:cols w:space="720" w:num="1"/>
          <w:docGrid w:type="lines" w:linePitch="273" w:charSpace="0"/>
        </w:sectPr>
      </w:pPr>
      <w:r>
        <w:rPr>
          <w:rFonts w:hint="eastAsia" w:eastAsia="仿宋"/>
          <w:color w:val="auto"/>
          <w:kern w:val="2"/>
          <w:sz w:val="32"/>
          <w:szCs w:val="32"/>
        </w:rPr>
        <w:t>为响应国家“双碳”要求及“无废城市”建设，缓解废泡沫、废皮革等工业固废的处置问题，降低企业生产能耗和响应社会固体废物资源化利用发展趋势，发展循环经济</w:t>
      </w:r>
      <w:bookmarkStart w:id="1" w:name="_GoBack"/>
      <w:bookmarkEnd w:id="1"/>
      <w:r>
        <w:rPr>
          <w:rFonts w:hint="eastAsia" w:eastAsia="仿宋"/>
          <w:color w:val="auto"/>
          <w:kern w:val="2"/>
          <w:sz w:val="32"/>
          <w:szCs w:val="32"/>
        </w:rPr>
        <w:t>，积极开展节能低碳协同处置替代燃料技术发展路线。</w:t>
      </w:r>
      <w:r>
        <w:rPr>
          <w:rFonts w:eastAsia="仿宋"/>
          <w:color w:val="auto"/>
          <w:kern w:val="2"/>
          <w:sz w:val="32"/>
          <w:szCs w:val="32"/>
        </w:rPr>
        <w:t>你公司</w:t>
      </w:r>
      <w:r>
        <w:rPr>
          <w:rFonts w:hint="eastAsia" w:eastAsia="仿宋"/>
          <w:color w:val="auto"/>
          <w:kern w:val="2"/>
          <w:sz w:val="32"/>
          <w:szCs w:val="32"/>
        </w:rPr>
        <w:t>拟</w:t>
      </w:r>
      <w:r>
        <w:rPr>
          <w:rFonts w:eastAsia="仿宋"/>
          <w:color w:val="auto"/>
          <w:kern w:val="2"/>
          <w:sz w:val="32"/>
          <w:szCs w:val="32"/>
        </w:rPr>
        <w:t>投资</w:t>
      </w:r>
      <w:r>
        <w:rPr>
          <w:rFonts w:hint="eastAsia" w:eastAsia="仿宋"/>
          <w:color w:val="auto"/>
          <w:kern w:val="2"/>
          <w:sz w:val="32"/>
          <w:szCs w:val="32"/>
          <w:lang w:val="en-US" w:eastAsia="zh-CN"/>
        </w:rPr>
        <w:t>100</w:t>
      </w:r>
      <w:r>
        <w:rPr>
          <w:rFonts w:eastAsia="仿宋"/>
          <w:color w:val="auto"/>
          <w:kern w:val="2"/>
          <w:sz w:val="32"/>
          <w:szCs w:val="32"/>
        </w:rPr>
        <w:t>万元（其中环保投资约</w:t>
      </w:r>
      <w:r>
        <w:rPr>
          <w:rFonts w:hint="eastAsia" w:eastAsia="仿宋"/>
          <w:color w:val="auto"/>
          <w:kern w:val="2"/>
          <w:sz w:val="32"/>
          <w:szCs w:val="32"/>
          <w:lang w:val="en-US" w:eastAsia="zh-CN"/>
        </w:rPr>
        <w:t>12</w:t>
      </w:r>
      <w:r>
        <w:rPr>
          <w:rFonts w:eastAsia="仿宋"/>
          <w:color w:val="auto"/>
          <w:kern w:val="2"/>
          <w:sz w:val="32"/>
          <w:szCs w:val="32"/>
        </w:rPr>
        <w:t>万元），在</w:t>
      </w:r>
      <w:r>
        <w:rPr>
          <w:rFonts w:hint="eastAsia" w:eastAsia="仿宋"/>
          <w:color w:val="auto"/>
          <w:kern w:val="2"/>
          <w:sz w:val="32"/>
          <w:szCs w:val="32"/>
        </w:rPr>
        <w:t>临湘海螺水泥有限责任公司现有厂区内</w:t>
      </w:r>
      <w:r>
        <w:rPr>
          <w:rFonts w:hint="eastAsia" w:eastAsia="仿宋"/>
          <w:color w:val="auto"/>
          <w:kern w:val="2"/>
          <w:sz w:val="32"/>
          <w:szCs w:val="32"/>
          <w:lang w:val="en-US" w:eastAsia="zh-CN"/>
        </w:rPr>
        <w:t>，通过现有4500t/d新型干法水泥窑进行技术改造，建设临湘海螺综合利用一般固废（含替代燃料、原料）20万吨/年技改项目</w:t>
      </w:r>
      <w:r>
        <w:rPr>
          <w:rFonts w:hint="eastAsia" w:ascii="Times New Roman" w:hAnsi="Times New Roman" w:eastAsia="仿宋_GB2312" w:cs="Times New Roman"/>
          <w:color w:val="auto"/>
          <w:sz w:val="32"/>
          <w:szCs w:val="32"/>
          <w:lang w:val="en-US" w:eastAsia="zh-CN"/>
        </w:rPr>
        <w:t>，其中原料替代</w:t>
      </w:r>
      <w:r>
        <w:rPr>
          <w:rFonts w:hint="eastAsia" w:eastAsia="仿宋_GB2312" w:cs="Times New Roman"/>
          <w:color w:val="auto"/>
          <w:sz w:val="32"/>
          <w:szCs w:val="32"/>
          <w:lang w:val="en-US" w:eastAsia="zh-CN"/>
        </w:rPr>
        <w:t>10.5万吨，</w:t>
      </w:r>
      <w:r>
        <w:rPr>
          <w:rFonts w:hint="eastAsia" w:ascii="Times New Roman" w:hAnsi="Times New Roman" w:eastAsia="仿宋_GB2312" w:cs="Times New Roman"/>
          <w:color w:val="auto"/>
          <w:sz w:val="32"/>
          <w:szCs w:val="32"/>
          <w:lang w:val="en-US" w:eastAsia="zh-CN"/>
        </w:rPr>
        <w:t>主要包括煤矸石、煤渣、气化渣、泥炭、除尘焦粉等，</w:t>
      </w:r>
      <w:r>
        <w:rPr>
          <w:rFonts w:hint="eastAsia" w:eastAsia="仿宋_GB2312" w:cs="Times New Roman"/>
          <w:color w:val="auto"/>
          <w:sz w:val="32"/>
          <w:szCs w:val="32"/>
          <w:lang w:val="en-US" w:eastAsia="zh-CN"/>
        </w:rPr>
        <w:t>主要</w:t>
      </w:r>
      <w:r>
        <w:rPr>
          <w:rFonts w:hint="eastAsia" w:ascii="Times New Roman" w:hAnsi="Times New Roman" w:eastAsia="仿宋_GB2312" w:cs="Times New Roman"/>
          <w:color w:val="auto"/>
          <w:sz w:val="32"/>
          <w:szCs w:val="32"/>
          <w:lang w:val="en-US" w:eastAsia="zh-CN"/>
        </w:rPr>
        <w:t>替代生石灰</w:t>
      </w:r>
      <w:r>
        <w:rPr>
          <w:rFonts w:hint="eastAsia" w:eastAsia="仿宋_GB2312" w:cs="Times New Roman"/>
          <w:color w:val="auto"/>
          <w:sz w:val="32"/>
          <w:szCs w:val="32"/>
          <w:lang w:val="en-US" w:eastAsia="zh-CN"/>
        </w:rPr>
        <w:t>原料</w:t>
      </w:r>
      <w:r>
        <w:rPr>
          <w:rFonts w:hint="eastAsia" w:ascii="Times New Roman" w:hAnsi="Times New Roman" w:eastAsia="仿宋_GB2312" w:cs="Times New Roman"/>
          <w:color w:val="auto"/>
          <w:sz w:val="32"/>
          <w:szCs w:val="32"/>
          <w:lang w:val="en-US" w:eastAsia="zh-CN"/>
        </w:rPr>
        <w:t>用量约14.139万吨/a；燃料替代</w:t>
      </w:r>
      <w:r>
        <w:rPr>
          <w:rFonts w:hint="eastAsia" w:eastAsia="仿宋_GB2312" w:cs="Times New Roman"/>
          <w:color w:val="auto"/>
          <w:sz w:val="32"/>
          <w:szCs w:val="32"/>
          <w:lang w:val="en-US" w:eastAsia="zh-CN"/>
        </w:rPr>
        <w:t>9.5万吨，</w:t>
      </w:r>
      <w:r>
        <w:rPr>
          <w:rFonts w:hint="eastAsia" w:ascii="Times New Roman" w:hAnsi="Times New Roman" w:eastAsia="仿宋_GB2312" w:cs="Times New Roman"/>
          <w:color w:val="auto"/>
          <w:sz w:val="32"/>
          <w:szCs w:val="32"/>
          <w:lang w:val="en-US" w:eastAsia="zh-CN"/>
        </w:rPr>
        <w:t>主要包括废旧纺织品、废皮革制品、废木制品、废塑料制品</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泡沫粉</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、炭黑</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废旧轮胎粉末</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、生物质及农林废弃物</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包括但不限于秸秆、锯末、杂草、菌棒</w:t>
      </w:r>
    </w:p>
    <w:p w14:paraId="30CB664F">
      <w:pPr>
        <w:pStyle w:val="5"/>
        <w:keepNext w:val="0"/>
        <w:keepLines w:val="0"/>
        <w:pageBreakBefore w:val="0"/>
        <w:kinsoku/>
        <w:wordWrap/>
        <w:overflowPunct/>
        <w:topLinePunct w:val="0"/>
        <w:autoSpaceDN/>
        <w:bidi w:val="0"/>
        <w:adjustRightInd/>
        <w:snapToGrid/>
        <w:spacing w:line="540" w:lineRule="exact"/>
        <w:ind w:left="0" w:leftChars="0" w:firstLine="0" w:firstLineChars="0"/>
        <w:rPr>
          <w:rFonts w:hint="default" w:eastAsia="仿宋"/>
          <w:color w:val="auto"/>
          <w:sz w:val="32"/>
          <w:szCs w:val="32"/>
          <w:lang w:val="en-US" w:eastAsia="zh-CN"/>
        </w:rPr>
      </w:pPr>
      <w:r>
        <w:rPr>
          <w:rFonts w:hint="eastAsia" w:ascii="Times New Roman" w:hAnsi="Times New Roman" w:eastAsia="仿宋_GB2312" w:cs="Times New Roman"/>
          <w:color w:val="auto"/>
          <w:sz w:val="32"/>
          <w:szCs w:val="32"/>
          <w:lang w:val="en-US" w:eastAsia="zh-CN"/>
        </w:rPr>
        <w:t>等</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主要</w:t>
      </w:r>
      <w:r>
        <w:rPr>
          <w:rFonts w:hint="eastAsia" w:ascii="Times New Roman" w:hAnsi="Times New Roman" w:eastAsia="仿宋_GB2312" w:cs="Times New Roman"/>
          <w:color w:val="auto"/>
          <w:sz w:val="32"/>
          <w:szCs w:val="32"/>
          <w:lang w:val="en-US" w:eastAsia="zh-CN"/>
        </w:rPr>
        <w:t>替代煤</w:t>
      </w:r>
      <w:r>
        <w:rPr>
          <w:rFonts w:hint="eastAsia" w:eastAsia="仿宋_GB2312" w:cs="Times New Roman"/>
          <w:color w:val="auto"/>
          <w:sz w:val="32"/>
          <w:szCs w:val="32"/>
          <w:lang w:val="en-US" w:eastAsia="zh-CN"/>
        </w:rPr>
        <w:t>燃料</w:t>
      </w:r>
      <w:r>
        <w:rPr>
          <w:rFonts w:hint="eastAsia" w:ascii="Times New Roman" w:hAnsi="Times New Roman" w:eastAsia="仿宋_GB2312" w:cs="Times New Roman"/>
          <w:color w:val="auto"/>
          <w:sz w:val="32"/>
          <w:szCs w:val="32"/>
          <w:lang w:val="en-US" w:eastAsia="zh-CN"/>
        </w:rPr>
        <w:t>用量约8.12万吨/a。本项目使用的20万吨/a一般固废均由吨袋包装，经密闭的汽车运输</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其中炭黑（2万吨/a）运送至炭黑车间，其他一般固废（18万吨/a）均运输至新建的固废车间。</w:t>
      </w:r>
      <w:r>
        <w:rPr>
          <w:rFonts w:hint="eastAsia" w:eastAsia="仿宋_GB2312" w:cs="Times New Roman"/>
          <w:color w:val="auto"/>
          <w:sz w:val="32"/>
          <w:szCs w:val="32"/>
          <w:lang w:val="en-US" w:eastAsia="zh-CN"/>
        </w:rPr>
        <w:t>项目建设内容：新建1间固体废物暂存车间，新增固废车间投料废气、噪声防治环保工程，其余主体工程、公辅工程、环保工程均依托现有，现有产品、规模、生产工艺、地点等均不发生变化。</w:t>
      </w:r>
      <w:r>
        <w:rPr>
          <w:rFonts w:hint="eastAsia" w:ascii="仿宋" w:hAnsi="仿宋" w:eastAsia="仿宋" w:cs="仿宋"/>
          <w:color w:val="auto"/>
          <w:sz w:val="32"/>
          <w:szCs w:val="32"/>
          <w:lang w:val="en-US" w:eastAsia="zh-CN"/>
        </w:rPr>
        <w:t>项目系补办环评手续，岳阳市生态环境局临湘分局已对该“未批先建”违法行为进行立案调查。</w:t>
      </w:r>
    </w:p>
    <w:p w14:paraId="637DF77A">
      <w:pPr>
        <w:keepNext w:val="0"/>
        <w:keepLines w:val="0"/>
        <w:pageBreakBefore w:val="0"/>
        <w:numPr>
          <w:ilvl w:val="0"/>
          <w:numId w:val="1"/>
        </w:numPr>
        <w:kinsoku/>
        <w:wordWrap/>
        <w:overflowPunct/>
        <w:topLinePunct w:val="0"/>
        <w:autoSpaceDN/>
        <w:bidi w:val="0"/>
        <w:adjustRightInd/>
        <w:snapToGrid/>
        <w:spacing w:line="540" w:lineRule="exact"/>
        <w:ind w:firstLine="640"/>
        <w:jc w:val="both"/>
        <w:rPr>
          <w:rFonts w:eastAsia="仿宋"/>
          <w:color w:val="auto"/>
          <w:kern w:val="2"/>
          <w:sz w:val="32"/>
          <w:szCs w:val="32"/>
        </w:rPr>
      </w:pPr>
      <w:r>
        <w:rPr>
          <w:rFonts w:eastAsia="仿宋"/>
          <w:color w:val="auto"/>
          <w:kern w:val="2"/>
          <w:sz w:val="32"/>
          <w:szCs w:val="32"/>
        </w:rPr>
        <w:t>根据</w:t>
      </w:r>
      <w:r>
        <w:rPr>
          <w:rFonts w:hint="eastAsia" w:eastAsia="仿宋"/>
          <w:color w:val="auto"/>
          <w:kern w:val="2"/>
          <w:sz w:val="32"/>
          <w:szCs w:val="32"/>
          <w:lang w:val="en-US" w:eastAsia="zh-CN"/>
        </w:rPr>
        <w:t>湖南汇美环保发展</w:t>
      </w:r>
      <w:r>
        <w:rPr>
          <w:rFonts w:hint="eastAsia" w:eastAsia="仿宋"/>
          <w:color w:val="auto"/>
          <w:kern w:val="2"/>
          <w:sz w:val="32"/>
          <w:szCs w:val="32"/>
        </w:rPr>
        <w:t>有限公司</w:t>
      </w:r>
      <w:r>
        <w:rPr>
          <w:rFonts w:eastAsia="仿宋"/>
          <w:color w:val="auto"/>
          <w:kern w:val="2"/>
          <w:sz w:val="32"/>
          <w:szCs w:val="32"/>
        </w:rPr>
        <w:t>编制的《报告表》基本内容、结论、专家审查意见及岳阳市临湘生态环境事务中心出具的</w:t>
      </w:r>
      <w:r>
        <w:rPr>
          <w:rFonts w:hint="eastAsia" w:eastAsia="仿宋"/>
          <w:color w:val="auto"/>
          <w:kern w:val="2"/>
          <w:sz w:val="32"/>
          <w:szCs w:val="32"/>
          <w:lang w:eastAsia="zh-CN"/>
        </w:rPr>
        <w:t>《关于〈临湘海螺综合利用一般固废（含替代燃料、原料）20万吨/年技改项目</w:t>
      </w:r>
      <w:r>
        <w:rPr>
          <w:rFonts w:eastAsia="仿宋"/>
          <w:color w:val="auto"/>
          <w:kern w:val="2"/>
          <w:sz w:val="32"/>
          <w:szCs w:val="32"/>
        </w:rPr>
        <w:t>环境影响报告表</w:t>
      </w:r>
      <w:r>
        <w:rPr>
          <w:rFonts w:hint="eastAsia" w:eastAsia="仿宋"/>
          <w:color w:val="auto"/>
          <w:kern w:val="2"/>
          <w:sz w:val="32"/>
          <w:szCs w:val="32"/>
          <w:lang w:eastAsia="zh-CN"/>
        </w:rPr>
        <w:t>〉</w:t>
      </w:r>
      <w:r>
        <w:rPr>
          <w:rFonts w:eastAsia="仿宋"/>
          <w:color w:val="auto"/>
          <w:kern w:val="2"/>
          <w:sz w:val="32"/>
          <w:szCs w:val="32"/>
        </w:rPr>
        <w:t>技术评估</w:t>
      </w:r>
      <w:r>
        <w:rPr>
          <w:rFonts w:hint="eastAsia" w:eastAsia="仿宋"/>
          <w:color w:val="auto"/>
          <w:kern w:val="2"/>
          <w:sz w:val="32"/>
          <w:szCs w:val="32"/>
          <w:lang w:eastAsia="zh-CN"/>
        </w:rPr>
        <w:t>意见的</w:t>
      </w:r>
      <w:r>
        <w:rPr>
          <w:rFonts w:eastAsia="仿宋"/>
          <w:color w:val="auto"/>
          <w:kern w:val="2"/>
          <w:sz w:val="32"/>
          <w:szCs w:val="32"/>
        </w:rPr>
        <w:t>报告</w:t>
      </w:r>
      <w:r>
        <w:rPr>
          <w:rFonts w:hint="eastAsia" w:eastAsia="仿宋"/>
          <w:color w:val="auto"/>
          <w:kern w:val="2"/>
          <w:sz w:val="32"/>
          <w:szCs w:val="32"/>
          <w:lang w:eastAsia="zh-CN"/>
        </w:rPr>
        <w:t>》</w:t>
      </w:r>
      <w:r>
        <w:rPr>
          <w:rFonts w:eastAsia="仿宋"/>
          <w:color w:val="auto"/>
          <w:kern w:val="2"/>
          <w:sz w:val="32"/>
          <w:szCs w:val="32"/>
        </w:rPr>
        <w:t>（</w:t>
      </w:r>
      <w:r>
        <w:rPr>
          <w:rFonts w:eastAsia="仿宋"/>
          <w:color w:val="auto"/>
          <w:sz w:val="32"/>
          <w:szCs w:val="32"/>
        </w:rPr>
        <w:t>临环事评估</w:t>
      </w:r>
      <w:r>
        <w:rPr>
          <w:rFonts w:eastAsia="仿宋"/>
          <w:color w:val="auto"/>
          <w:kern w:val="2"/>
          <w:sz w:val="32"/>
          <w:szCs w:val="32"/>
        </w:rPr>
        <w:t>〔202</w:t>
      </w:r>
      <w:r>
        <w:rPr>
          <w:rFonts w:hint="eastAsia" w:eastAsia="仿宋"/>
          <w:color w:val="auto"/>
          <w:kern w:val="2"/>
          <w:sz w:val="32"/>
          <w:szCs w:val="32"/>
          <w:lang w:val="en-US" w:eastAsia="zh-CN"/>
        </w:rPr>
        <w:t>6</w:t>
      </w:r>
      <w:r>
        <w:rPr>
          <w:rFonts w:eastAsia="仿宋"/>
          <w:color w:val="auto"/>
          <w:kern w:val="2"/>
          <w:sz w:val="32"/>
          <w:szCs w:val="32"/>
        </w:rPr>
        <w:t>〕</w:t>
      </w:r>
      <w:r>
        <w:rPr>
          <w:rFonts w:hint="eastAsia" w:eastAsia="仿宋"/>
          <w:color w:val="auto"/>
          <w:kern w:val="2"/>
          <w:sz w:val="32"/>
          <w:szCs w:val="32"/>
          <w:lang w:val="en-US" w:eastAsia="zh-CN"/>
        </w:rPr>
        <w:t>6</w:t>
      </w:r>
      <w:r>
        <w:rPr>
          <w:rFonts w:eastAsia="仿宋"/>
          <w:color w:val="auto"/>
          <w:kern w:val="2"/>
          <w:sz w:val="32"/>
          <w:szCs w:val="32"/>
        </w:rPr>
        <w:t>号），从环境保护角度考虑，我局原则同意你公司提交的《报告表》所列性质、地点、规模、工艺和环境保护对策措施。</w:t>
      </w:r>
    </w:p>
    <w:p w14:paraId="01F3CD3B">
      <w:pPr>
        <w:keepNext w:val="0"/>
        <w:keepLines w:val="0"/>
        <w:pageBreakBefore w:val="0"/>
        <w:numPr>
          <w:ilvl w:val="0"/>
          <w:numId w:val="1"/>
        </w:numPr>
        <w:kinsoku/>
        <w:wordWrap/>
        <w:overflowPunct/>
        <w:topLinePunct w:val="0"/>
        <w:autoSpaceDN/>
        <w:bidi w:val="0"/>
        <w:adjustRightInd/>
        <w:snapToGrid/>
        <w:spacing w:line="540" w:lineRule="exact"/>
        <w:ind w:firstLine="640"/>
        <w:jc w:val="both"/>
        <w:rPr>
          <w:rFonts w:hint="default" w:eastAsia="仿宋"/>
          <w:color w:val="auto"/>
          <w:kern w:val="2"/>
          <w:sz w:val="32"/>
          <w:szCs w:val="32"/>
          <w:lang w:val="en-US" w:eastAsia="zh-CN"/>
        </w:rPr>
      </w:pPr>
      <w:r>
        <w:rPr>
          <w:rFonts w:hint="eastAsia" w:eastAsia="仿宋"/>
          <w:color w:val="auto"/>
          <w:kern w:val="2"/>
          <w:sz w:val="32"/>
          <w:szCs w:val="32"/>
          <w:lang w:eastAsia="zh-CN"/>
        </w:rPr>
        <w:t>项目在建设和运营中，须全面落实《报告表》提出的各项污染防治、风险防范措施，严格执行环保“三同时”制度，确保外排污染物稳定达标排放，环境风险可控，并着重做好以下几方面的工作：</w:t>
      </w:r>
    </w:p>
    <w:p w14:paraId="1810E269">
      <w:pPr>
        <w:keepNext w:val="0"/>
        <w:keepLines w:val="0"/>
        <w:pageBreakBefore w:val="0"/>
        <w:numPr>
          <w:ilvl w:val="0"/>
          <w:numId w:val="0"/>
        </w:numPr>
        <w:kinsoku/>
        <w:wordWrap/>
        <w:overflowPunct/>
        <w:topLinePunct w:val="0"/>
        <w:autoSpaceDN/>
        <w:bidi w:val="0"/>
        <w:adjustRightInd/>
        <w:snapToGrid/>
        <w:spacing w:line="540" w:lineRule="exact"/>
        <w:jc w:val="both"/>
        <w:rPr>
          <w:rFonts w:hint="default" w:eastAsia="仿宋"/>
          <w:b w:val="0"/>
          <w:bCs w:val="0"/>
          <w:color w:val="auto"/>
          <w:kern w:val="2"/>
          <w:sz w:val="32"/>
          <w:szCs w:val="32"/>
          <w:lang w:val="en-US" w:eastAsia="zh-CN"/>
        </w:rPr>
      </w:pPr>
      <w:r>
        <w:rPr>
          <w:rFonts w:hint="eastAsia" w:eastAsia="仿宋"/>
          <w:color w:val="auto"/>
          <w:kern w:val="2"/>
          <w:sz w:val="32"/>
          <w:szCs w:val="32"/>
          <w:lang w:val="en-US" w:eastAsia="zh-CN"/>
        </w:rPr>
        <w:t xml:space="preserve">    </w:t>
      </w:r>
      <w:r>
        <w:rPr>
          <w:rFonts w:hint="eastAsia" w:eastAsia="仿宋" w:cs="Times New Roman"/>
          <w:b/>
          <w:bCs/>
          <w:color w:val="auto"/>
          <w:sz w:val="32"/>
          <w:szCs w:val="32"/>
          <w:highlight w:val="none"/>
          <w:u w:val="none" w:color="auto"/>
          <w:lang w:val="en-US" w:eastAsia="zh-CN"/>
        </w:rPr>
        <w:t>1.严格控制替代原料及替代燃料的来源和种类。</w:t>
      </w:r>
      <w:r>
        <w:rPr>
          <w:rFonts w:hint="eastAsia" w:eastAsia="仿宋" w:cs="Times New Roman"/>
          <w:b w:val="0"/>
          <w:bCs w:val="0"/>
          <w:color w:val="auto"/>
          <w:sz w:val="32"/>
          <w:szCs w:val="32"/>
          <w:highlight w:val="none"/>
          <w:u w:val="none" w:color="auto"/>
          <w:lang w:val="en-US" w:eastAsia="zh-CN"/>
        </w:rPr>
        <w:t>项目替代原料及替代燃料仅使用</w:t>
      </w:r>
      <w:r>
        <w:rPr>
          <w:rFonts w:hint="eastAsia" w:eastAsia="仿宋"/>
          <w:color w:val="auto"/>
          <w:kern w:val="2"/>
          <w:sz w:val="32"/>
          <w:szCs w:val="32"/>
          <w:lang w:eastAsia="zh-CN"/>
        </w:rPr>
        <w:t>《报告表》</w:t>
      </w:r>
      <w:r>
        <w:rPr>
          <w:rFonts w:hint="eastAsia" w:eastAsia="仿宋"/>
          <w:color w:val="auto"/>
          <w:kern w:val="2"/>
          <w:sz w:val="32"/>
          <w:szCs w:val="32"/>
          <w:lang w:val="en-US" w:eastAsia="zh-CN"/>
        </w:rPr>
        <w:t>所列物料</w:t>
      </w:r>
      <w:r>
        <w:rPr>
          <w:rFonts w:hint="eastAsia" w:eastAsia="仿宋" w:cs="Times New Roman"/>
          <w:b w:val="0"/>
          <w:bCs w:val="0"/>
          <w:color w:val="auto"/>
          <w:sz w:val="32"/>
          <w:szCs w:val="32"/>
          <w:highlight w:val="none"/>
          <w:u w:val="none" w:color="auto"/>
          <w:lang w:val="en-US" w:eastAsia="zh-CN"/>
        </w:rPr>
        <w:t>，替代原料禁止混杂使用有毒有害工业废渣和危险废物，替代燃料热值符合相应标准要求。</w:t>
      </w:r>
    </w:p>
    <w:p w14:paraId="70BCC5E1">
      <w:pPr>
        <w:keepNext w:val="0"/>
        <w:keepLines w:val="0"/>
        <w:pageBreakBefore w:val="0"/>
        <w:numPr>
          <w:ilvl w:val="0"/>
          <w:numId w:val="0"/>
        </w:numPr>
        <w:kinsoku/>
        <w:wordWrap/>
        <w:overflowPunct/>
        <w:topLinePunct w:val="0"/>
        <w:autoSpaceDN/>
        <w:bidi w:val="0"/>
        <w:adjustRightInd/>
        <w:snapToGrid/>
        <w:spacing w:line="540" w:lineRule="exact"/>
        <w:ind w:firstLine="643" w:firstLineChars="200"/>
        <w:jc w:val="both"/>
        <w:rPr>
          <w:rFonts w:hint="eastAsia" w:eastAsia="仿宋" w:cs="Times New Roman"/>
          <w:b w:val="0"/>
          <w:bCs w:val="0"/>
          <w:color w:val="auto"/>
          <w:sz w:val="32"/>
          <w:szCs w:val="32"/>
          <w:highlight w:val="none"/>
          <w:u w:val="none" w:color="auto"/>
          <w:lang w:val="en-US" w:eastAsia="zh-CN"/>
        </w:rPr>
      </w:pPr>
      <w:r>
        <w:rPr>
          <w:rFonts w:hint="eastAsia" w:eastAsia="仿宋"/>
          <w:b/>
          <w:bCs/>
          <w:color w:val="auto"/>
          <w:kern w:val="2"/>
          <w:sz w:val="32"/>
          <w:szCs w:val="32"/>
          <w:lang w:val="en-US" w:eastAsia="zh-CN"/>
        </w:rPr>
        <w:t>2</w:t>
      </w:r>
      <w:r>
        <w:rPr>
          <w:rFonts w:eastAsia="仿宋"/>
          <w:b/>
          <w:bCs/>
          <w:color w:val="auto"/>
          <w:kern w:val="2"/>
          <w:sz w:val="32"/>
          <w:szCs w:val="32"/>
        </w:rPr>
        <w:t>.废气污染防治。</w:t>
      </w:r>
      <w:r>
        <w:rPr>
          <w:rFonts w:hint="eastAsia" w:eastAsia="仿宋" w:cs="Times New Roman"/>
          <w:b w:val="0"/>
          <w:bCs w:val="0"/>
          <w:color w:val="auto"/>
          <w:sz w:val="32"/>
          <w:szCs w:val="32"/>
          <w:highlight w:val="none"/>
          <w:u w:val="none" w:color="auto"/>
          <w:lang w:val="en-US" w:eastAsia="zh-CN"/>
        </w:rPr>
        <w:t>营运期废气污染源主要为水泥窑协同处置一般固废产生的窑尾废气，磨煤车间煤磨废气，炭黑车间粉尘，固废车间、煤炭堆场粉尘等。其中，窑尾废气经“低氮燃烧+SNCR+SCR脱硝+高效袋式除尘器”处理后通过90m高排气筒（DA021）排放；煤磨废气经过布袋除尘设施处理后通过37m高排气筒（DA019）排放；炭黑车间粉尘经过布袋除尘设施处理后通过27m高排气筒（DA098）排放。无组织排放：固废车间采用密闭车间，并在进料方仓周边设置隔帘，通过投料风机进料抽风保持车间微负压状态，煤炭堆场采用全密闭式堆场，出入车辆冲洗等扬尘控制措施。</w:t>
      </w:r>
    </w:p>
    <w:p w14:paraId="57C15A51">
      <w:pPr>
        <w:keepNext w:val="0"/>
        <w:keepLines w:val="0"/>
        <w:pageBreakBefore w:val="0"/>
        <w:numPr>
          <w:ilvl w:val="0"/>
          <w:numId w:val="0"/>
        </w:numPr>
        <w:kinsoku/>
        <w:wordWrap/>
        <w:overflowPunct/>
        <w:topLinePunct w:val="0"/>
        <w:autoSpaceDN/>
        <w:bidi w:val="0"/>
        <w:adjustRightInd/>
        <w:snapToGrid/>
        <w:spacing w:line="540" w:lineRule="exact"/>
        <w:ind w:firstLine="640" w:firstLineChars="200"/>
        <w:jc w:val="both"/>
        <w:rPr>
          <w:rFonts w:hint="default" w:eastAsia="仿宋" w:cs="Times New Roman"/>
          <w:b w:val="0"/>
          <w:bCs w:val="0"/>
          <w:color w:val="auto"/>
          <w:sz w:val="32"/>
          <w:szCs w:val="32"/>
          <w:highlight w:val="none"/>
          <w:u w:val="none" w:color="auto"/>
          <w:lang w:val="en-US" w:eastAsia="zh-CN"/>
        </w:rPr>
      </w:pPr>
      <w:r>
        <w:rPr>
          <w:rFonts w:hint="eastAsia" w:eastAsia="仿宋" w:cs="Times New Roman"/>
          <w:b w:val="0"/>
          <w:bCs w:val="0"/>
          <w:color w:val="auto"/>
          <w:sz w:val="32"/>
          <w:szCs w:val="32"/>
          <w:highlight w:val="none"/>
          <w:u w:val="none" w:color="auto"/>
          <w:lang w:val="en-US" w:eastAsia="zh-CN"/>
        </w:rPr>
        <w:t>窑尾废气中颗粒物、氮氧化物、二氧化硫、氨和磨煤废气中颗粒物执行《工业炉窑主要大气污染物排放标准》（DB43/ 3082—2024）要求限值；氯化氢、氟化氢、汞及其化合物（以Hg计），铊、镉、铅、砷及其化合物（以Tl+Cd+Pb+As计），铍、铬、锡、锑、铜、钴、锰、镍、钒及其化合物（Be+Cr+Sn+Sb+Cu+Co+Mn+Ni+V计）、二噁英类等执行《水泥窑协同处置固体废物污染物控制标准》（GB30485-2013）；颗粒物厂界无组织排放执行《水泥工业大气污染物排放标准》（GB4915-2013）及修改单中表3无组织排放限值。</w:t>
      </w:r>
    </w:p>
    <w:p w14:paraId="545F1299">
      <w:pPr>
        <w:pStyle w:val="6"/>
        <w:keepNext w:val="0"/>
        <w:keepLines w:val="0"/>
        <w:pageBreakBefore w:val="0"/>
        <w:kinsoku/>
        <w:wordWrap/>
        <w:overflowPunct/>
        <w:topLinePunct w:val="0"/>
        <w:autoSpaceDN/>
        <w:bidi w:val="0"/>
        <w:adjustRightInd/>
        <w:snapToGrid/>
        <w:spacing w:after="0" w:line="540" w:lineRule="exact"/>
        <w:ind w:firstLine="643"/>
        <w:jc w:val="both"/>
        <w:rPr>
          <w:rFonts w:hint="default" w:eastAsia="仿宋"/>
          <w:b w:val="0"/>
          <w:bCs w:val="0"/>
          <w:color w:val="auto"/>
          <w:kern w:val="2"/>
          <w:sz w:val="32"/>
          <w:szCs w:val="32"/>
          <w:lang w:val="en-US" w:eastAsia="zh-CN"/>
        </w:rPr>
      </w:pPr>
      <w:r>
        <w:rPr>
          <w:rFonts w:hint="eastAsia" w:eastAsia="仿宋"/>
          <w:b/>
          <w:bCs/>
          <w:color w:val="auto"/>
          <w:kern w:val="2"/>
          <w:sz w:val="32"/>
          <w:szCs w:val="32"/>
          <w:lang w:val="en-US" w:eastAsia="zh-CN"/>
        </w:rPr>
        <w:t>3</w:t>
      </w:r>
      <w:r>
        <w:rPr>
          <w:rFonts w:eastAsia="仿宋"/>
          <w:b/>
          <w:bCs/>
          <w:color w:val="auto"/>
          <w:kern w:val="2"/>
          <w:sz w:val="32"/>
          <w:szCs w:val="32"/>
        </w:rPr>
        <w:t>.废水污染防治。</w:t>
      </w:r>
      <w:r>
        <w:rPr>
          <w:rFonts w:hint="eastAsia" w:eastAsia="仿宋"/>
          <w:b w:val="0"/>
          <w:bCs w:val="0"/>
          <w:color w:val="auto"/>
          <w:kern w:val="2"/>
          <w:sz w:val="32"/>
          <w:szCs w:val="32"/>
        </w:rPr>
        <w:t>本项目不新增生活废水</w:t>
      </w:r>
      <w:r>
        <w:rPr>
          <w:rFonts w:hint="eastAsia" w:eastAsia="仿宋"/>
          <w:b w:val="0"/>
          <w:bCs w:val="0"/>
          <w:color w:val="auto"/>
          <w:kern w:val="2"/>
          <w:sz w:val="32"/>
          <w:szCs w:val="32"/>
          <w:lang w:eastAsia="zh-CN"/>
        </w:rPr>
        <w:t>；</w:t>
      </w:r>
      <w:r>
        <w:rPr>
          <w:rFonts w:hint="eastAsia" w:eastAsia="仿宋"/>
          <w:b w:val="0"/>
          <w:bCs w:val="0"/>
          <w:color w:val="auto"/>
          <w:kern w:val="2"/>
          <w:sz w:val="32"/>
          <w:szCs w:val="32"/>
        </w:rPr>
        <w:t>新增的洗车废水依托现有工程处理设施处理后排至厂内现有水塘，用于厂区绿化及洒水降尘。</w:t>
      </w:r>
    </w:p>
    <w:p w14:paraId="703724E7">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ascii="Times New Roman" w:hAnsi="Times New Roman" w:eastAsia="仿宋" w:cs="Times New Roman"/>
          <w:color w:val="auto"/>
          <w:kern w:val="2"/>
          <w:sz w:val="32"/>
          <w:szCs w:val="32"/>
          <w:lang w:val="zh-CN"/>
        </w:rPr>
      </w:pPr>
      <w:r>
        <w:rPr>
          <w:rFonts w:hint="eastAsia" w:eastAsia="仿宋"/>
          <w:b/>
          <w:bCs/>
          <w:color w:val="auto"/>
          <w:kern w:val="2"/>
          <w:sz w:val="32"/>
          <w:szCs w:val="32"/>
          <w:lang w:val="en-US" w:eastAsia="zh-CN"/>
        </w:rPr>
        <w:t>4</w:t>
      </w:r>
      <w:r>
        <w:rPr>
          <w:rFonts w:eastAsia="仿宋"/>
          <w:b/>
          <w:bCs/>
          <w:color w:val="auto"/>
          <w:kern w:val="2"/>
          <w:sz w:val="32"/>
          <w:szCs w:val="32"/>
        </w:rPr>
        <w:t>.噪声污染防治</w:t>
      </w:r>
      <w:r>
        <w:rPr>
          <w:rFonts w:eastAsia="仿宋"/>
          <w:b/>
          <w:bCs/>
          <w:color w:val="auto"/>
          <w:kern w:val="2"/>
          <w:sz w:val="32"/>
          <w:szCs w:val="32"/>
          <w:lang w:val="zh-CN"/>
        </w:rPr>
        <w:t>。</w:t>
      </w:r>
      <w:r>
        <w:rPr>
          <w:rFonts w:hint="eastAsia" w:eastAsia="仿宋"/>
          <w:color w:val="auto"/>
          <w:kern w:val="2"/>
          <w:sz w:val="32"/>
          <w:szCs w:val="32"/>
          <w:lang w:val="en-US" w:eastAsia="zh-CN"/>
        </w:rPr>
        <w:t>运营</w:t>
      </w:r>
      <w:r>
        <w:rPr>
          <w:rFonts w:hint="eastAsia" w:eastAsia="仿宋"/>
          <w:color w:val="auto"/>
          <w:kern w:val="2"/>
          <w:sz w:val="32"/>
          <w:szCs w:val="32"/>
          <w:lang w:val="zh-CN"/>
        </w:rPr>
        <w:t>期噪声源</w:t>
      </w:r>
      <w:r>
        <w:rPr>
          <w:rFonts w:hint="eastAsia" w:eastAsia="仿宋"/>
          <w:color w:val="auto"/>
          <w:kern w:val="2"/>
          <w:sz w:val="32"/>
          <w:szCs w:val="32"/>
          <w:lang w:val="en-US" w:eastAsia="zh-CN"/>
        </w:rPr>
        <w:t>主要为</w:t>
      </w:r>
      <w:r>
        <w:rPr>
          <w:rFonts w:hint="eastAsia" w:eastAsia="仿宋"/>
          <w:color w:val="auto"/>
          <w:kern w:val="2"/>
          <w:sz w:val="32"/>
          <w:szCs w:val="32"/>
          <w:lang w:val="zh-CN"/>
        </w:rPr>
        <w:t>斗式提升机、罗茨风机</w:t>
      </w:r>
      <w:r>
        <w:rPr>
          <w:rFonts w:hint="eastAsia" w:eastAsia="仿宋"/>
          <w:color w:val="auto"/>
          <w:kern w:val="2"/>
          <w:sz w:val="32"/>
          <w:szCs w:val="32"/>
          <w:lang w:val="en-US" w:eastAsia="zh-CN"/>
        </w:rPr>
        <w:t>等生产设备运行时产生的噪声</w:t>
      </w:r>
      <w:r>
        <w:rPr>
          <w:rFonts w:hint="eastAsia" w:eastAsia="仿宋"/>
          <w:color w:val="auto"/>
          <w:kern w:val="2"/>
          <w:sz w:val="32"/>
          <w:szCs w:val="32"/>
          <w:lang w:val="zh-CN"/>
        </w:rPr>
        <w:t>，选用低噪声且符合国家标准的生产设备；</w:t>
      </w:r>
      <w:r>
        <w:rPr>
          <w:rFonts w:hint="eastAsia" w:ascii="Times New Roman" w:hAnsi="Times New Roman" w:eastAsia="仿宋" w:cs="Times New Roman"/>
          <w:color w:val="auto"/>
          <w:kern w:val="2"/>
          <w:sz w:val="32"/>
          <w:szCs w:val="32"/>
          <w:lang w:val="zh-CN"/>
        </w:rPr>
        <w:t>采取隔声、吸声、减振等措施；对噪声较大的生产设备进行合理布局</w:t>
      </w:r>
      <w:r>
        <w:rPr>
          <w:rFonts w:hint="eastAsia" w:eastAsia="仿宋" w:cs="Times New Roman"/>
          <w:color w:val="auto"/>
          <w:kern w:val="2"/>
          <w:sz w:val="32"/>
          <w:szCs w:val="32"/>
          <w:lang w:val="zh-CN"/>
        </w:rPr>
        <w:t>；</w:t>
      </w:r>
      <w:r>
        <w:rPr>
          <w:rFonts w:hint="eastAsia" w:ascii="Times New Roman" w:hAnsi="Times New Roman" w:eastAsia="仿宋" w:cs="Times New Roman"/>
          <w:color w:val="auto"/>
          <w:kern w:val="2"/>
          <w:sz w:val="32"/>
          <w:szCs w:val="32"/>
          <w:lang w:val="zh-CN"/>
        </w:rPr>
        <w:t>加强厂区绿化、</w:t>
      </w:r>
      <w:r>
        <w:rPr>
          <w:rFonts w:ascii="Times New Roman" w:hAnsi="Times New Roman" w:eastAsia="仿宋" w:cs="Times New Roman"/>
          <w:color w:val="auto"/>
          <w:kern w:val="2"/>
          <w:sz w:val="32"/>
          <w:szCs w:val="32"/>
          <w:lang w:val="zh-CN"/>
        </w:rPr>
        <w:t>个体防护</w:t>
      </w:r>
      <w:r>
        <w:rPr>
          <w:rFonts w:hint="eastAsia" w:ascii="Times New Roman" w:hAnsi="Times New Roman" w:eastAsia="仿宋" w:cs="Times New Roman"/>
          <w:color w:val="auto"/>
          <w:kern w:val="2"/>
          <w:sz w:val="32"/>
          <w:szCs w:val="32"/>
          <w:lang w:val="en-US" w:eastAsia="zh-CN"/>
        </w:rPr>
        <w:t>和</w:t>
      </w:r>
      <w:r>
        <w:rPr>
          <w:rFonts w:hint="eastAsia" w:ascii="Times New Roman" w:hAnsi="Times New Roman" w:eastAsia="仿宋" w:cs="Times New Roman"/>
          <w:color w:val="auto"/>
          <w:kern w:val="2"/>
          <w:sz w:val="32"/>
          <w:szCs w:val="32"/>
          <w:lang w:val="zh-CN"/>
        </w:rPr>
        <w:t>设备维护；</w:t>
      </w:r>
      <w:r>
        <w:rPr>
          <w:rFonts w:ascii="Times New Roman" w:hAnsi="Times New Roman" w:eastAsia="仿宋" w:cs="Times New Roman"/>
          <w:color w:val="auto"/>
          <w:kern w:val="2"/>
          <w:sz w:val="32"/>
          <w:szCs w:val="32"/>
          <w:lang w:val="zh-CN"/>
        </w:rPr>
        <w:t>确保厂界噪声满足《工业企业厂界环境噪声排放标准》（GB12348-2008）中</w:t>
      </w:r>
      <w:r>
        <w:rPr>
          <w:rFonts w:hint="eastAsia" w:eastAsia="仿宋" w:cs="Times New Roman"/>
          <w:color w:val="auto"/>
          <w:kern w:val="2"/>
          <w:sz w:val="32"/>
          <w:szCs w:val="32"/>
          <w:lang w:val="en-US" w:eastAsia="zh-CN"/>
        </w:rPr>
        <w:t>3</w:t>
      </w:r>
      <w:r>
        <w:rPr>
          <w:rFonts w:ascii="Times New Roman" w:hAnsi="Times New Roman" w:eastAsia="仿宋" w:cs="Times New Roman"/>
          <w:color w:val="auto"/>
          <w:kern w:val="2"/>
          <w:sz w:val="32"/>
          <w:szCs w:val="32"/>
          <w:lang w:val="zh-CN"/>
        </w:rPr>
        <w:t>类标准要求</w:t>
      </w:r>
      <w:r>
        <w:rPr>
          <w:rFonts w:hint="eastAsia" w:eastAsia="仿宋" w:cs="Times New Roman"/>
          <w:color w:val="auto"/>
          <w:kern w:val="2"/>
          <w:sz w:val="32"/>
          <w:szCs w:val="32"/>
          <w:lang w:val="zh-CN"/>
        </w:rPr>
        <w:t>，</w:t>
      </w:r>
      <w:r>
        <w:rPr>
          <w:rFonts w:hint="eastAsia" w:ascii="Times New Roman" w:hAnsi="Times New Roman" w:eastAsia="仿宋" w:cs="Times New Roman"/>
          <w:color w:val="auto"/>
          <w:kern w:val="2"/>
          <w:sz w:val="32"/>
          <w:szCs w:val="32"/>
          <w:lang w:val="zh-CN"/>
        </w:rPr>
        <w:t>声环境敏感目标昼夜</w:t>
      </w:r>
      <w:r>
        <w:rPr>
          <w:rFonts w:hint="eastAsia" w:eastAsia="仿宋" w:cs="Times New Roman"/>
          <w:color w:val="auto"/>
          <w:kern w:val="2"/>
          <w:sz w:val="32"/>
          <w:szCs w:val="32"/>
          <w:lang w:val="en-US" w:eastAsia="zh-CN"/>
        </w:rPr>
        <w:t>噪声</w:t>
      </w:r>
      <w:r>
        <w:rPr>
          <w:rFonts w:hint="eastAsia" w:ascii="Times New Roman" w:hAnsi="Times New Roman" w:eastAsia="仿宋" w:cs="Times New Roman"/>
          <w:color w:val="auto"/>
          <w:kern w:val="2"/>
          <w:sz w:val="32"/>
          <w:szCs w:val="32"/>
          <w:lang w:val="zh-CN"/>
        </w:rPr>
        <w:t>满足《声环境质量标准》（GB3096-2008）中2类标准限值要求。</w:t>
      </w:r>
    </w:p>
    <w:p w14:paraId="6490459F">
      <w:pPr>
        <w:keepNext w:val="0"/>
        <w:keepLines w:val="0"/>
        <w:pageBreakBefore w:val="0"/>
        <w:kinsoku/>
        <w:wordWrap/>
        <w:overflowPunct/>
        <w:topLinePunct w:val="0"/>
        <w:autoSpaceDN/>
        <w:bidi w:val="0"/>
        <w:adjustRightInd/>
        <w:snapToGrid/>
        <w:spacing w:line="540" w:lineRule="exact"/>
        <w:ind w:firstLine="643"/>
        <w:rPr>
          <w:rFonts w:eastAsia="仿宋"/>
          <w:color w:val="auto"/>
          <w:kern w:val="2"/>
          <w:sz w:val="32"/>
          <w:szCs w:val="32"/>
        </w:rPr>
      </w:pPr>
      <w:r>
        <w:rPr>
          <w:rFonts w:hint="eastAsia" w:eastAsia="仿宋"/>
          <w:b/>
          <w:bCs/>
          <w:color w:val="auto"/>
          <w:kern w:val="2"/>
          <w:sz w:val="32"/>
          <w:szCs w:val="32"/>
          <w:lang w:val="en-US" w:eastAsia="zh-CN"/>
        </w:rPr>
        <w:t>5</w:t>
      </w:r>
      <w:r>
        <w:rPr>
          <w:rFonts w:eastAsia="仿宋"/>
          <w:b/>
          <w:bCs/>
          <w:color w:val="auto"/>
          <w:kern w:val="2"/>
          <w:sz w:val="32"/>
          <w:szCs w:val="32"/>
        </w:rPr>
        <w:t>.固体废物防治。</w:t>
      </w:r>
      <w:r>
        <w:rPr>
          <w:rFonts w:hint="eastAsia" w:eastAsia="仿宋"/>
          <w:b w:val="0"/>
          <w:bCs w:val="0"/>
          <w:color w:val="auto"/>
          <w:kern w:val="2"/>
          <w:sz w:val="32"/>
          <w:szCs w:val="32"/>
          <w:lang w:val="en-US" w:eastAsia="zh-CN"/>
        </w:rPr>
        <w:t>项目不新增生活垃圾</w:t>
      </w:r>
      <w:r>
        <w:rPr>
          <w:rFonts w:eastAsia="仿宋"/>
          <w:b w:val="0"/>
          <w:bCs w:val="0"/>
          <w:color w:val="auto"/>
          <w:kern w:val="2"/>
          <w:sz w:val="32"/>
          <w:szCs w:val="32"/>
        </w:rPr>
        <w:t>；</w:t>
      </w:r>
      <w:r>
        <w:rPr>
          <w:rFonts w:hint="eastAsia" w:eastAsia="仿宋"/>
          <w:b w:val="0"/>
          <w:bCs w:val="0"/>
          <w:color w:val="auto"/>
          <w:kern w:val="2"/>
          <w:sz w:val="32"/>
          <w:szCs w:val="32"/>
        </w:rPr>
        <w:t>车间地面清扫的灰渣和破袋上料过</w:t>
      </w:r>
      <w:r>
        <w:rPr>
          <w:rFonts w:hint="eastAsia" w:eastAsia="仿宋"/>
          <w:b w:val="0"/>
          <w:bCs w:val="0"/>
          <w:color w:val="auto"/>
          <w:kern w:val="2"/>
          <w:sz w:val="32"/>
          <w:szCs w:val="32"/>
          <w:lang w:eastAsia="zh-CN"/>
        </w:rPr>
        <w:t>程中</w:t>
      </w:r>
      <w:r>
        <w:rPr>
          <w:rFonts w:hint="eastAsia" w:eastAsia="仿宋"/>
          <w:b w:val="0"/>
          <w:bCs w:val="0"/>
          <w:color w:val="auto"/>
          <w:kern w:val="2"/>
          <w:sz w:val="32"/>
          <w:szCs w:val="32"/>
        </w:rPr>
        <w:t>可能散漏的一般固废均在车间内进行收集回用</w:t>
      </w:r>
      <w:r>
        <w:rPr>
          <w:rFonts w:hint="eastAsia" w:eastAsia="仿宋"/>
          <w:b w:val="0"/>
          <w:bCs w:val="0"/>
          <w:color w:val="auto"/>
          <w:kern w:val="2"/>
          <w:sz w:val="32"/>
          <w:szCs w:val="32"/>
          <w:lang w:eastAsia="zh-CN"/>
        </w:rPr>
        <w:t>；</w:t>
      </w:r>
      <w:r>
        <w:rPr>
          <w:rFonts w:hint="eastAsia" w:eastAsia="仿宋"/>
          <w:color w:val="auto"/>
          <w:kern w:val="2"/>
          <w:sz w:val="32"/>
          <w:szCs w:val="32"/>
        </w:rPr>
        <w:t>废</w:t>
      </w:r>
      <w:r>
        <w:rPr>
          <w:rFonts w:hint="eastAsia" w:eastAsia="仿宋"/>
          <w:color w:val="auto"/>
          <w:kern w:val="2"/>
          <w:sz w:val="32"/>
          <w:szCs w:val="32"/>
          <w:lang w:val="en-US" w:eastAsia="zh-CN"/>
        </w:rPr>
        <w:t>机油</w:t>
      </w:r>
      <w:r>
        <w:rPr>
          <w:rFonts w:hint="eastAsia" w:eastAsia="仿宋"/>
          <w:color w:val="auto"/>
          <w:kern w:val="2"/>
          <w:sz w:val="32"/>
          <w:szCs w:val="32"/>
        </w:rPr>
        <w:t>、废</w:t>
      </w:r>
      <w:r>
        <w:rPr>
          <w:rFonts w:hint="eastAsia" w:eastAsia="仿宋"/>
          <w:color w:val="auto"/>
          <w:kern w:val="2"/>
          <w:sz w:val="32"/>
          <w:szCs w:val="32"/>
          <w:lang w:val="en-US" w:eastAsia="zh-CN"/>
        </w:rPr>
        <w:t>润滑</w:t>
      </w:r>
      <w:r>
        <w:rPr>
          <w:rFonts w:hint="eastAsia" w:eastAsia="仿宋"/>
          <w:color w:val="auto"/>
          <w:kern w:val="2"/>
          <w:sz w:val="32"/>
          <w:szCs w:val="32"/>
        </w:rPr>
        <w:t>油</w:t>
      </w:r>
      <w:r>
        <w:rPr>
          <w:rFonts w:hint="eastAsia" w:eastAsia="仿宋"/>
          <w:color w:val="auto"/>
          <w:kern w:val="2"/>
          <w:sz w:val="32"/>
          <w:szCs w:val="32"/>
          <w:lang w:val="en-US" w:eastAsia="zh-CN"/>
        </w:rPr>
        <w:t>依托现有</w:t>
      </w:r>
      <w:r>
        <w:rPr>
          <w:rFonts w:hint="eastAsia" w:eastAsia="仿宋"/>
          <w:color w:val="auto"/>
          <w:kern w:val="2"/>
          <w:sz w:val="32"/>
          <w:szCs w:val="32"/>
        </w:rPr>
        <w:t>危废</w:t>
      </w:r>
      <w:r>
        <w:rPr>
          <w:rFonts w:hint="eastAsia" w:eastAsia="仿宋"/>
          <w:color w:val="auto"/>
          <w:kern w:val="2"/>
          <w:sz w:val="32"/>
          <w:szCs w:val="32"/>
          <w:lang w:val="en-US" w:eastAsia="zh-CN"/>
        </w:rPr>
        <w:t>暂存</w:t>
      </w:r>
      <w:r>
        <w:rPr>
          <w:rFonts w:hint="eastAsia" w:eastAsia="仿宋"/>
          <w:color w:val="auto"/>
          <w:kern w:val="2"/>
          <w:sz w:val="32"/>
          <w:szCs w:val="32"/>
        </w:rPr>
        <w:t>间，</w:t>
      </w:r>
      <w:r>
        <w:rPr>
          <w:rFonts w:eastAsia="仿宋"/>
          <w:color w:val="auto"/>
          <w:kern w:val="2"/>
          <w:sz w:val="32"/>
          <w:szCs w:val="32"/>
        </w:rPr>
        <w:t>委托资质</w:t>
      </w:r>
      <w:r>
        <w:rPr>
          <w:rFonts w:hint="eastAsia" w:eastAsia="仿宋"/>
          <w:color w:val="auto"/>
          <w:kern w:val="2"/>
          <w:sz w:val="32"/>
          <w:szCs w:val="32"/>
        </w:rPr>
        <w:t>单位</w:t>
      </w:r>
      <w:r>
        <w:rPr>
          <w:rFonts w:eastAsia="仿宋"/>
          <w:color w:val="auto"/>
          <w:kern w:val="2"/>
          <w:sz w:val="32"/>
          <w:szCs w:val="32"/>
        </w:rPr>
        <w:t>进行处置。</w:t>
      </w:r>
    </w:p>
    <w:p w14:paraId="320DDD5F">
      <w:pPr>
        <w:keepNext w:val="0"/>
        <w:keepLines w:val="0"/>
        <w:pageBreakBefore w:val="0"/>
        <w:kinsoku/>
        <w:wordWrap/>
        <w:overflowPunct/>
        <w:topLinePunct w:val="0"/>
        <w:autoSpaceDN/>
        <w:bidi w:val="0"/>
        <w:adjustRightInd/>
        <w:snapToGrid/>
        <w:spacing w:line="540" w:lineRule="exact"/>
        <w:ind w:firstLine="643"/>
        <w:rPr>
          <w:rFonts w:hint="eastAsia" w:eastAsia="仿宋"/>
          <w:color w:val="auto"/>
          <w:kern w:val="2"/>
          <w:sz w:val="32"/>
          <w:szCs w:val="32"/>
          <w:lang w:val="en-US" w:eastAsia="zh-CN"/>
        </w:rPr>
      </w:pPr>
      <w:r>
        <w:rPr>
          <w:rFonts w:hint="eastAsia" w:eastAsia="仿宋"/>
          <w:b/>
          <w:bCs/>
          <w:color w:val="auto"/>
          <w:kern w:val="2"/>
          <w:sz w:val="32"/>
          <w:szCs w:val="32"/>
          <w:lang w:val="en-US" w:eastAsia="zh-CN"/>
        </w:rPr>
        <w:t>6.总量控制。</w:t>
      </w:r>
      <w:r>
        <w:rPr>
          <w:rFonts w:ascii="Times New Roman" w:hAnsi="Times New Roman" w:eastAsia="仿宋" w:cs="Times New Roman"/>
          <w:color w:val="auto"/>
          <w:kern w:val="2"/>
          <w:sz w:val="32"/>
          <w:szCs w:val="32"/>
        </w:rPr>
        <w:t>本项目</w:t>
      </w:r>
      <w:r>
        <w:rPr>
          <w:rFonts w:hint="eastAsia" w:ascii="Times New Roman" w:hAnsi="Times New Roman" w:eastAsia="仿宋" w:cs="Times New Roman"/>
          <w:color w:val="auto"/>
          <w:kern w:val="2"/>
          <w:sz w:val="32"/>
          <w:szCs w:val="32"/>
        </w:rPr>
        <w:t>不新增NOx排放量，SO</w:t>
      </w:r>
      <w:r>
        <w:rPr>
          <w:rFonts w:hint="eastAsia" w:ascii="Times New Roman" w:hAnsi="Times New Roman" w:eastAsia="仿宋" w:cs="Times New Roman"/>
          <w:color w:val="auto"/>
          <w:kern w:val="2"/>
          <w:sz w:val="32"/>
          <w:szCs w:val="32"/>
          <w:vertAlign w:val="subscript"/>
        </w:rPr>
        <w:t>2</w:t>
      </w:r>
      <w:r>
        <w:rPr>
          <w:rFonts w:hint="eastAsia" w:ascii="Times New Roman" w:hAnsi="Times New Roman" w:eastAsia="仿宋" w:cs="Times New Roman"/>
          <w:color w:val="auto"/>
          <w:kern w:val="2"/>
          <w:sz w:val="32"/>
          <w:szCs w:val="32"/>
        </w:rPr>
        <w:t>和As排放量减少，Cd、Pb排放量增加</w:t>
      </w:r>
      <w:r>
        <w:rPr>
          <w:rFonts w:hint="eastAsia" w:ascii="Times New Roman" w:hAnsi="Times New Roman" w:eastAsia="仿宋" w:cs="Times New Roman"/>
          <w:color w:val="auto"/>
          <w:kern w:val="2"/>
          <w:sz w:val="32"/>
          <w:szCs w:val="32"/>
          <w:lang w:eastAsia="zh-CN"/>
        </w:rPr>
        <w:t>，</w:t>
      </w:r>
      <w:r>
        <w:rPr>
          <w:rFonts w:hint="eastAsia" w:ascii="Times New Roman" w:hAnsi="Times New Roman" w:eastAsia="仿宋" w:cs="Times New Roman"/>
          <w:color w:val="auto"/>
          <w:kern w:val="2"/>
          <w:sz w:val="32"/>
          <w:szCs w:val="32"/>
          <w:lang w:val="en-US" w:eastAsia="zh-CN"/>
        </w:rPr>
        <w:t>其中</w:t>
      </w:r>
      <w:r>
        <w:rPr>
          <w:rFonts w:hint="eastAsia" w:ascii="Times New Roman" w:hAnsi="Times New Roman" w:eastAsia="仿宋" w:cs="Times New Roman"/>
          <w:color w:val="auto"/>
          <w:kern w:val="2"/>
          <w:sz w:val="32"/>
          <w:szCs w:val="32"/>
        </w:rPr>
        <w:t>Cd</w:t>
      </w:r>
      <w:r>
        <w:rPr>
          <w:rFonts w:ascii="Times New Roman" w:hAnsi="Times New Roman" w:eastAsia="仿宋" w:cs="Times New Roman"/>
          <w:color w:val="auto"/>
          <w:kern w:val="2"/>
          <w:sz w:val="32"/>
          <w:szCs w:val="32"/>
        </w:rPr>
        <w:t>≤</w:t>
      </w:r>
      <w:r>
        <w:rPr>
          <w:rFonts w:hint="eastAsia" w:ascii="Times New Roman" w:hAnsi="Times New Roman" w:eastAsia="仿宋" w:cs="Times New Roman"/>
          <w:color w:val="auto"/>
          <w:kern w:val="2"/>
          <w:sz w:val="32"/>
          <w:szCs w:val="32"/>
        </w:rPr>
        <w:t>0.</w:t>
      </w:r>
      <w:r>
        <w:rPr>
          <w:rFonts w:hint="eastAsia" w:ascii="Times New Roman" w:hAnsi="Times New Roman" w:eastAsia="仿宋" w:cs="Times New Roman"/>
          <w:color w:val="auto"/>
          <w:kern w:val="2"/>
          <w:sz w:val="32"/>
          <w:szCs w:val="32"/>
          <w:lang w:val="en-US" w:eastAsia="zh-CN"/>
        </w:rPr>
        <w:t>000037</w:t>
      </w:r>
      <w:r>
        <w:rPr>
          <w:rFonts w:ascii="Times New Roman" w:hAnsi="Times New Roman" w:eastAsia="仿宋" w:cs="Times New Roman"/>
          <w:color w:val="auto"/>
          <w:kern w:val="2"/>
          <w:sz w:val="32"/>
          <w:szCs w:val="32"/>
        </w:rPr>
        <w:t>t/a、</w:t>
      </w:r>
      <w:r>
        <w:rPr>
          <w:rFonts w:hint="eastAsia" w:ascii="Times New Roman" w:hAnsi="Times New Roman" w:eastAsia="仿宋" w:cs="Times New Roman"/>
          <w:color w:val="auto"/>
          <w:kern w:val="2"/>
          <w:sz w:val="32"/>
          <w:szCs w:val="32"/>
        </w:rPr>
        <w:t>Pb</w:t>
      </w:r>
      <w:r>
        <w:rPr>
          <w:rFonts w:ascii="Times New Roman" w:hAnsi="Times New Roman" w:eastAsia="仿宋" w:cs="Times New Roman"/>
          <w:color w:val="auto"/>
          <w:kern w:val="2"/>
          <w:sz w:val="32"/>
          <w:szCs w:val="32"/>
        </w:rPr>
        <w:t>≤</w:t>
      </w:r>
      <w:r>
        <w:rPr>
          <w:rFonts w:hint="eastAsia" w:ascii="Times New Roman" w:hAnsi="Times New Roman" w:eastAsia="仿宋" w:cs="Times New Roman"/>
          <w:color w:val="auto"/>
          <w:kern w:val="2"/>
          <w:sz w:val="32"/>
          <w:szCs w:val="32"/>
        </w:rPr>
        <w:t>0.</w:t>
      </w:r>
      <w:r>
        <w:rPr>
          <w:rFonts w:hint="eastAsia" w:ascii="Times New Roman" w:hAnsi="Times New Roman" w:eastAsia="仿宋" w:cs="Times New Roman"/>
          <w:color w:val="auto"/>
          <w:kern w:val="2"/>
          <w:sz w:val="32"/>
          <w:szCs w:val="32"/>
          <w:lang w:val="en-US" w:eastAsia="zh-CN"/>
        </w:rPr>
        <w:t>0001</w:t>
      </w:r>
      <w:r>
        <w:rPr>
          <w:rFonts w:ascii="Times New Roman" w:hAnsi="Times New Roman" w:eastAsia="仿宋" w:cs="Times New Roman"/>
          <w:color w:val="auto"/>
          <w:kern w:val="2"/>
          <w:sz w:val="32"/>
          <w:szCs w:val="32"/>
        </w:rPr>
        <w:t>t/a。</w:t>
      </w:r>
      <w:r>
        <w:rPr>
          <w:rFonts w:hint="eastAsia" w:ascii="Times New Roman" w:hAnsi="Times New Roman" w:eastAsia="仿宋" w:cs="Times New Roman"/>
          <w:color w:val="auto"/>
          <w:kern w:val="2"/>
          <w:sz w:val="32"/>
          <w:szCs w:val="32"/>
        </w:rPr>
        <w:t>Cd</w:t>
      </w:r>
      <w:r>
        <w:rPr>
          <w:rFonts w:hint="eastAsia" w:ascii="Times New Roman" w:hAnsi="Times New Roman" w:eastAsia="仿宋" w:cs="Times New Roman"/>
          <w:color w:val="auto"/>
          <w:kern w:val="2"/>
          <w:sz w:val="32"/>
          <w:szCs w:val="32"/>
          <w:lang w:val="en-US" w:eastAsia="zh-CN"/>
        </w:rPr>
        <w:t>、</w:t>
      </w:r>
      <w:r>
        <w:rPr>
          <w:rFonts w:hint="eastAsia" w:ascii="Times New Roman" w:hAnsi="Times New Roman" w:eastAsia="仿宋" w:cs="Times New Roman"/>
          <w:color w:val="auto"/>
          <w:kern w:val="2"/>
          <w:sz w:val="32"/>
          <w:szCs w:val="32"/>
        </w:rPr>
        <w:t>Pb</w:t>
      </w:r>
      <w:r>
        <w:rPr>
          <w:rFonts w:ascii="Times New Roman" w:hAnsi="Times New Roman" w:eastAsia="仿宋" w:cs="Times New Roman"/>
          <w:color w:val="auto"/>
          <w:kern w:val="2"/>
          <w:sz w:val="32"/>
          <w:szCs w:val="32"/>
        </w:rPr>
        <w:t>总量控制指标</w:t>
      </w:r>
      <w:r>
        <w:rPr>
          <w:rFonts w:hint="eastAsia" w:ascii="Times New Roman" w:hAnsi="Times New Roman" w:eastAsia="仿宋" w:cs="Times New Roman"/>
          <w:color w:val="auto"/>
          <w:kern w:val="2"/>
          <w:sz w:val="32"/>
          <w:szCs w:val="32"/>
        </w:rPr>
        <w:t>未超出企业排污权证总量，无需购买</w:t>
      </w:r>
      <w:r>
        <w:rPr>
          <w:rFonts w:hint="eastAsia" w:ascii="Times New Roman" w:hAnsi="Times New Roman" w:eastAsia="仿宋" w:cs="Times New Roman"/>
          <w:color w:val="auto"/>
          <w:kern w:val="2"/>
          <w:sz w:val="32"/>
          <w:szCs w:val="32"/>
          <w:lang w:eastAsia="zh-CN"/>
        </w:rPr>
        <w:t>。</w:t>
      </w:r>
    </w:p>
    <w:p w14:paraId="22DC1210">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40" w:lineRule="exact"/>
        <w:ind w:firstLine="643" w:firstLineChars="200"/>
        <w:jc w:val="both"/>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b/>
          <w:bCs/>
          <w:color w:val="auto"/>
          <w:kern w:val="2"/>
          <w:sz w:val="32"/>
          <w:szCs w:val="32"/>
          <w:lang w:val="en-US" w:eastAsia="zh-CN"/>
        </w:rPr>
        <w:t>7</w:t>
      </w:r>
      <w:r>
        <w:rPr>
          <w:rFonts w:ascii="Times New Roman" w:hAnsi="Times New Roman" w:eastAsia="仿宋" w:cs="Times New Roman"/>
          <w:b/>
          <w:bCs/>
          <w:color w:val="auto"/>
          <w:kern w:val="2"/>
          <w:sz w:val="32"/>
          <w:szCs w:val="32"/>
        </w:rPr>
        <w:t>.加强环境管理与环境风险防范。</w:t>
      </w:r>
      <w:r>
        <w:rPr>
          <w:rFonts w:hint="eastAsia" w:ascii="Times New Roman" w:hAnsi="Times New Roman" w:eastAsia="仿宋" w:cs="Times New Roman"/>
          <w:color w:val="auto"/>
          <w:kern w:val="2"/>
          <w:sz w:val="32"/>
          <w:szCs w:val="32"/>
          <w:lang w:val="en-US" w:eastAsia="zh-CN" w:bidi="ar-SA"/>
        </w:rPr>
        <w:t>设置环保机构和专职人员，建立健全的环境管理制度；做好非正常工况下的污染防治措施，确保设施正常稳定运行；规范化建设排污口及标识标牌，落实企业自行监测、排污许可等要求；完善环境风险应急预案的修编工作，落实各项风险防范措施。</w:t>
      </w:r>
    </w:p>
    <w:p w14:paraId="2E3CECD4">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40" w:lineRule="exact"/>
        <w:ind w:firstLine="640" w:firstLineChars="200"/>
        <w:jc w:val="both"/>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8.</w:t>
      </w:r>
      <w:r>
        <w:rPr>
          <w:rFonts w:hint="eastAsia" w:ascii="仿宋" w:hAnsi="仿宋" w:eastAsia="仿宋" w:cs="仿宋"/>
          <w:b w:val="0"/>
          <w:bCs w:val="0"/>
          <w:color w:val="auto"/>
          <w:sz w:val="32"/>
          <w:szCs w:val="32"/>
          <w:lang w:eastAsia="zh-CN"/>
        </w:rPr>
        <w:t>其余仍执行湘环评〔2008〕181号</w:t>
      </w:r>
      <w:r>
        <w:rPr>
          <w:rFonts w:hint="eastAsia" w:ascii="仿宋" w:hAnsi="仿宋" w:eastAsia="仿宋" w:cs="仿宋"/>
          <w:b w:val="0"/>
          <w:bCs w:val="0"/>
          <w:color w:val="auto"/>
          <w:sz w:val="32"/>
          <w:szCs w:val="32"/>
          <w:lang w:val="en-US" w:eastAsia="zh-CN"/>
        </w:rPr>
        <w:t>、湘环评〔2020〕1号、岳临环评〔2024〕4号、</w:t>
      </w:r>
      <w:r>
        <w:rPr>
          <w:rFonts w:hint="eastAsia" w:ascii="仿宋" w:hAnsi="仿宋" w:eastAsia="仿宋" w:cs="仿宋"/>
          <w:b w:val="0"/>
          <w:bCs w:val="0"/>
          <w:color w:val="auto"/>
          <w:kern w:val="2"/>
          <w:sz w:val="32"/>
          <w:szCs w:val="32"/>
          <w:u w:val="none"/>
          <w:lang w:val="en-US" w:eastAsia="zh-CN" w:bidi="ar-SA"/>
        </w:rPr>
        <w:t>临环审批〔2021〕12号</w:t>
      </w:r>
      <w:r>
        <w:rPr>
          <w:rFonts w:hint="eastAsia" w:ascii="仿宋" w:hAnsi="仿宋" w:eastAsia="仿宋" w:cs="仿宋"/>
          <w:b w:val="0"/>
          <w:bCs w:val="0"/>
          <w:color w:val="auto"/>
          <w:sz w:val="32"/>
          <w:szCs w:val="32"/>
          <w:lang w:val="en-US" w:eastAsia="zh-CN"/>
        </w:rPr>
        <w:t>中的相关要求。</w:t>
      </w:r>
    </w:p>
    <w:p w14:paraId="53C96697">
      <w:pPr>
        <w:keepNext w:val="0"/>
        <w:keepLines w:val="0"/>
        <w:pageBreakBefore w:val="0"/>
        <w:kinsoku/>
        <w:wordWrap/>
        <w:overflowPunct/>
        <w:topLinePunct w:val="0"/>
        <w:autoSpaceDN/>
        <w:bidi w:val="0"/>
        <w:adjustRightInd/>
        <w:snapToGrid/>
        <w:spacing w:line="540" w:lineRule="exact"/>
        <w:ind w:firstLine="640"/>
        <w:jc w:val="both"/>
        <w:rPr>
          <w:rFonts w:eastAsia="仿宋"/>
          <w:color w:val="auto"/>
          <w:kern w:val="2"/>
          <w:sz w:val="32"/>
          <w:szCs w:val="32"/>
          <w:lang w:val="zh-CN"/>
        </w:rPr>
      </w:pPr>
      <w:r>
        <w:rPr>
          <w:rFonts w:eastAsia="仿宋"/>
          <w:color w:val="auto"/>
          <w:kern w:val="2"/>
          <w:sz w:val="32"/>
          <w:szCs w:val="32"/>
        </w:rPr>
        <w:t>三、严格按规程操作，确保各种污染治理设施的正常运行。项目建成后应按规定程序实施竣工环境保护验收。由岳阳市临湘生态环境保护综合行政执法大队负责该项目的日常现场监管</w:t>
      </w:r>
      <w:r>
        <w:rPr>
          <w:rFonts w:eastAsia="仿宋"/>
          <w:color w:val="auto"/>
          <w:kern w:val="2"/>
          <w:sz w:val="32"/>
          <w:szCs w:val="32"/>
          <w:lang w:val="zh-CN"/>
        </w:rPr>
        <w:t>。</w:t>
      </w:r>
    </w:p>
    <w:p w14:paraId="769A925D">
      <w:pPr>
        <w:keepNext w:val="0"/>
        <w:keepLines w:val="0"/>
        <w:pageBreakBefore w:val="0"/>
        <w:kinsoku/>
        <w:wordWrap/>
        <w:overflowPunct/>
        <w:topLinePunct w:val="0"/>
        <w:autoSpaceDN/>
        <w:bidi w:val="0"/>
        <w:adjustRightInd/>
        <w:snapToGrid/>
        <w:spacing w:line="540" w:lineRule="exact"/>
        <w:ind w:firstLine="640"/>
        <w:jc w:val="both"/>
        <w:rPr>
          <w:rFonts w:eastAsia="仿宋"/>
          <w:color w:val="auto"/>
          <w:kern w:val="2"/>
          <w:sz w:val="32"/>
          <w:szCs w:val="32"/>
          <w:lang w:val="zh-CN"/>
        </w:rPr>
      </w:pPr>
    </w:p>
    <w:p w14:paraId="4E0F1B10">
      <w:pPr>
        <w:keepNext w:val="0"/>
        <w:keepLines w:val="0"/>
        <w:pageBreakBefore w:val="0"/>
        <w:kinsoku/>
        <w:wordWrap/>
        <w:overflowPunct/>
        <w:topLinePunct w:val="0"/>
        <w:autoSpaceDN/>
        <w:bidi w:val="0"/>
        <w:adjustRightInd/>
        <w:snapToGrid/>
        <w:spacing w:line="540" w:lineRule="exact"/>
        <w:ind w:firstLine="640"/>
        <w:jc w:val="both"/>
        <w:rPr>
          <w:rFonts w:eastAsia="仿宋"/>
          <w:color w:val="auto"/>
          <w:kern w:val="2"/>
          <w:sz w:val="32"/>
          <w:szCs w:val="32"/>
          <w:lang w:val="zh-CN"/>
        </w:rPr>
      </w:pPr>
    </w:p>
    <w:p w14:paraId="7DA5C337">
      <w:pPr>
        <w:pStyle w:val="30"/>
        <w:keepNext w:val="0"/>
        <w:keepLines w:val="0"/>
        <w:pageBreakBefore w:val="0"/>
        <w:kinsoku/>
        <w:wordWrap/>
        <w:overflowPunct/>
        <w:topLinePunct w:val="0"/>
        <w:autoSpaceDN/>
        <w:bidi w:val="0"/>
        <w:adjustRightInd/>
        <w:snapToGrid/>
        <w:spacing w:line="540" w:lineRule="exact"/>
        <w:ind w:firstLine="5760" w:firstLineChars="1800"/>
        <w:jc w:val="both"/>
        <w:textAlignment w:val="top"/>
        <w:rPr>
          <w:rFonts w:eastAsia="仿宋"/>
          <w:color w:val="auto"/>
          <w:kern w:val="2"/>
          <w:sz w:val="32"/>
          <w:szCs w:val="32"/>
        </w:rPr>
      </w:pPr>
      <w:r>
        <w:rPr>
          <w:rFonts w:eastAsia="仿宋"/>
          <w:color w:val="auto"/>
          <w:kern w:val="2"/>
          <w:sz w:val="32"/>
          <w:szCs w:val="32"/>
        </w:rPr>
        <w:t>岳阳市生态环境局</w:t>
      </w:r>
    </w:p>
    <w:p w14:paraId="59238E26">
      <w:pPr>
        <w:pStyle w:val="30"/>
        <w:keepNext w:val="0"/>
        <w:keepLines w:val="0"/>
        <w:pageBreakBefore w:val="0"/>
        <w:tabs>
          <w:tab w:val="left" w:pos="5580"/>
        </w:tabs>
        <w:kinsoku/>
        <w:wordWrap/>
        <w:overflowPunct/>
        <w:topLinePunct w:val="0"/>
        <w:autoSpaceDN/>
        <w:bidi w:val="0"/>
        <w:adjustRightInd/>
        <w:snapToGrid/>
        <w:spacing w:line="540" w:lineRule="exact"/>
        <w:ind w:firstLine="5760" w:firstLineChars="1800"/>
        <w:jc w:val="both"/>
        <w:textAlignment w:val="top"/>
        <w:rPr>
          <w:rFonts w:eastAsia="仿宋"/>
          <w:color w:val="auto"/>
          <w:sz w:val="32"/>
          <w:szCs w:val="32"/>
          <w:highlight w:val="none"/>
        </w:rPr>
      </w:pPr>
      <w:r>
        <w:rPr>
          <w:rFonts w:eastAsia="仿宋"/>
          <w:color w:val="auto"/>
          <w:kern w:val="2"/>
          <w:sz w:val="32"/>
          <w:szCs w:val="32"/>
          <w:highlight w:val="none"/>
        </w:rPr>
        <w:t>202</w:t>
      </w:r>
      <w:r>
        <w:rPr>
          <w:rFonts w:hint="eastAsia" w:eastAsia="仿宋"/>
          <w:color w:val="auto"/>
          <w:kern w:val="2"/>
          <w:sz w:val="32"/>
          <w:szCs w:val="32"/>
          <w:highlight w:val="none"/>
          <w:lang w:val="en-US" w:eastAsia="zh-CN"/>
        </w:rPr>
        <w:t>6</w:t>
      </w:r>
      <w:r>
        <w:rPr>
          <w:rFonts w:eastAsia="仿宋"/>
          <w:color w:val="auto"/>
          <w:kern w:val="2"/>
          <w:sz w:val="32"/>
          <w:szCs w:val="32"/>
          <w:highlight w:val="none"/>
        </w:rPr>
        <w:t>年</w:t>
      </w:r>
      <w:r>
        <w:rPr>
          <w:rFonts w:hint="eastAsia" w:eastAsia="仿宋"/>
          <w:color w:val="auto"/>
          <w:kern w:val="2"/>
          <w:sz w:val="32"/>
          <w:szCs w:val="32"/>
          <w:highlight w:val="none"/>
          <w:lang w:val="en-US" w:eastAsia="zh-CN"/>
        </w:rPr>
        <w:t>6</w:t>
      </w:r>
      <w:r>
        <w:rPr>
          <w:rFonts w:eastAsia="仿宋"/>
          <w:color w:val="auto"/>
          <w:kern w:val="2"/>
          <w:sz w:val="32"/>
          <w:szCs w:val="32"/>
          <w:highlight w:val="none"/>
        </w:rPr>
        <w:t>月</w:t>
      </w:r>
      <w:r>
        <w:rPr>
          <w:rFonts w:hint="eastAsia" w:eastAsia="仿宋"/>
          <w:color w:val="auto"/>
          <w:kern w:val="2"/>
          <w:sz w:val="32"/>
          <w:szCs w:val="32"/>
          <w:highlight w:val="none"/>
          <w:lang w:val="en-US" w:eastAsia="zh-CN"/>
        </w:rPr>
        <w:t>30</w:t>
      </w:r>
      <w:r>
        <w:rPr>
          <w:rFonts w:eastAsia="仿宋"/>
          <w:color w:val="auto"/>
          <w:kern w:val="2"/>
          <w:sz w:val="32"/>
          <w:szCs w:val="32"/>
          <w:highlight w:val="none"/>
        </w:rPr>
        <w:t>日</w:t>
      </w:r>
    </w:p>
    <w:sectPr>
      <w:footerReference r:id="rId7" w:type="default"/>
      <w:pgSz w:w="11906" w:h="16838"/>
      <w:pgMar w:top="1440" w:right="1588" w:bottom="1440" w:left="1588" w:header="851" w:footer="850" w:gutter="0"/>
      <w:pgNumType w:start="2"/>
      <w:cols w:space="720" w:num="1"/>
      <w:docGrid w:type="lines" w:linePitch="27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7FFAEFF" w:usb1="F9DFFFFF" w:usb2="0000007F" w:usb3="00000000" w:csb0="203F01FF" w:csb1="DFFF0000"/>
  </w:font>
  <w:font w:name="Corbel">
    <w:panose1 w:val="020B0503020204020204"/>
    <w:charset w:val="00"/>
    <w:family w:val="swiss"/>
    <w:pitch w:val="default"/>
    <w:sig w:usb0="A00002EF" w:usb1="4000A44B" w:usb2="00000000" w:usb3="00000000" w:csb0="2000019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1BF63">
    <w:pPr>
      <w:pStyle w:val="11"/>
      <w:tabs>
        <w:tab w:val="left" w:pos="3903"/>
        <w:tab w:val="clear" w:pos="4153"/>
      </w:tabs>
      <w:ind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C0397">
    <w:pPr>
      <w:pStyle w:val="11"/>
      <w:tabs>
        <w:tab w:val="left" w:pos="3903"/>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44D7D">
                          <w:pPr>
                            <w:pStyle w:val="11"/>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044D7D">
                    <w:pPr>
                      <w:pStyle w:val="11"/>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7209E">
    <w:pPr>
      <w:pStyle w:val="1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A5F2C"/>
    <w:multiLevelType w:val="singleLevel"/>
    <w:tmpl w:val="B12A5F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20"/>
    <w:rsid w:val="00306F3A"/>
    <w:rsid w:val="00345C05"/>
    <w:rsid w:val="00395B61"/>
    <w:rsid w:val="003A03E2"/>
    <w:rsid w:val="0041729C"/>
    <w:rsid w:val="00646C16"/>
    <w:rsid w:val="006A3FC2"/>
    <w:rsid w:val="006C3ACD"/>
    <w:rsid w:val="006D21E4"/>
    <w:rsid w:val="009C1E4E"/>
    <w:rsid w:val="00A6644F"/>
    <w:rsid w:val="00B34EDC"/>
    <w:rsid w:val="00B734C6"/>
    <w:rsid w:val="00C11338"/>
    <w:rsid w:val="00CE459A"/>
    <w:rsid w:val="00E97E38"/>
    <w:rsid w:val="00EC4520"/>
    <w:rsid w:val="00FE2CD5"/>
    <w:rsid w:val="01B666C0"/>
    <w:rsid w:val="01FC55C4"/>
    <w:rsid w:val="020407DD"/>
    <w:rsid w:val="023C53DB"/>
    <w:rsid w:val="02EA4873"/>
    <w:rsid w:val="03D177E1"/>
    <w:rsid w:val="03D96696"/>
    <w:rsid w:val="040265F8"/>
    <w:rsid w:val="04BF6FBF"/>
    <w:rsid w:val="04FA2D68"/>
    <w:rsid w:val="052A53FB"/>
    <w:rsid w:val="05B253F0"/>
    <w:rsid w:val="065F10D4"/>
    <w:rsid w:val="06766D74"/>
    <w:rsid w:val="07271259"/>
    <w:rsid w:val="07A442D1"/>
    <w:rsid w:val="080109C6"/>
    <w:rsid w:val="088C3CD7"/>
    <w:rsid w:val="08C23B9D"/>
    <w:rsid w:val="09810AA5"/>
    <w:rsid w:val="099F5A02"/>
    <w:rsid w:val="0B1F52D6"/>
    <w:rsid w:val="0BDF4656"/>
    <w:rsid w:val="0C8B7410"/>
    <w:rsid w:val="0CD30126"/>
    <w:rsid w:val="0D0F3224"/>
    <w:rsid w:val="0D576499"/>
    <w:rsid w:val="0D9A523E"/>
    <w:rsid w:val="0DAF1467"/>
    <w:rsid w:val="0E0367E9"/>
    <w:rsid w:val="0E486D6B"/>
    <w:rsid w:val="0E54021A"/>
    <w:rsid w:val="0F084C1D"/>
    <w:rsid w:val="0F0E4067"/>
    <w:rsid w:val="0F8B68A4"/>
    <w:rsid w:val="0FA45C75"/>
    <w:rsid w:val="100028AE"/>
    <w:rsid w:val="106B68C8"/>
    <w:rsid w:val="107547A7"/>
    <w:rsid w:val="10927ABC"/>
    <w:rsid w:val="128A19B4"/>
    <w:rsid w:val="129245E0"/>
    <w:rsid w:val="12B912C7"/>
    <w:rsid w:val="132A7A44"/>
    <w:rsid w:val="13734411"/>
    <w:rsid w:val="13C609E5"/>
    <w:rsid w:val="146B6E96"/>
    <w:rsid w:val="14942891"/>
    <w:rsid w:val="14E86739"/>
    <w:rsid w:val="1540069F"/>
    <w:rsid w:val="159266A5"/>
    <w:rsid w:val="160E4AAD"/>
    <w:rsid w:val="16247C45"/>
    <w:rsid w:val="17562080"/>
    <w:rsid w:val="176A5B2B"/>
    <w:rsid w:val="17EB59EB"/>
    <w:rsid w:val="182B350C"/>
    <w:rsid w:val="183A7126"/>
    <w:rsid w:val="18421155"/>
    <w:rsid w:val="18680CF7"/>
    <w:rsid w:val="186B3909"/>
    <w:rsid w:val="19AF3CC9"/>
    <w:rsid w:val="19EF26A6"/>
    <w:rsid w:val="1A460E27"/>
    <w:rsid w:val="1AD91131"/>
    <w:rsid w:val="1B100797"/>
    <w:rsid w:val="1B627E82"/>
    <w:rsid w:val="1B672092"/>
    <w:rsid w:val="1B6D1F0E"/>
    <w:rsid w:val="1BCA7BC9"/>
    <w:rsid w:val="1BD03EEB"/>
    <w:rsid w:val="1C72170E"/>
    <w:rsid w:val="1C7467DC"/>
    <w:rsid w:val="1CB60C0D"/>
    <w:rsid w:val="1DDC7057"/>
    <w:rsid w:val="1E4075E6"/>
    <w:rsid w:val="1E876F10"/>
    <w:rsid w:val="1F1F6287"/>
    <w:rsid w:val="1F226CEB"/>
    <w:rsid w:val="1F291F60"/>
    <w:rsid w:val="20120B0E"/>
    <w:rsid w:val="201E3957"/>
    <w:rsid w:val="206A094A"/>
    <w:rsid w:val="20B50873"/>
    <w:rsid w:val="212201CD"/>
    <w:rsid w:val="21726EAE"/>
    <w:rsid w:val="220B1CB9"/>
    <w:rsid w:val="22364F87"/>
    <w:rsid w:val="22A04AF7"/>
    <w:rsid w:val="22B71C0B"/>
    <w:rsid w:val="23644CDE"/>
    <w:rsid w:val="23CA65C3"/>
    <w:rsid w:val="24AD62FD"/>
    <w:rsid w:val="25793825"/>
    <w:rsid w:val="25EB42DB"/>
    <w:rsid w:val="25EC0B17"/>
    <w:rsid w:val="26236B82"/>
    <w:rsid w:val="263A0D4A"/>
    <w:rsid w:val="26793695"/>
    <w:rsid w:val="267E0CAB"/>
    <w:rsid w:val="26A57AC5"/>
    <w:rsid w:val="26F64CE5"/>
    <w:rsid w:val="27937E96"/>
    <w:rsid w:val="27A75FE0"/>
    <w:rsid w:val="282D0BDB"/>
    <w:rsid w:val="2848606D"/>
    <w:rsid w:val="28692EB0"/>
    <w:rsid w:val="290F6532"/>
    <w:rsid w:val="29311DD0"/>
    <w:rsid w:val="29826D04"/>
    <w:rsid w:val="2AD417E1"/>
    <w:rsid w:val="2AD41D17"/>
    <w:rsid w:val="2AE216BA"/>
    <w:rsid w:val="2B141465"/>
    <w:rsid w:val="2CB52E8B"/>
    <w:rsid w:val="2D087520"/>
    <w:rsid w:val="2D0A34E8"/>
    <w:rsid w:val="2D506C2A"/>
    <w:rsid w:val="2D8C63A3"/>
    <w:rsid w:val="2DDD7A33"/>
    <w:rsid w:val="2F963CB6"/>
    <w:rsid w:val="2FCD1E2A"/>
    <w:rsid w:val="30696528"/>
    <w:rsid w:val="309C68FD"/>
    <w:rsid w:val="311D1A84"/>
    <w:rsid w:val="313A33BB"/>
    <w:rsid w:val="3176789C"/>
    <w:rsid w:val="31992E3D"/>
    <w:rsid w:val="31C14142"/>
    <w:rsid w:val="32827D75"/>
    <w:rsid w:val="32942D03"/>
    <w:rsid w:val="32D35DC0"/>
    <w:rsid w:val="33CA3782"/>
    <w:rsid w:val="33DC1707"/>
    <w:rsid w:val="33E406E4"/>
    <w:rsid w:val="33E5369B"/>
    <w:rsid w:val="340C5B48"/>
    <w:rsid w:val="3576787D"/>
    <w:rsid w:val="357A1A28"/>
    <w:rsid w:val="36611AF0"/>
    <w:rsid w:val="36624145"/>
    <w:rsid w:val="36B12429"/>
    <w:rsid w:val="36C00E6C"/>
    <w:rsid w:val="36C22E36"/>
    <w:rsid w:val="36C721FA"/>
    <w:rsid w:val="36C8026D"/>
    <w:rsid w:val="3793516C"/>
    <w:rsid w:val="38F35E38"/>
    <w:rsid w:val="39CC3AB9"/>
    <w:rsid w:val="3A377697"/>
    <w:rsid w:val="3B656368"/>
    <w:rsid w:val="3C834E15"/>
    <w:rsid w:val="3D840E45"/>
    <w:rsid w:val="3DB35286"/>
    <w:rsid w:val="3E4D56DB"/>
    <w:rsid w:val="3E7C38CA"/>
    <w:rsid w:val="3ECB6600"/>
    <w:rsid w:val="41670862"/>
    <w:rsid w:val="41FA0356"/>
    <w:rsid w:val="42CE66BF"/>
    <w:rsid w:val="433D4DFE"/>
    <w:rsid w:val="435726DF"/>
    <w:rsid w:val="435F13C2"/>
    <w:rsid w:val="4377058C"/>
    <w:rsid w:val="437B05F4"/>
    <w:rsid w:val="437E7B29"/>
    <w:rsid w:val="43AA712C"/>
    <w:rsid w:val="43D7362E"/>
    <w:rsid w:val="43D956BC"/>
    <w:rsid w:val="44E126D9"/>
    <w:rsid w:val="45336443"/>
    <w:rsid w:val="457D5993"/>
    <w:rsid w:val="4597723C"/>
    <w:rsid w:val="45AF3521"/>
    <w:rsid w:val="46240408"/>
    <w:rsid w:val="465A4129"/>
    <w:rsid w:val="46DC584E"/>
    <w:rsid w:val="472B2331"/>
    <w:rsid w:val="477261B2"/>
    <w:rsid w:val="47F70466"/>
    <w:rsid w:val="48074B4D"/>
    <w:rsid w:val="48E72288"/>
    <w:rsid w:val="48EC3D42"/>
    <w:rsid w:val="4981448B"/>
    <w:rsid w:val="49A931C2"/>
    <w:rsid w:val="49E76610"/>
    <w:rsid w:val="4A686803"/>
    <w:rsid w:val="4ADF3B5F"/>
    <w:rsid w:val="4BBA6677"/>
    <w:rsid w:val="4BCD39B7"/>
    <w:rsid w:val="4C340028"/>
    <w:rsid w:val="4C6F0F12"/>
    <w:rsid w:val="4C7D65CC"/>
    <w:rsid w:val="4C92075D"/>
    <w:rsid w:val="4CD75C9B"/>
    <w:rsid w:val="4CF3569F"/>
    <w:rsid w:val="4DC332C4"/>
    <w:rsid w:val="4DCD4142"/>
    <w:rsid w:val="4DD70957"/>
    <w:rsid w:val="4E4B5418"/>
    <w:rsid w:val="4F0A4F22"/>
    <w:rsid w:val="4F91177A"/>
    <w:rsid w:val="4F993284"/>
    <w:rsid w:val="50836D3A"/>
    <w:rsid w:val="5087540C"/>
    <w:rsid w:val="513A1AEF"/>
    <w:rsid w:val="51E952C3"/>
    <w:rsid w:val="51FC5FD7"/>
    <w:rsid w:val="525F1CB4"/>
    <w:rsid w:val="52BE0E40"/>
    <w:rsid w:val="53EE119D"/>
    <w:rsid w:val="53F65A75"/>
    <w:rsid w:val="54022DA0"/>
    <w:rsid w:val="542919A7"/>
    <w:rsid w:val="54F13EB8"/>
    <w:rsid w:val="551E27A9"/>
    <w:rsid w:val="5563713A"/>
    <w:rsid w:val="55AA0755"/>
    <w:rsid w:val="55AA2FBB"/>
    <w:rsid w:val="55B865D0"/>
    <w:rsid w:val="55E22755"/>
    <w:rsid w:val="562C577E"/>
    <w:rsid w:val="563147AD"/>
    <w:rsid w:val="57603931"/>
    <w:rsid w:val="58122FAA"/>
    <w:rsid w:val="585A65D3"/>
    <w:rsid w:val="5864454A"/>
    <w:rsid w:val="587A1784"/>
    <w:rsid w:val="58BB5497"/>
    <w:rsid w:val="5910095D"/>
    <w:rsid w:val="59284923"/>
    <w:rsid w:val="5A4F7C8D"/>
    <w:rsid w:val="5AF727FF"/>
    <w:rsid w:val="5BC110D0"/>
    <w:rsid w:val="5C313AEE"/>
    <w:rsid w:val="5CC6285A"/>
    <w:rsid w:val="5D957ECE"/>
    <w:rsid w:val="5D9C768D"/>
    <w:rsid w:val="5E693A13"/>
    <w:rsid w:val="5E6F0574"/>
    <w:rsid w:val="5E7A202A"/>
    <w:rsid w:val="5F380192"/>
    <w:rsid w:val="5FB92779"/>
    <w:rsid w:val="5FF90DC7"/>
    <w:rsid w:val="60247DCB"/>
    <w:rsid w:val="60932FCA"/>
    <w:rsid w:val="6117377F"/>
    <w:rsid w:val="611A2D52"/>
    <w:rsid w:val="612C2629"/>
    <w:rsid w:val="613876CD"/>
    <w:rsid w:val="615857B5"/>
    <w:rsid w:val="619C4100"/>
    <w:rsid w:val="62D6719E"/>
    <w:rsid w:val="62E71472"/>
    <w:rsid w:val="63041F5D"/>
    <w:rsid w:val="638D1F52"/>
    <w:rsid w:val="64F8789F"/>
    <w:rsid w:val="65535C7B"/>
    <w:rsid w:val="65B562F9"/>
    <w:rsid w:val="66A43760"/>
    <w:rsid w:val="66D439F4"/>
    <w:rsid w:val="66DB2FD4"/>
    <w:rsid w:val="66F61BAB"/>
    <w:rsid w:val="67825B46"/>
    <w:rsid w:val="67C03F80"/>
    <w:rsid w:val="67C50BF2"/>
    <w:rsid w:val="67D7106C"/>
    <w:rsid w:val="68785CC8"/>
    <w:rsid w:val="69120710"/>
    <w:rsid w:val="695E64F6"/>
    <w:rsid w:val="69B2622D"/>
    <w:rsid w:val="69DA57C5"/>
    <w:rsid w:val="6A213DF7"/>
    <w:rsid w:val="6A3053E5"/>
    <w:rsid w:val="6A7F011B"/>
    <w:rsid w:val="6AB95096"/>
    <w:rsid w:val="6ABA5FAC"/>
    <w:rsid w:val="6AFB5BA3"/>
    <w:rsid w:val="6B6E08BB"/>
    <w:rsid w:val="6B715CB5"/>
    <w:rsid w:val="6BCE2025"/>
    <w:rsid w:val="6C910E04"/>
    <w:rsid w:val="6CCF1AF5"/>
    <w:rsid w:val="6D06656D"/>
    <w:rsid w:val="6D355AF1"/>
    <w:rsid w:val="6D41164D"/>
    <w:rsid w:val="6E3336F6"/>
    <w:rsid w:val="6F0532E4"/>
    <w:rsid w:val="6F815875"/>
    <w:rsid w:val="6FB16FC8"/>
    <w:rsid w:val="6FC75452"/>
    <w:rsid w:val="70161521"/>
    <w:rsid w:val="702E21FA"/>
    <w:rsid w:val="704626FC"/>
    <w:rsid w:val="70A02A01"/>
    <w:rsid w:val="718B55F7"/>
    <w:rsid w:val="71A30B93"/>
    <w:rsid w:val="726411D5"/>
    <w:rsid w:val="728075B4"/>
    <w:rsid w:val="72EA7263"/>
    <w:rsid w:val="730B26F6"/>
    <w:rsid w:val="737A608E"/>
    <w:rsid w:val="73EF4563"/>
    <w:rsid w:val="73F76F74"/>
    <w:rsid w:val="7431692A"/>
    <w:rsid w:val="74B44E65"/>
    <w:rsid w:val="754A358C"/>
    <w:rsid w:val="756920F3"/>
    <w:rsid w:val="75B3511C"/>
    <w:rsid w:val="76386CC0"/>
    <w:rsid w:val="767E1B72"/>
    <w:rsid w:val="76CE0316"/>
    <w:rsid w:val="76CF21A1"/>
    <w:rsid w:val="770C0F88"/>
    <w:rsid w:val="78AC445A"/>
    <w:rsid w:val="7A093C1F"/>
    <w:rsid w:val="7B0411AF"/>
    <w:rsid w:val="7B4A7A78"/>
    <w:rsid w:val="7BB61541"/>
    <w:rsid w:val="7CB449E4"/>
    <w:rsid w:val="7CB47DAA"/>
    <w:rsid w:val="7CE409BA"/>
    <w:rsid w:val="7D1666BD"/>
    <w:rsid w:val="7E3774BB"/>
    <w:rsid w:val="7E9304FB"/>
    <w:rsid w:val="7F027131"/>
    <w:rsid w:val="7F2D4191"/>
    <w:rsid w:val="7F755E40"/>
    <w:rsid w:val="7FA0601C"/>
    <w:rsid w:val="7FD91C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paragraph" w:styleId="2">
    <w:name w:val="heading 2"/>
    <w:basedOn w:val="1"/>
    <w:next w:val="1"/>
    <w:semiHidden/>
    <w:unhideWhenUsed/>
    <w:qFormat/>
    <w:uiPriority w:val="0"/>
    <w:pPr>
      <w:keepNext/>
      <w:spacing w:before="120" w:line="360" w:lineRule="auto"/>
      <w:ind w:firstLine="1285"/>
      <w:outlineLvl w:val="1"/>
    </w:pPr>
    <w:rPr>
      <w:rFonts w:ascii="宋体" w:hAnsi="宋体"/>
      <w:spacing w:val="6"/>
      <w:sz w:val="28"/>
    </w:rPr>
  </w:style>
  <w:style w:type="paragraph" w:styleId="3">
    <w:name w:val="heading 3"/>
    <w:basedOn w:val="1"/>
    <w:next w:val="1"/>
    <w:qFormat/>
    <w:uiPriority w:val="0"/>
    <w:pPr>
      <w:keepNext/>
      <w:keepLines/>
      <w:spacing w:before="260" w:after="260" w:line="413" w:lineRule="auto"/>
      <w:outlineLvl w:val="2"/>
    </w:pPr>
    <w:rPr>
      <w:rFonts w:ascii="Arial" w:hAnsi="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0"/>
    <w:pPr>
      <w:ind w:firstLine="420"/>
    </w:pPr>
  </w:style>
  <w:style w:type="paragraph" w:styleId="5">
    <w:name w:val="annotation text"/>
    <w:basedOn w:val="1"/>
    <w:qFormat/>
    <w:uiPriority w:val="0"/>
  </w:style>
  <w:style w:type="paragraph" w:styleId="6">
    <w:name w:val="Body Text"/>
    <w:basedOn w:val="1"/>
    <w:next w:val="1"/>
    <w:qFormat/>
    <w:uiPriority w:val="0"/>
    <w:pPr>
      <w:spacing w:after="120"/>
    </w:pPr>
  </w:style>
  <w:style w:type="paragraph" w:styleId="7">
    <w:name w:val="Body Text Indent"/>
    <w:basedOn w:val="1"/>
    <w:next w:val="8"/>
    <w:qFormat/>
    <w:uiPriority w:val="0"/>
    <w:pPr>
      <w:spacing w:line="360" w:lineRule="auto"/>
      <w:ind w:firstLine="570"/>
    </w:pPr>
    <w:rPr>
      <w:rFonts w:eastAsia="仿宋_GB2312"/>
      <w:sz w:val="28"/>
    </w:rPr>
  </w:style>
  <w:style w:type="paragraph" w:customStyle="1" w:styleId="8">
    <w:name w:val="样式 正文文本缩进 + 行距: 1.5 倍行距"/>
    <w:basedOn w:val="1"/>
    <w:qFormat/>
    <w:uiPriority w:val="0"/>
    <w:pPr>
      <w:spacing w:after="120" w:line="360" w:lineRule="auto"/>
      <w:ind w:left="90" w:leftChars="32" w:firstLine="560"/>
    </w:pPr>
    <w:rPr>
      <w:rFonts w:cs="宋体"/>
    </w:rPr>
  </w:style>
  <w:style w:type="paragraph" w:styleId="9">
    <w:name w:val="Date"/>
    <w:basedOn w:val="1"/>
    <w:next w:val="1"/>
    <w:qFormat/>
    <w:uiPriority w:val="0"/>
    <w:pPr>
      <w:ind w:left="100" w:leftChars="2500"/>
    </w:pPr>
  </w:style>
  <w:style w:type="paragraph" w:styleId="10">
    <w:name w:val="Balloon Text"/>
    <w:basedOn w:val="1"/>
    <w:qFormat/>
    <w:uiPriority w:val="0"/>
    <w:rPr>
      <w:sz w:val="18"/>
      <w:szCs w:val="18"/>
    </w:rPr>
  </w:style>
  <w:style w:type="paragraph" w:styleId="11">
    <w:name w:val="footer"/>
    <w:basedOn w:val="1"/>
    <w:link w:val="34"/>
    <w:qFormat/>
    <w:uiPriority w:val="99"/>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qFormat/>
    <w:uiPriority w:val="0"/>
    <w:pPr>
      <w:spacing w:before="100" w:beforeAutospacing="1" w:after="100" w:afterAutospacing="1"/>
    </w:pPr>
    <w:rPr>
      <w:rFonts w:ascii="Arial Unicode MS" w:hAnsi="Arial Unicode MS" w:eastAsia="Arial Unicode MS" w:cs="Arial Unicode MS"/>
      <w:sz w:val="24"/>
      <w:szCs w:val="24"/>
      <w:lang w:val="en-US" w:eastAsia="zh-CN" w:bidi="ar-SA"/>
    </w:rPr>
  </w:style>
  <w:style w:type="paragraph" w:styleId="14">
    <w:name w:val="Body Text First Indent"/>
    <w:basedOn w:val="6"/>
    <w:link w:val="26"/>
    <w:qFormat/>
    <w:uiPriority w:val="0"/>
    <w:pPr>
      <w:adjustRightInd w:val="0"/>
      <w:snapToGrid w:val="0"/>
      <w:spacing w:after="0" w:line="360" w:lineRule="auto"/>
      <w:ind w:firstLine="200"/>
      <w:jc w:val="both"/>
    </w:pPr>
    <w:rPr>
      <w:kern w:val="2"/>
      <w:sz w:val="24"/>
    </w:rPr>
  </w:style>
  <w:style w:type="paragraph" w:styleId="15">
    <w:name w:val="Body Text First Indent 2"/>
    <w:basedOn w:val="7"/>
    <w:next w:val="1"/>
    <w:qFormat/>
    <w:uiPriority w:val="0"/>
    <w:pPr>
      <w:spacing w:after="120" w:line="240" w:lineRule="auto"/>
      <w:ind w:left="420" w:leftChars="200" w:firstLine="420"/>
    </w:pPr>
    <w:rPr>
      <w:rFonts w:ascii="Corbel" w:hAnsi="Corbel"/>
      <w:sz w:val="21"/>
    </w:rPr>
  </w:style>
  <w:style w:type="table" w:styleId="17">
    <w:name w:val="Table Grid"/>
    <w:basedOn w:val="16"/>
    <w:qFormat/>
    <w:uiPriority w:val="59"/>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annotation reference"/>
    <w:qFormat/>
    <w:uiPriority w:val="0"/>
    <w:rPr>
      <w:sz w:val="21"/>
      <w:szCs w:val="21"/>
    </w:rPr>
  </w:style>
  <w:style w:type="paragraph" w:customStyle="1" w:styleId="21">
    <w:name w:val="列出段落1"/>
    <w:basedOn w:val="1"/>
    <w:qFormat/>
    <w:uiPriority w:val="34"/>
    <w:pPr>
      <w:ind w:firstLine="420"/>
    </w:pPr>
  </w:style>
  <w:style w:type="paragraph" w:customStyle="1" w:styleId="22">
    <w:name w:val="Default"/>
    <w:basedOn w:val="23"/>
    <w:next w:val="1"/>
    <w:qFormat/>
    <w:uiPriority w:val="99"/>
    <w:pPr>
      <w:autoSpaceDE w:val="0"/>
      <w:autoSpaceDN w:val="0"/>
    </w:pPr>
    <w:rPr>
      <w:rFonts w:hAnsi="Calibri" w:cs="宋体"/>
      <w:color w:val="000000"/>
      <w:sz w:val="24"/>
      <w:szCs w:val="24"/>
    </w:rPr>
  </w:style>
  <w:style w:type="paragraph" w:customStyle="1" w:styleId="23">
    <w:name w:val="纯文本1"/>
    <w:basedOn w:val="1"/>
    <w:qFormat/>
    <w:uiPriority w:val="0"/>
    <w:pPr>
      <w:adjustRightInd w:val="0"/>
    </w:pPr>
    <w:rPr>
      <w:rFonts w:ascii="宋体" w:hAnsi="Courier New"/>
    </w:rPr>
  </w:style>
  <w:style w:type="character" w:customStyle="1" w:styleId="24">
    <w:name w:val="p0 Char"/>
    <w:basedOn w:val="18"/>
    <w:link w:val="25"/>
    <w:qFormat/>
    <w:uiPriority w:val="0"/>
    <w:rPr>
      <w:rFonts w:eastAsia="宋体"/>
      <w:sz w:val="32"/>
      <w:szCs w:val="32"/>
      <w:lang w:val="en-US" w:eastAsia="zh-CN" w:bidi="ar-SA"/>
    </w:rPr>
  </w:style>
  <w:style w:type="paragraph" w:customStyle="1" w:styleId="25">
    <w:name w:val="p0"/>
    <w:basedOn w:val="1"/>
    <w:link w:val="24"/>
    <w:qFormat/>
    <w:uiPriority w:val="0"/>
    <w:pPr>
      <w:widowControl/>
      <w:ind w:firstLine="0" w:firstLineChars="0"/>
      <w:jc w:val="both"/>
    </w:pPr>
    <w:rPr>
      <w:sz w:val="32"/>
      <w:szCs w:val="32"/>
    </w:rPr>
  </w:style>
  <w:style w:type="character" w:customStyle="1" w:styleId="26">
    <w:name w:val="正文文本首行缩进 字符"/>
    <w:basedOn w:val="18"/>
    <w:link w:val="14"/>
    <w:qFormat/>
    <w:uiPriority w:val="0"/>
    <w:rPr>
      <w:rFonts w:eastAsia="宋体"/>
      <w:kern w:val="2"/>
      <w:sz w:val="24"/>
      <w:lang w:val="en-US" w:eastAsia="zh-CN" w:bidi="ar-SA"/>
    </w:rPr>
  </w:style>
  <w:style w:type="character" w:customStyle="1" w:styleId="27">
    <w:name w:val="表格文字 Char"/>
    <w:link w:val="28"/>
    <w:qFormat/>
    <w:uiPriority w:val="0"/>
    <w:rPr>
      <w:rFonts w:eastAsia="宋体"/>
      <w:kern w:val="2"/>
      <w:sz w:val="21"/>
      <w:szCs w:val="21"/>
      <w:lang w:val="en-US" w:eastAsia="zh-CN" w:bidi="ar-SA"/>
    </w:rPr>
  </w:style>
  <w:style w:type="paragraph" w:customStyle="1" w:styleId="28">
    <w:name w:val="表格文字"/>
    <w:basedOn w:val="1"/>
    <w:link w:val="27"/>
    <w:qFormat/>
    <w:uiPriority w:val="0"/>
    <w:pPr>
      <w:widowControl/>
      <w:adjustRightInd w:val="0"/>
      <w:snapToGrid w:val="0"/>
      <w:ind w:firstLine="0" w:firstLineChars="0"/>
      <w:jc w:val="center"/>
    </w:pPr>
    <w:rPr>
      <w:kern w:val="2"/>
      <w:sz w:val="21"/>
      <w:szCs w:val="21"/>
    </w:rPr>
  </w:style>
  <w:style w:type="paragraph" w:customStyle="1" w:styleId="29">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30">
    <w:name w:val="WPS Plain"/>
    <w:qFormat/>
    <w:uiPriority w:val="0"/>
    <w:rPr>
      <w:rFonts w:ascii="Times New Roman" w:hAnsi="Times New Roman" w:eastAsia="宋体" w:cs="Times New Roman"/>
      <w:lang w:val="en-US" w:eastAsia="zh-CN" w:bidi="ar-SA"/>
    </w:rPr>
  </w:style>
  <w:style w:type="paragraph" w:customStyle="1" w:styleId="31">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32">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33">
    <w:name w:val="样式1"/>
    <w:next w:val="14"/>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34">
    <w:name w:val="页脚 字符"/>
    <w:basedOn w:val="18"/>
    <w:link w:val="11"/>
    <w:qFormat/>
    <w:uiPriority w:val="99"/>
    <w:rPr>
      <w:sz w:val="18"/>
      <w:szCs w:val="18"/>
    </w:rPr>
  </w:style>
  <w:style w:type="paragraph" w:customStyle="1" w:styleId="35">
    <w:name w:val="0"/>
    <w:basedOn w:val="1"/>
    <w:qFormat/>
    <w:uiPriority w:val="0"/>
    <w:pPr>
      <w:widowControl/>
      <w:snapToGrid w:val="0"/>
      <w:spacing w:line="365" w:lineRule="atLeast"/>
      <w:ind w:left="1" w:firstLine="0" w:firstLineChars="0"/>
      <w:jc w:val="both"/>
      <w:textAlignment w:val="bottom"/>
    </w:pPr>
  </w:style>
  <w:style w:type="paragraph" w:customStyle="1" w:styleId="36">
    <w:name w:val="表格"/>
    <w:basedOn w:val="1"/>
    <w:qFormat/>
    <w:uiPriority w:val="0"/>
    <w:pPr>
      <w:spacing w:line="300" w:lineRule="auto"/>
      <w:ind w:firstLine="0" w:firstLineChars="0"/>
      <w:jc w:val="center"/>
    </w:pPr>
    <w:rPr>
      <w:rFonts w:cs="宋体"/>
      <w:sz w:val="21"/>
      <w:szCs w:val="24"/>
      <w:lang w:eastAsia="en-US"/>
    </w:rPr>
  </w:style>
  <w:style w:type="paragraph" w:styleId="37">
    <w:name w:val="List Paragraph"/>
    <w:basedOn w:val="1"/>
    <w:qFormat/>
    <w:uiPriority w:val="99"/>
    <w:pPr>
      <w:ind w:firstLine="420"/>
    </w:pPr>
  </w:style>
  <w:style w:type="character" w:customStyle="1" w:styleId="38">
    <w:name w:val="正文内容 Char Char"/>
    <w:qFormat/>
    <w:uiPriority w:val="0"/>
    <w:rPr>
      <w:kern w:val="2"/>
      <w:sz w:val="24"/>
      <w:szCs w:val="24"/>
      <w:lang w:val="en-US" w:eastAsia="zh-CN" w:bidi="ar-SA"/>
    </w:rPr>
  </w:style>
  <w:style w:type="paragraph" w:customStyle="1" w:styleId="3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表格内容"/>
    <w:qFormat/>
    <w:uiPriority w:val="0"/>
    <w:pPr>
      <w:widowControl w:val="0"/>
      <w:spacing w:line="240" w:lineRule="auto"/>
      <w:ind w:firstLine="0" w:firstLineChars="0"/>
      <w:jc w:val="center"/>
    </w:pPr>
    <w:rPr>
      <w:rFonts w:ascii="Times New Roman" w:hAnsi="Times New Roman" w:eastAsia="宋体" w:cs="Times New Roman"/>
      <w:snapToGrid w:val="0"/>
      <w:kern w:val="0"/>
      <w:sz w:val="21"/>
      <w:szCs w:val="24"/>
      <w:lang w:val="en-US" w:eastAsia="zh-CN" w:bidi="ar-SA"/>
    </w:rPr>
  </w:style>
  <w:style w:type="character" w:customStyle="1" w:styleId="41">
    <w:name w:val="表图标题 Char"/>
    <w:link w:val="42"/>
    <w:qFormat/>
    <w:uiPriority w:val="0"/>
    <w:rPr>
      <w:rFonts w:ascii="Times New Roman" w:hAnsi="Times New Roman" w:eastAsia="宋体"/>
      <w:b/>
      <w:bCs/>
      <w:kern w:val="2"/>
      <w:sz w:val="21"/>
      <w:szCs w:val="24"/>
      <w:lang w:val="en-US" w:eastAsia="zh-CN" w:bidi="ar-SA"/>
    </w:rPr>
  </w:style>
  <w:style w:type="paragraph" w:customStyle="1" w:styleId="42">
    <w:name w:val="表图标题"/>
    <w:link w:val="41"/>
    <w:qFormat/>
    <w:uiPriority w:val="0"/>
    <w:pPr>
      <w:widowControl w:val="0"/>
      <w:spacing w:line="240" w:lineRule="auto"/>
      <w:jc w:val="center"/>
    </w:pPr>
    <w:rPr>
      <w:rFonts w:ascii="Times New Roman" w:hAnsi="Times New Roman" w:eastAsia="宋体" w:cs="Times New Roman"/>
      <w:b/>
      <w:bCs/>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b07fb998-fab5-43e9-bc83-5d0213989964</errorID>
      <errorWord>过</errorWord>
      <group>L1_Word</group>
      <groupName>字词问题</groupName>
      <ability>L2_Typo</ability>
      <abilityName>字词错误</abilityName>
      <candidateList>
        <item>过对</item>
      </candidateList>
      <explain/>
      <paraID>732C5A13</paraID>
      <start>143</start>
      <end>144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0C2E-1E84-49DD-8C16-E9B161C8BD7D}">
  <ds:schemaRefs/>
</ds:datastoreItem>
</file>

<file path=customXml/itemProps3.xml><?xml version="1.0" encoding="utf-8"?>
<ds:datastoreItem xmlns:ds="http://schemas.openxmlformats.org/officeDocument/2006/customXml" ds:itemID="{7d06ce03-e020-4a05-b70b-211e4d6d322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2121</Words>
  <Characters>2342</Characters>
  <Lines>47</Lines>
  <Paragraphs>21</Paragraphs>
  <TotalTime>4</TotalTime>
  <ScaleCrop>false</ScaleCrop>
  <LinksUpToDate>false</LinksUpToDate>
  <CharactersWithSpaces>2347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2019-05-11T05:51:00Z</dcterms:created>
  <dc:creator>微软用户</dc:creator>
  <cp:lastModifiedBy>呱呱</cp:lastModifiedBy>
  <cp:lastPrinted>2026-06-30T06:41:37Z</cp:lastPrinted>
  <dcterms:modified xsi:type="dcterms:W3CDTF">2026-06-30T07:17:55Z</dcterms:modified>
  <dc:title>1、省道1825线湘阴至长沙公路岳阳段改建工程总投资12300万元</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eyJoZGlkIjoiYzFlM2FmOGFmNDQ1ODkzMTAzZTU0MmJkMTljNzRjZDQiLCJ1c2VySWQiOiIxMTQxODUzNzMwIn0=</vt:lpwstr>
  </property>
  <property fmtid="{D5CDD505-2E9C-101B-9397-08002B2CF9AE}" pid="4" name="ICV">
    <vt:lpwstr>E3E8D9BCA1F44F4F89C766591A9A18ED_13</vt:lpwstr>
  </property>
</Properties>
</file>