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r>
        <w:rPr>
          <w:rFonts w:hint="eastAsia" w:ascii="黑体" w:hAnsi="黑体" w:eastAsia="黑体"/>
          <w:sz w:val="32"/>
          <w:szCs w:val="32"/>
        </w:rPr>
        <w:t>附件3-1：</w:t>
      </w:r>
    </w:p>
    <w:p>
      <w:pPr>
        <w:spacing w:line="120" w:lineRule="auto"/>
        <w:jc w:val="center"/>
        <w:rPr>
          <w:rFonts w:ascii="方正小标宋简体" w:eastAsia="方正小标宋简体"/>
          <w:sz w:val="38"/>
          <w:szCs w:val="38"/>
        </w:rPr>
      </w:pPr>
      <w:r>
        <w:rPr>
          <w:rFonts w:hint="eastAsia" w:ascii="方正小标宋简体" w:eastAsia="方正小标宋简体"/>
          <w:sz w:val="38"/>
          <w:szCs w:val="38"/>
        </w:rPr>
        <w:t>部门整体支出绩效评价评分表</w:t>
      </w:r>
    </w:p>
    <w:tbl>
      <w:tblPr>
        <w:tblStyle w:val="2"/>
        <w:tblW w:w="9894" w:type="dxa"/>
        <w:jc w:val="center"/>
        <w:tblLayout w:type="fixed"/>
        <w:tblCellMar>
          <w:top w:w="0" w:type="dxa"/>
          <w:left w:w="108" w:type="dxa"/>
          <w:bottom w:w="0" w:type="dxa"/>
          <w:right w:w="108" w:type="dxa"/>
        </w:tblCellMar>
      </w:tblPr>
      <w:tblGrid>
        <w:gridCol w:w="976"/>
        <w:gridCol w:w="939"/>
        <w:gridCol w:w="1389"/>
        <w:gridCol w:w="4171"/>
        <w:gridCol w:w="619"/>
        <w:gridCol w:w="720"/>
        <w:gridCol w:w="1080"/>
      </w:tblGrid>
      <w:tr>
        <w:tblPrEx>
          <w:tblCellMar>
            <w:top w:w="0" w:type="dxa"/>
            <w:left w:w="108" w:type="dxa"/>
            <w:bottom w:w="0" w:type="dxa"/>
            <w:right w:w="108" w:type="dxa"/>
          </w:tblCellMar>
        </w:tblPrEx>
        <w:trPr>
          <w:trHeight w:val="395" w:hRule="atLeast"/>
          <w:jc w:val="center"/>
        </w:trPr>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一级指标</w:t>
            </w:r>
          </w:p>
        </w:tc>
        <w:tc>
          <w:tcPr>
            <w:tcW w:w="93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二级指标</w:t>
            </w:r>
          </w:p>
        </w:tc>
        <w:tc>
          <w:tcPr>
            <w:tcW w:w="138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三级指标</w:t>
            </w:r>
          </w:p>
        </w:tc>
        <w:tc>
          <w:tcPr>
            <w:tcW w:w="417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评分标准</w:t>
            </w:r>
          </w:p>
        </w:tc>
        <w:tc>
          <w:tcPr>
            <w:tcW w:w="61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2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自评得分</w:t>
            </w:r>
          </w:p>
        </w:tc>
        <w:tc>
          <w:tcPr>
            <w:tcW w:w="108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spacing w:val="-10"/>
                <w:kern w:val="0"/>
                <w:sz w:val="18"/>
                <w:szCs w:val="18"/>
              </w:rPr>
            </w:pPr>
            <w:r>
              <w:rPr>
                <w:rFonts w:hint="eastAsia" w:ascii="仿宋_GB2312" w:hAnsi="宋体" w:eastAsia="仿宋_GB2312" w:cs="宋体"/>
                <w:b/>
                <w:bCs/>
                <w:spacing w:val="-10"/>
                <w:kern w:val="0"/>
                <w:sz w:val="18"/>
                <w:szCs w:val="18"/>
              </w:rPr>
              <w:t>扣分原因和其他说明</w:t>
            </w:r>
          </w:p>
        </w:tc>
      </w:tr>
      <w:tr>
        <w:tblPrEx>
          <w:tblCellMar>
            <w:top w:w="0" w:type="dxa"/>
            <w:left w:w="108" w:type="dxa"/>
            <w:bottom w:w="0" w:type="dxa"/>
            <w:right w:w="108" w:type="dxa"/>
          </w:tblCellMar>
        </w:tblPrEx>
        <w:trPr>
          <w:trHeight w:val="559" w:hRule="atLeast"/>
          <w:jc w:val="center"/>
        </w:trPr>
        <w:tc>
          <w:tcPr>
            <w:tcW w:w="97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投  入</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预算配置</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财政供养人员</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控制率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以100%为标准。在职人员控制率</w:t>
            </w:r>
            <w:r>
              <w:rPr>
                <w:rFonts w:hint="eastAsia" w:ascii="宋体" w:hAnsi="宋体" w:cs="宋体"/>
                <w:kern w:val="0"/>
                <w:sz w:val="18"/>
                <w:szCs w:val="18"/>
              </w:rPr>
              <w:t>≦</w:t>
            </w:r>
            <w:r>
              <w:rPr>
                <w:rFonts w:hint="eastAsia" w:ascii="仿宋_GB2312" w:hAnsi="宋体" w:eastAsia="仿宋_GB2312" w:cs="宋体"/>
                <w:kern w:val="0"/>
                <w:sz w:val="18"/>
                <w:szCs w:val="18"/>
              </w:rPr>
              <w:t>100%，计5分；每超过一个百分点扣0.5分，扣完为止。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w:t>
            </w:r>
          </w:p>
        </w:tc>
        <w:tc>
          <w:tcPr>
            <w:tcW w:w="108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80"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“三公经费”</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变动率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“三公经费”变动率</w:t>
            </w:r>
            <w:r>
              <w:rPr>
                <w:rFonts w:hint="eastAsia" w:ascii="宋体" w:hAnsi="宋体" w:cs="宋体"/>
                <w:kern w:val="0"/>
                <w:sz w:val="18"/>
                <w:szCs w:val="18"/>
              </w:rPr>
              <w:t>≦</w:t>
            </w:r>
            <w:r>
              <w:rPr>
                <w:rFonts w:hint="eastAsia" w:ascii="仿宋_GB2312" w:hAnsi="宋体" w:eastAsia="仿宋_GB2312" w:cs="宋体"/>
                <w:kern w:val="0"/>
                <w:sz w:val="18"/>
                <w:szCs w:val="18"/>
              </w:rPr>
              <w:t>0,计5分；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“三公经费”＞0，每超过一个百分点扣0.5分，扣完为止。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w:t>
            </w:r>
          </w:p>
        </w:tc>
        <w:tc>
          <w:tcPr>
            <w:tcW w:w="108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37"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重点支出</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安排率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重点支出安排率≥90%，计5分；80%（含）-90%，计4分；70%（含）-80%，计3分；60%（含）-70%，计2分；低于60%不得分。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w:t>
            </w:r>
          </w:p>
        </w:tc>
        <w:tc>
          <w:tcPr>
            <w:tcW w:w="108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76" w:hRule="atLeast"/>
          <w:jc w:val="center"/>
        </w:trPr>
        <w:tc>
          <w:tcPr>
            <w:tcW w:w="97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过  程</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（40分）</w:t>
            </w: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预算执行</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预算调整率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预算调整率=0，计3分；0-10%（含），计2分；10-20%（含），计1分；20-30%（含），计0.5分；大于30%不得分。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1039"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支付进度</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3月底之前下达全部资金的50%；6月底前所有资金指标全部下达完。</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每出现一个未按进度完成资金下达的扣0.5分，扣完为止。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39"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资金结余</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无结余，3分；有结余，但不超过上年结转，2分；结余超过上年结转，不得分。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555"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“三公经费”</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控制率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以100%为标准。三公经费控制率</w:t>
            </w:r>
            <w:r>
              <w:rPr>
                <w:rFonts w:hint="eastAsia" w:ascii="宋体" w:hAnsi="宋体" w:cs="宋体"/>
                <w:kern w:val="0"/>
                <w:sz w:val="18"/>
                <w:szCs w:val="18"/>
              </w:rPr>
              <w:t>≦</w:t>
            </w:r>
            <w:r>
              <w:rPr>
                <w:rFonts w:hint="eastAsia" w:ascii="仿宋_GB2312" w:hAnsi="宋体" w:eastAsia="仿宋_GB2312" w:cs="宋体"/>
                <w:kern w:val="0"/>
                <w:sz w:val="18"/>
                <w:szCs w:val="18"/>
              </w:rPr>
              <w:t>100%，计6分；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每超过一个百分点扣1分，扣完为止。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6</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6</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1155"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管理制度</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健全性</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①已制定或具有预算资金管理办法，内部财务管理制度、会计核算制度等管理制度，1分；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②相关管理制度合法、合规、完整，1分；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③相关管理制度得到有效执行，1分。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管理制度可进一步完善</w:t>
            </w:r>
          </w:p>
        </w:tc>
      </w:tr>
      <w:tr>
        <w:tblPrEx>
          <w:tblCellMar>
            <w:top w:w="0" w:type="dxa"/>
            <w:left w:w="108" w:type="dxa"/>
            <w:bottom w:w="0" w:type="dxa"/>
            <w:right w:w="108" w:type="dxa"/>
          </w:tblCellMar>
        </w:tblPrEx>
        <w:trPr>
          <w:trHeight w:val="1697"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资金使用</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合规性</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①支出符合国家财经法规和财务管理制度规定以及有关专项资金管理办法的规定；</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②资金拨付有完整的审批程序和手续；</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③项目支出按规定经过评估论证；</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④支出符合部门预算批复的用途；</w:t>
            </w:r>
            <w:r>
              <w:rPr>
                <w:rFonts w:hint="eastAsia" w:ascii="仿宋_GB2312" w:hAnsi="宋体" w:eastAsia="仿宋_GB2312" w:cs="宋体"/>
                <w:kern w:val="0"/>
                <w:sz w:val="18"/>
                <w:szCs w:val="18"/>
              </w:rPr>
              <w:br w:type="textWrapping"/>
            </w:r>
            <w:r>
              <w:rPr>
                <w:rFonts w:hint="eastAsia" w:ascii="仿宋_GB2312" w:hAnsi="宋体" w:eastAsia="仿宋_GB2312" w:cs="宋体"/>
                <w:spacing w:val="-6"/>
                <w:kern w:val="0"/>
                <w:sz w:val="18"/>
                <w:szCs w:val="18"/>
              </w:rPr>
              <w:t>⑤资金使用无截留、挤占、挪用、虚列支出等情况。</w:t>
            </w:r>
            <w:r>
              <w:rPr>
                <w:rFonts w:hint="eastAsia" w:ascii="仿宋_GB2312" w:hAnsi="宋体" w:eastAsia="仿宋_GB2312" w:cs="宋体"/>
                <w:spacing w:val="-6"/>
                <w:kern w:val="0"/>
                <w:sz w:val="18"/>
                <w:szCs w:val="18"/>
              </w:rPr>
              <w:br w:type="textWrapping"/>
            </w:r>
            <w:r>
              <w:rPr>
                <w:rFonts w:hint="eastAsia" w:ascii="仿宋_GB2312" w:hAnsi="宋体" w:eastAsia="仿宋_GB2312" w:cs="宋体"/>
                <w:spacing w:val="-6"/>
                <w:kern w:val="0"/>
                <w:sz w:val="18"/>
                <w:szCs w:val="18"/>
              </w:rPr>
              <w:t>以上情况每出现一例不符合要求的扣1分，扣完为止。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135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预决算信息公开性和完善性</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①按规定内容公开预决算信息，1分；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②按规定时限公开预决算信息，0.5分；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③基础数据信息和会计信息资料真实，0.5分；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④基础数据信息和会计信息资料完整，0.5分；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⑤基础数据信息和汇集信息资料准确，0.5分。                                            </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42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政府采购</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执行率</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政府采购执行率等于100%的，得3分；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每减少一个百分点，扣0.2分，扣完为止。</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3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公务卡刷卡率</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公务卡刷卡率达50％以上的，得3分。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每减少一个百分点，扣0.2分，扣完为止。                                            </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2</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735"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（10分）</w:t>
            </w: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管理制度</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健全性</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①已制定或具有资产管理制度，且相关资产管理制度合法、合规、完整，2分；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②相关资产管理制度得到有效执行，1分。                                           </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bl>
    <w:p/>
    <w:tbl>
      <w:tblPr>
        <w:tblStyle w:val="2"/>
        <w:tblW w:w="9894" w:type="dxa"/>
        <w:jc w:val="center"/>
        <w:tblLayout w:type="fixed"/>
        <w:tblCellMar>
          <w:top w:w="0" w:type="dxa"/>
          <w:left w:w="108" w:type="dxa"/>
          <w:bottom w:w="0" w:type="dxa"/>
          <w:right w:w="108" w:type="dxa"/>
        </w:tblCellMar>
      </w:tblPr>
      <w:tblGrid>
        <w:gridCol w:w="976"/>
        <w:gridCol w:w="939"/>
        <w:gridCol w:w="1389"/>
        <w:gridCol w:w="4171"/>
        <w:gridCol w:w="619"/>
        <w:gridCol w:w="720"/>
        <w:gridCol w:w="1080"/>
      </w:tblGrid>
      <w:tr>
        <w:tblPrEx>
          <w:tblCellMar>
            <w:top w:w="0" w:type="dxa"/>
            <w:left w:w="108" w:type="dxa"/>
            <w:bottom w:w="0" w:type="dxa"/>
            <w:right w:w="108" w:type="dxa"/>
          </w:tblCellMar>
        </w:tblPrEx>
        <w:trPr>
          <w:trHeight w:val="609" w:hRule="atLeast"/>
          <w:jc w:val="center"/>
        </w:trPr>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一级指标</w:t>
            </w:r>
          </w:p>
        </w:tc>
        <w:tc>
          <w:tcPr>
            <w:tcW w:w="9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二级指标</w:t>
            </w:r>
          </w:p>
        </w:tc>
        <w:tc>
          <w:tcPr>
            <w:tcW w:w="138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三级指标</w:t>
            </w:r>
          </w:p>
        </w:tc>
        <w:tc>
          <w:tcPr>
            <w:tcW w:w="417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评分标准</w:t>
            </w:r>
          </w:p>
        </w:tc>
        <w:tc>
          <w:tcPr>
            <w:tcW w:w="61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2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自评得分</w:t>
            </w:r>
          </w:p>
        </w:tc>
        <w:tc>
          <w:tcPr>
            <w:tcW w:w="108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spacing w:val="-12"/>
                <w:kern w:val="0"/>
                <w:sz w:val="18"/>
                <w:szCs w:val="18"/>
              </w:rPr>
            </w:pPr>
            <w:r>
              <w:rPr>
                <w:rFonts w:hint="eastAsia" w:ascii="仿宋_GB2312" w:hAnsi="宋体" w:eastAsia="仿宋_GB2312" w:cs="宋体"/>
                <w:b/>
                <w:bCs/>
                <w:spacing w:val="-12"/>
                <w:kern w:val="0"/>
                <w:sz w:val="18"/>
                <w:szCs w:val="18"/>
              </w:rPr>
              <w:t>扣分原因和其他说明</w:t>
            </w:r>
          </w:p>
        </w:tc>
      </w:tr>
      <w:tr>
        <w:tblPrEx>
          <w:tblCellMar>
            <w:top w:w="0" w:type="dxa"/>
            <w:left w:w="108" w:type="dxa"/>
            <w:bottom w:w="0" w:type="dxa"/>
            <w:right w:w="108" w:type="dxa"/>
          </w:tblCellMar>
        </w:tblPrEx>
        <w:trPr>
          <w:trHeight w:val="2011" w:hRule="atLeast"/>
          <w:jc w:val="center"/>
        </w:trPr>
        <w:tc>
          <w:tcPr>
            <w:tcW w:w="9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过  程</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（40分）</w:t>
            </w:r>
          </w:p>
        </w:tc>
        <w:tc>
          <w:tcPr>
            <w:tcW w:w="93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（10分）</w:t>
            </w:r>
          </w:p>
        </w:tc>
        <w:tc>
          <w:tcPr>
            <w:tcW w:w="138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安全性</w:t>
            </w:r>
          </w:p>
        </w:tc>
        <w:tc>
          <w:tcPr>
            <w:tcW w:w="417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①资产保存完整；</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②资产配置合理；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③资产处置规范； </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④资产账务管理合规，帐实相符；</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⑤资产有偿使用及处置收入及时足额上缴；</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以上情况每出现一例不符合有关要求的扣1分，扣完为止。</w:t>
            </w:r>
          </w:p>
        </w:tc>
        <w:tc>
          <w:tcPr>
            <w:tcW w:w="61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72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108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774"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固定资产</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利用率</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每低于100%一个百分点扣0.1分，扣完为止。</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产  出（25分）</w:t>
            </w:r>
          </w:p>
        </w:tc>
        <w:tc>
          <w:tcPr>
            <w:tcW w:w="93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职责履行</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（25分）</w:t>
            </w: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推进全面小康建设指标任务完成情况</w:t>
            </w:r>
          </w:p>
        </w:tc>
        <w:tc>
          <w:tcPr>
            <w:tcW w:w="417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此项指标根据《中共岳阳市临湘市人民政府 关于做好岳阳市临湘市2020年度综合绩效考核工作的通知》。部门单位应根据部门实际进行调整，并将其细化成相应的个性化指标</w:t>
            </w:r>
            <w:r>
              <w:rPr>
                <w:rFonts w:hint="eastAsia" w:ascii="仿宋_GB2312" w:hAnsi="宋体" w:eastAsia="仿宋_GB2312" w:cs="宋体"/>
                <w:kern w:val="0"/>
                <w:sz w:val="18"/>
                <w:szCs w:val="18"/>
              </w:rPr>
              <w:br w:type="textWrapping"/>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建设湖南新增极目标任务完成情况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7</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7</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《政府工作报告》目标任务完成情况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8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省市重点民生实事完成情况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省市重点工程和重大项目建设完成情况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8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其他工作实绩指标完成情况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00" w:hRule="atLeast"/>
          <w:jc w:val="center"/>
        </w:trPr>
        <w:tc>
          <w:tcPr>
            <w:tcW w:w="97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效  果</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（20分）</w:t>
            </w:r>
          </w:p>
        </w:tc>
        <w:tc>
          <w:tcPr>
            <w:tcW w:w="93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履职效益</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（20分）</w:t>
            </w: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经济效益</w:t>
            </w:r>
          </w:p>
        </w:tc>
        <w:tc>
          <w:tcPr>
            <w:tcW w:w="417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此三项指标为设置部门整体支出绩效评价指标时必须考虑的共性要素。</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部门单位应根据部门实际并结合部门整体支出绩效目标设立情况有选择的进行设置，并将其细化为相应的个性化指标。</w:t>
            </w:r>
          </w:p>
        </w:tc>
        <w:tc>
          <w:tcPr>
            <w:tcW w:w="61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社会效益</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生态效益</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1113"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社会公众或服务对象满意度</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95%（含）以上计5分；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85%（含）-95%，计3分；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75%（含）-85%，计1分；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低于75%计0分。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70" w:hRule="atLeast"/>
          <w:jc w:val="center"/>
        </w:trPr>
        <w:tc>
          <w:tcPr>
            <w:tcW w:w="97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总 分</w:t>
            </w:r>
          </w:p>
        </w:tc>
        <w:tc>
          <w:tcPr>
            <w:tcW w:w="93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c>
          <w:tcPr>
            <w:tcW w:w="4171"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spacing w:val="-8"/>
                <w:kern w:val="0"/>
                <w:sz w:val="18"/>
                <w:szCs w:val="18"/>
              </w:rPr>
            </w:pPr>
            <w:r>
              <w:rPr>
                <w:rFonts w:hint="eastAsia" w:ascii="仿宋_GB2312" w:hAnsi="宋体" w:eastAsia="仿宋_GB2312" w:cs="宋体"/>
                <w:b/>
                <w:bCs/>
                <w:spacing w:val="-8"/>
                <w:kern w:val="0"/>
                <w:sz w:val="18"/>
                <w:szCs w:val="18"/>
              </w:rPr>
              <w:t>100</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r>
              <w:rPr>
                <w:rFonts w:ascii="仿宋_GB2312" w:hAnsi="宋体" w:eastAsia="仿宋_GB2312" w:cs="宋体"/>
                <w:b/>
                <w:bCs/>
                <w:kern w:val="0"/>
                <w:sz w:val="18"/>
                <w:szCs w:val="18"/>
              </w:rPr>
              <w:t>97</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r>
    </w:tbl>
    <w:p>
      <w:pPr>
        <w:spacing w:before="156" w:beforeLines="50"/>
        <w:rPr>
          <w:rFonts w:ascii="仿宋_GB2312" w:hAnsi="宋体" w:eastAsia="仿宋_GB2312" w:cs="宋体"/>
          <w:kern w:val="0"/>
          <w:szCs w:val="21"/>
        </w:rPr>
      </w:pPr>
      <w:r>
        <w:rPr>
          <w:rFonts w:hint="eastAsia" w:ascii="仿宋_GB2312" w:hAnsi="宋体" w:eastAsia="仿宋_GB2312" w:cs="宋体"/>
          <w:kern w:val="0"/>
          <w:szCs w:val="21"/>
        </w:rPr>
        <w:t>备注：如部门（单位）根据本部门实际情况修改调整了附件3《部门整体支出绩效评价指标体系（参考样表）》，须相应修改调整本表中的对应部分。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Microsoft YaHei UI"/>
    <w:panose1 w:val="00000000000000000000"/>
    <w:charset w:val="86"/>
    <w:family w:val="script"/>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Microsoft YaHei UI">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2NzQxM2I5OGUzZTgxMTYzZWZlMDA4NDY3ZTEzMjAifQ=="/>
  </w:docVars>
  <w:rsids>
    <w:rsidRoot w:val="00B72946"/>
    <w:rsid w:val="00B72946"/>
    <w:rsid w:val="00E549E6"/>
    <w:rsid w:val="00F3471D"/>
    <w:rsid w:val="20A8415B"/>
    <w:rsid w:val="2D1A4DD8"/>
    <w:rsid w:val="3927156C"/>
    <w:rsid w:val="5FF640EB"/>
    <w:rsid w:val="757D015D"/>
    <w:rsid w:val="7C6E439C"/>
    <w:rsid w:val="7D2D42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310</Words>
  <Characters>1767</Characters>
  <Lines>14</Lines>
  <Paragraphs>4</Paragraphs>
  <TotalTime>12</TotalTime>
  <ScaleCrop>false</ScaleCrop>
  <LinksUpToDate>false</LinksUpToDate>
  <CharactersWithSpaces>2073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01</cp:lastModifiedBy>
  <dcterms:modified xsi:type="dcterms:W3CDTF">2023-09-07T00:18:33Z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78044B392EEB48D0AE4F6EE1C1FF582B_12</vt:lpwstr>
  </property>
</Properties>
</file>