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hint="eastAsia" w:ascii="仿宋_GB2312" w:hAnsi="仿宋_GB2312" w:eastAsia="仿宋_GB2312" w:cs="仿宋_GB2312"/>
          <w:color w:val="auto"/>
          <w:sz w:val="36"/>
          <w:szCs w:val="36"/>
          <w:highlight w:val="none"/>
        </w:rPr>
      </w:pPr>
    </w:p>
    <w:p>
      <w:pPr>
        <w:adjustRightInd w:val="0"/>
        <w:snapToGrid w:val="0"/>
        <w:jc w:val="center"/>
        <w:outlineLvl w:val="0"/>
        <w:rPr>
          <w:rFonts w:hint="eastAsia" w:ascii="方正小标宋_GBK" w:eastAsia="方正小标宋_GBK"/>
          <w:bCs/>
          <w:color w:val="auto"/>
          <w:sz w:val="72"/>
          <w:szCs w:val="72"/>
          <w:highlight w:val="none"/>
        </w:rPr>
      </w:pPr>
      <w:bookmarkStart w:id="0" w:name="_Toc26338"/>
      <w:r>
        <w:rPr>
          <w:rFonts w:hint="eastAsia" w:ascii="方正小标宋_GBK" w:eastAsia="方正小标宋_GBK"/>
          <w:bCs/>
          <w:color w:val="auto"/>
          <w:sz w:val="72"/>
          <w:szCs w:val="72"/>
          <w:highlight w:val="none"/>
        </w:rPr>
        <w:t>建设项目环境影响报告表</w:t>
      </w:r>
      <w:bookmarkEnd w:id="0"/>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line="288" w:lineRule="auto"/>
        <w:jc w:val="center"/>
        <w:rPr>
          <w:rFonts w:hint="default" w:ascii="华文仿宋" w:hAnsi="华文仿宋" w:eastAsia="华文仿宋" w:cs="华文仿宋"/>
          <w:color w:val="auto"/>
          <w:kern w:val="44"/>
          <w:sz w:val="44"/>
          <w:szCs w:val="44"/>
          <w:highlight w:val="none"/>
          <w:lang w:val="en-US" w:eastAsia="zh-CN"/>
        </w:rPr>
      </w:pPr>
      <w:r>
        <w:rPr>
          <w:rFonts w:hint="eastAsia" w:ascii="华文仿宋" w:hAnsi="华文仿宋" w:eastAsia="华文仿宋" w:cs="华文仿宋"/>
          <w:color w:val="auto"/>
          <w:kern w:val="44"/>
          <w:sz w:val="44"/>
          <w:szCs w:val="44"/>
          <w:highlight w:val="none"/>
          <w:lang w:eastAsia="zh-CN"/>
        </w:rPr>
        <w:t>（</w:t>
      </w:r>
      <w:r>
        <w:rPr>
          <w:rFonts w:hint="eastAsia" w:ascii="华文仿宋" w:hAnsi="华文仿宋" w:eastAsia="华文仿宋" w:cs="华文仿宋"/>
          <w:color w:val="auto"/>
          <w:kern w:val="44"/>
          <w:sz w:val="44"/>
          <w:szCs w:val="44"/>
          <w:highlight w:val="none"/>
          <w:lang w:val="en-US" w:eastAsia="zh-CN"/>
        </w:rPr>
        <w:t>报批稿）</w:t>
      </w:r>
    </w:p>
    <w:p>
      <w:pPr>
        <w:jc w:val="center"/>
        <w:rPr>
          <w:rFonts w:eastAsia="仿宋"/>
          <w:color w:val="auto"/>
          <w:sz w:val="52"/>
          <w:szCs w:val="52"/>
          <w:highlight w:val="none"/>
        </w:rPr>
      </w:pPr>
    </w:p>
    <w:p>
      <w:pPr>
        <w:ind w:firstLine="1040"/>
        <w:rPr>
          <w:rFonts w:hint="eastAsia" w:eastAsia="仿宋"/>
          <w:color w:val="auto"/>
          <w:sz w:val="44"/>
          <w:szCs w:val="44"/>
          <w:highlight w:val="none"/>
          <w:lang w:val="en-US" w:eastAsia="zh-CN"/>
        </w:rPr>
      </w:pPr>
    </w:p>
    <w:p>
      <w:pPr>
        <w:ind w:firstLine="1040"/>
        <w:rPr>
          <w:rFonts w:hint="eastAsia" w:eastAsia="仿宋"/>
          <w:color w:val="auto"/>
          <w:sz w:val="44"/>
          <w:szCs w:val="44"/>
          <w:highlight w:val="none"/>
          <w:lang w:val="en-US" w:eastAsia="zh-CN"/>
        </w:rPr>
      </w:pPr>
      <w:r>
        <w:rPr>
          <w:rFonts w:hint="eastAsia" w:eastAsia="仿宋"/>
          <w:color w:val="auto"/>
          <w:sz w:val="44"/>
          <w:szCs w:val="44"/>
          <w:highlight w:val="none"/>
          <w:lang w:val="en-US" w:eastAsia="zh-CN"/>
        </w:rPr>
        <w:t xml:space="preserve"> </w:t>
      </w:r>
    </w:p>
    <w:p>
      <w:pPr>
        <w:ind w:firstLine="1040"/>
        <w:rPr>
          <w:rFonts w:eastAsia="仿宋"/>
          <w:color w:val="auto"/>
          <w:sz w:val="44"/>
          <w:szCs w:val="44"/>
          <w:highlight w:val="none"/>
        </w:rPr>
      </w:pPr>
    </w:p>
    <w:p>
      <w:pPr>
        <w:ind w:firstLine="1040"/>
        <w:rPr>
          <w:rFonts w:eastAsia="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850"/>
        <w:textAlignment w:val="auto"/>
        <w:rPr>
          <w:rFonts w:hint="eastAsia" w:ascii="仿宋_GB2312" w:eastAsia="仿宋_GB2312"/>
          <w:color w:val="auto"/>
          <w:sz w:val="36"/>
          <w:szCs w:val="36"/>
          <w:highlight w:val="none"/>
          <w:u w:val="single"/>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rPr>
        <w:t>年产</w:t>
      </w:r>
      <w:r>
        <w:rPr>
          <w:rFonts w:hint="eastAsia" w:ascii="仿宋_GB2312" w:eastAsia="仿宋_GB2312"/>
          <w:color w:val="auto"/>
          <w:sz w:val="36"/>
          <w:szCs w:val="36"/>
          <w:highlight w:val="none"/>
          <w:u w:val="single"/>
          <w:lang w:val="en-US" w:eastAsia="zh-CN"/>
        </w:rPr>
        <w:t>3</w:t>
      </w:r>
      <w:r>
        <w:rPr>
          <w:rFonts w:hint="eastAsia" w:ascii="仿宋_GB2312" w:eastAsia="仿宋_GB2312"/>
          <w:color w:val="auto"/>
          <w:sz w:val="36"/>
          <w:szCs w:val="36"/>
          <w:highlight w:val="none"/>
          <w:u w:val="single"/>
        </w:rPr>
        <w:t>万吨生物质颗粒</w:t>
      </w:r>
      <w:r>
        <w:rPr>
          <w:rFonts w:hint="eastAsia" w:ascii="仿宋_GB2312" w:eastAsia="仿宋_GB2312"/>
          <w:color w:val="auto"/>
          <w:sz w:val="36"/>
          <w:szCs w:val="36"/>
          <w:highlight w:val="none"/>
          <w:u w:val="single"/>
          <w:lang w:val="en-US" w:eastAsia="zh-CN"/>
        </w:rPr>
        <w:t>加工建设</w:t>
      </w:r>
      <w:r>
        <w:rPr>
          <w:rFonts w:hint="eastAsia" w:ascii="仿宋_GB2312" w:eastAsia="仿宋_GB2312"/>
          <w:color w:val="auto"/>
          <w:sz w:val="36"/>
          <w:szCs w:val="36"/>
          <w:highlight w:val="none"/>
          <w:u w:val="single"/>
        </w:rPr>
        <w:t>项目</w:t>
      </w:r>
    </w:p>
    <w:p>
      <w:pPr>
        <w:keepNext w:val="0"/>
        <w:keepLines w:val="0"/>
        <w:pageBreakBefore w:val="0"/>
        <w:widowControl w:val="0"/>
        <w:kinsoku/>
        <w:wordWrap/>
        <w:overflowPunct/>
        <w:topLinePunct w:val="0"/>
        <w:autoSpaceDE/>
        <w:autoSpaceDN/>
        <w:bidi w:val="0"/>
        <w:adjustRightInd w:val="0"/>
        <w:snapToGrid w:val="0"/>
        <w:spacing w:line="288" w:lineRule="auto"/>
        <w:ind w:firstLine="850"/>
        <w:textAlignment w:val="auto"/>
        <w:rPr>
          <w:rFonts w:ascii="仿宋_GB2312" w:eastAsia="仿宋_GB2312"/>
          <w:color w:val="auto"/>
          <w:sz w:val="32"/>
          <w:szCs w:val="32"/>
          <w:highlight w:val="none"/>
          <w:u w:val="single"/>
        </w:rPr>
      </w:pPr>
      <w:r>
        <w:rPr>
          <w:rFonts w:hint="eastAsia" w:ascii="仿宋_GB2312" w:eastAsia="仿宋_GB2312"/>
          <w:color w:val="auto"/>
          <w:sz w:val="36"/>
          <w:szCs w:val="36"/>
          <w:highlight w:val="none"/>
        </w:rPr>
        <w:t>建设单位（盖章）：</w:t>
      </w:r>
      <w:r>
        <w:rPr>
          <w:rFonts w:hint="eastAsia" w:ascii="仿宋_GB2312" w:eastAsia="仿宋_GB2312"/>
          <w:color w:val="auto"/>
          <w:sz w:val="32"/>
          <w:szCs w:val="32"/>
          <w:highlight w:val="none"/>
          <w:u w:val="single"/>
        </w:rPr>
        <w:t xml:space="preserve">临湘市达江生物质能源有限公司 </w:t>
      </w:r>
    </w:p>
    <w:p>
      <w:pPr>
        <w:keepNext w:val="0"/>
        <w:keepLines w:val="0"/>
        <w:pageBreakBefore w:val="0"/>
        <w:widowControl w:val="0"/>
        <w:kinsoku/>
        <w:wordWrap/>
        <w:overflowPunct/>
        <w:topLinePunct w:val="0"/>
        <w:autoSpaceDE/>
        <w:autoSpaceDN/>
        <w:bidi w:val="0"/>
        <w:adjustRightInd w:val="0"/>
        <w:snapToGrid w:val="0"/>
        <w:spacing w:line="288" w:lineRule="auto"/>
        <w:ind w:firstLine="850"/>
        <w:textAlignment w:val="auto"/>
        <w:rPr>
          <w:rFonts w:hint="default"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rPr>
        <w:t xml:space="preserve"> 202</w:t>
      </w:r>
      <w:r>
        <w:rPr>
          <w:rFonts w:hint="eastAsia" w:ascii="仿宋_GB2312" w:eastAsia="仿宋_GB2312"/>
          <w:color w:val="auto"/>
          <w:sz w:val="36"/>
          <w:szCs w:val="36"/>
          <w:highlight w:val="none"/>
          <w:u w:val="single"/>
          <w:lang w:val="en-US" w:eastAsia="zh-CN"/>
        </w:rPr>
        <w:t>3</w:t>
      </w:r>
      <w:r>
        <w:rPr>
          <w:rFonts w:hint="eastAsia" w:ascii="仿宋_GB2312" w:eastAsia="仿宋_GB2312"/>
          <w:color w:val="auto"/>
          <w:sz w:val="36"/>
          <w:szCs w:val="36"/>
          <w:highlight w:val="none"/>
          <w:u w:val="single"/>
        </w:rPr>
        <w:t>年</w:t>
      </w:r>
      <w:r>
        <w:rPr>
          <w:rFonts w:hint="eastAsia" w:ascii="仿宋_GB2312" w:eastAsia="仿宋_GB2312"/>
          <w:color w:val="auto"/>
          <w:sz w:val="36"/>
          <w:szCs w:val="36"/>
          <w:highlight w:val="none"/>
          <w:u w:val="single"/>
          <w:lang w:val="en-US" w:eastAsia="zh-CN"/>
        </w:rPr>
        <w:t>6</w:t>
      </w:r>
      <w:r>
        <w:rPr>
          <w:rFonts w:hint="eastAsia" w:ascii="仿宋_GB2312" w:eastAsia="仿宋_GB2312"/>
          <w:color w:val="auto"/>
          <w:sz w:val="36"/>
          <w:szCs w:val="36"/>
          <w:highlight w:val="none"/>
          <w:u w:val="single"/>
        </w:rPr>
        <w:t>月</w:t>
      </w:r>
      <w:r>
        <w:rPr>
          <w:rFonts w:hint="eastAsia" w:ascii="仿宋_GB2312" w:eastAsia="仿宋_GB2312"/>
          <w:color w:val="auto"/>
          <w:sz w:val="36"/>
          <w:szCs w:val="36"/>
          <w:highlight w:val="none"/>
          <w:u w:val="single"/>
          <w:lang w:val="en-US" w:eastAsia="zh-CN"/>
        </w:rPr>
        <w:t xml:space="preserve">               </w:t>
      </w:r>
    </w:p>
    <w:p>
      <w:pPr>
        <w:adjustRightInd w:val="0"/>
        <w:snapToGrid w:val="0"/>
        <w:spacing w:line="288" w:lineRule="auto"/>
        <w:ind w:firstLine="1040"/>
        <w:rPr>
          <w:rFonts w:ascii="仿宋_GB2312" w:eastAsia="仿宋_GB2312"/>
          <w:color w:val="auto"/>
          <w:sz w:val="36"/>
          <w:szCs w:val="36"/>
          <w:highlight w:val="none"/>
          <w:u w:val="single"/>
        </w:rPr>
      </w:pPr>
      <w:bookmarkStart w:id="1" w:name="_Hlk57884087"/>
    </w:p>
    <w:p>
      <w:pPr>
        <w:adjustRightInd w:val="0"/>
        <w:snapToGrid w:val="0"/>
        <w:spacing w:line="288" w:lineRule="auto"/>
        <w:ind w:firstLine="1040"/>
        <w:rPr>
          <w:rFonts w:hint="eastAsia" w:ascii="仿宋_GB2312" w:eastAsia="仿宋_GB2312"/>
          <w:color w:val="auto"/>
          <w:sz w:val="36"/>
          <w:szCs w:val="36"/>
          <w:highlight w:val="none"/>
          <w:lang w:val="en-US" w:eastAsia="zh-CN"/>
        </w:rPr>
      </w:pPr>
    </w:p>
    <w:p>
      <w:pPr>
        <w:adjustRightInd w:val="0"/>
        <w:snapToGrid w:val="0"/>
        <w:spacing w:line="288" w:lineRule="auto"/>
        <w:ind w:firstLine="1040"/>
        <w:rPr>
          <w:rFonts w:hint="eastAsia" w:ascii="仿宋_GB2312" w:eastAsia="仿宋_GB2312"/>
          <w:color w:val="auto"/>
          <w:sz w:val="36"/>
          <w:szCs w:val="36"/>
          <w:highlight w:val="none"/>
          <w:lang w:val="en-US" w:eastAsia="zh-CN"/>
        </w:rPr>
      </w:pPr>
      <w:r>
        <w:rPr>
          <w:rFonts w:hint="eastAsia" w:ascii="仿宋_GB2312" w:eastAsia="仿宋_GB2312"/>
          <w:color w:val="auto"/>
          <w:sz w:val="36"/>
          <w:szCs w:val="36"/>
          <w:highlight w:val="none"/>
          <w:lang w:val="en-US" w:eastAsia="zh-CN"/>
        </w:rPr>
        <w:t xml:space="preserve"> </w:t>
      </w:r>
    </w:p>
    <w:p>
      <w:pPr>
        <w:adjustRightInd w:val="0"/>
        <w:snapToGrid w:val="0"/>
        <w:spacing w:line="288" w:lineRule="auto"/>
        <w:ind w:firstLine="1040"/>
        <w:rPr>
          <w:rFonts w:hint="eastAsia" w:ascii="仿宋_GB2312" w:eastAsia="仿宋_GB2312"/>
          <w:color w:val="auto"/>
          <w:sz w:val="36"/>
          <w:szCs w:val="36"/>
          <w:highlight w:val="none"/>
        </w:rPr>
      </w:pPr>
    </w:p>
    <w:p>
      <w:pPr>
        <w:adjustRightInd w:val="0"/>
        <w:snapToGrid w:val="0"/>
        <w:spacing w:line="288" w:lineRule="auto"/>
        <w:ind w:firstLine="1040"/>
        <w:rPr>
          <w:rFonts w:hint="eastAsia" w:ascii="仿宋_GB2312" w:eastAsia="仿宋_GB2312"/>
          <w:color w:val="auto"/>
          <w:sz w:val="36"/>
          <w:szCs w:val="36"/>
          <w:highlight w:val="none"/>
        </w:rPr>
      </w:pPr>
    </w:p>
    <w:bookmarkEnd w:id="1"/>
    <w:p>
      <w:pPr>
        <w:adjustRightInd w:val="0"/>
        <w:snapToGrid w:val="0"/>
        <w:spacing w:line="288" w:lineRule="auto"/>
        <w:jc w:val="center"/>
        <w:outlineLvl w:val="9"/>
        <w:rPr>
          <w:rFonts w:hint="eastAsia" w:ascii="楷体_GB2312" w:eastAsia="楷体_GB2312"/>
          <w:color w:val="auto"/>
          <w:sz w:val="36"/>
          <w:szCs w:val="36"/>
          <w:highlight w:val="none"/>
        </w:rPr>
      </w:pPr>
      <w:bookmarkStart w:id="2" w:name="_Toc27754"/>
      <w:r>
        <w:rPr>
          <w:rFonts w:hint="eastAsia" w:ascii="楷体_GB2312" w:eastAsia="楷体_GB2312"/>
          <w:color w:val="auto"/>
          <w:sz w:val="36"/>
          <w:szCs w:val="36"/>
          <w:highlight w:val="none"/>
        </w:rPr>
        <w:t>中华人民共和国生态环境部制</w:t>
      </w:r>
      <w:bookmarkEnd w:id="2"/>
    </w:p>
    <w:p>
      <w:pPr>
        <w:adjustRightInd w:val="0"/>
        <w:snapToGrid w:val="0"/>
        <w:spacing w:line="288" w:lineRule="auto"/>
        <w:rPr>
          <w:color w:val="auto"/>
          <w:highlight w:val="none"/>
        </w:rPr>
        <w:sectPr>
          <w:headerReference r:id="rId3" w:type="default"/>
          <w:footerReference r:id="rId4" w:type="default"/>
          <w:footerReference r:id="rId5" w:type="even"/>
          <w:pgSz w:w="11906" w:h="16838"/>
          <w:pgMar w:top="1417" w:right="1587" w:bottom="1417" w:left="1587"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修改说明</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1"/>
        <w:gridCol w:w="4207"/>
        <w:gridCol w:w="4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6"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序号</w:t>
            </w:r>
          </w:p>
        </w:tc>
        <w:tc>
          <w:tcPr>
            <w:tcW w:w="2350"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评审意见</w:t>
            </w:r>
          </w:p>
        </w:tc>
        <w:tc>
          <w:tcPr>
            <w:tcW w:w="2262"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修改情况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86"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1</w:t>
            </w:r>
          </w:p>
        </w:tc>
        <w:tc>
          <w:tcPr>
            <w:tcW w:w="2350"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完善项目由来，补充与生物质能源发展规划关于环境保护要求的符合性分析，结合周边环保目标分布情况完善选址合理性分析，完善与“三线一单”的相符性分析和产业政策符合性分析</w:t>
            </w:r>
          </w:p>
        </w:tc>
        <w:tc>
          <w:tcPr>
            <w:tcW w:w="2262" w:type="pct"/>
            <w:noWrap w:val="0"/>
            <w:vAlign w:val="top"/>
          </w:tcPr>
          <w:p>
            <w:pPr>
              <w:snapToGrid w:val="0"/>
              <w:jc w:val="left"/>
              <w:rPr>
                <w:rFonts w:hint="default" w:ascii="Times New Roman" w:eastAsia="宋体"/>
                <w:color w:val="auto"/>
                <w:sz w:val="21"/>
                <w:szCs w:val="21"/>
                <w:highlight w:val="none"/>
                <w:lang w:val="en-US" w:eastAsia="zh-CN"/>
              </w:rPr>
            </w:pPr>
            <w:r>
              <w:rPr>
                <w:rFonts w:hint="eastAsia" w:ascii="Times New Roman"/>
                <w:color w:val="auto"/>
                <w:sz w:val="21"/>
                <w:szCs w:val="21"/>
                <w:highlight w:val="none"/>
              </w:rPr>
              <w:t>完善项目由来</w:t>
            </w:r>
            <w:r>
              <w:rPr>
                <w:rFonts w:hint="eastAsia" w:ascii="Times New Roman"/>
                <w:color w:val="auto"/>
                <w:sz w:val="21"/>
                <w:szCs w:val="21"/>
                <w:highlight w:val="none"/>
                <w:lang w:val="en-US" w:eastAsia="zh-CN"/>
              </w:rPr>
              <w:t>p11</w:t>
            </w:r>
            <w:r>
              <w:rPr>
                <w:rFonts w:hint="eastAsia" w:ascii="Times New Roman"/>
                <w:color w:val="auto"/>
                <w:sz w:val="21"/>
                <w:szCs w:val="21"/>
                <w:highlight w:val="none"/>
              </w:rPr>
              <w:t>，补充与生物质能源发展规划关于环境保护要求的符合性分析</w:t>
            </w:r>
            <w:r>
              <w:rPr>
                <w:rFonts w:hint="eastAsia" w:ascii="Times New Roman"/>
                <w:color w:val="auto"/>
                <w:sz w:val="21"/>
                <w:szCs w:val="21"/>
                <w:highlight w:val="none"/>
                <w:lang w:val="en-US" w:eastAsia="zh-CN"/>
              </w:rPr>
              <w:t>p9-p10</w:t>
            </w:r>
            <w:r>
              <w:rPr>
                <w:rFonts w:hint="eastAsia" w:ascii="Times New Roman"/>
                <w:color w:val="auto"/>
                <w:sz w:val="21"/>
                <w:szCs w:val="21"/>
                <w:highlight w:val="none"/>
              </w:rPr>
              <w:t>，结合周边环保目标分布情况完善选址合理性分析</w:t>
            </w:r>
            <w:r>
              <w:rPr>
                <w:rFonts w:hint="eastAsia" w:ascii="Times New Roman"/>
                <w:color w:val="auto"/>
                <w:sz w:val="21"/>
                <w:szCs w:val="21"/>
                <w:highlight w:val="none"/>
                <w:lang w:val="en-US" w:eastAsia="zh-CN"/>
              </w:rPr>
              <w:t>p2</w:t>
            </w:r>
            <w:r>
              <w:rPr>
                <w:rFonts w:hint="eastAsia" w:ascii="Times New Roman"/>
                <w:color w:val="auto"/>
                <w:sz w:val="21"/>
                <w:szCs w:val="21"/>
                <w:highlight w:val="none"/>
              </w:rPr>
              <w:t>，完善与“三线一单”的相符性分析和产业政策符合性分析</w:t>
            </w:r>
            <w:r>
              <w:rPr>
                <w:rFonts w:hint="eastAsia" w:ascii="Times New Roman"/>
                <w:color w:val="auto"/>
                <w:sz w:val="21"/>
                <w:szCs w:val="21"/>
                <w:highlight w:val="none"/>
                <w:lang w:val="en-US" w:eastAsia="zh-CN"/>
              </w:rPr>
              <w:t>p4-p6（按正式发文内容分析），p2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6"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2</w:t>
            </w:r>
          </w:p>
        </w:tc>
        <w:tc>
          <w:tcPr>
            <w:tcW w:w="2350"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完善建设内容，核实主要设备，结合产品标准，明确原料的种类、用量、来源及使用要求；细化原辅材料的粒径、卸料、投料方式及落差、包装及运输方式，据此完善其储运、装卸投料等环节的产排污情况，明确运输、转运要求。</w:t>
            </w:r>
          </w:p>
        </w:tc>
        <w:tc>
          <w:tcPr>
            <w:tcW w:w="2262" w:type="pct"/>
            <w:noWrap w:val="0"/>
            <w:vAlign w:val="top"/>
          </w:tcPr>
          <w:p>
            <w:pPr>
              <w:snapToGrid w:val="0"/>
              <w:jc w:val="left"/>
              <w:rPr>
                <w:rFonts w:hint="default" w:ascii="Times New Roman" w:eastAsia="宋体"/>
                <w:color w:val="auto"/>
                <w:sz w:val="21"/>
                <w:szCs w:val="21"/>
                <w:highlight w:val="none"/>
                <w:lang w:val="en-US" w:eastAsia="zh-CN"/>
              </w:rPr>
            </w:pPr>
            <w:r>
              <w:rPr>
                <w:rFonts w:hint="eastAsia" w:ascii="Times New Roman"/>
                <w:color w:val="auto"/>
                <w:sz w:val="21"/>
                <w:szCs w:val="21"/>
                <w:highlight w:val="none"/>
              </w:rPr>
              <w:t>完善建设内容，核实主要设备，结合产品标准，明确原料的种类、用量、来源及使用要求</w:t>
            </w:r>
            <w:r>
              <w:rPr>
                <w:rFonts w:hint="eastAsia" w:ascii="Times New Roman"/>
                <w:color w:val="auto"/>
                <w:sz w:val="21"/>
                <w:szCs w:val="21"/>
                <w:highlight w:val="none"/>
                <w:lang w:val="en-US" w:eastAsia="zh-CN"/>
              </w:rPr>
              <w:t>p12-p14</w:t>
            </w:r>
            <w:r>
              <w:rPr>
                <w:rFonts w:hint="eastAsia" w:ascii="Times New Roman"/>
                <w:color w:val="auto"/>
                <w:sz w:val="21"/>
                <w:szCs w:val="21"/>
                <w:highlight w:val="none"/>
              </w:rPr>
              <w:t>；细化原辅材料的粒径、卸料、投料方式及落差、包装及运输方式，据此完善其储运、装卸投料等环节的产排污情况，明确运输、转运要求。</w:t>
            </w:r>
            <w:r>
              <w:rPr>
                <w:rFonts w:hint="eastAsia" w:ascii="Times New Roman"/>
                <w:color w:val="auto"/>
                <w:sz w:val="21"/>
                <w:szCs w:val="21"/>
                <w:highlight w:val="none"/>
                <w:lang w:val="en-US" w:eastAsia="zh-CN"/>
              </w:rPr>
              <w:t>P15-p16,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6"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3</w:t>
            </w:r>
          </w:p>
        </w:tc>
        <w:tc>
          <w:tcPr>
            <w:tcW w:w="2350"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完善环境空气质量现状，补充运输路径及沿线的主要环境保护目标；进一步完善现有厂区环境问题。</w:t>
            </w:r>
          </w:p>
        </w:tc>
        <w:tc>
          <w:tcPr>
            <w:tcW w:w="2262"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完善环境空气质量现状</w:t>
            </w:r>
            <w:r>
              <w:rPr>
                <w:rFonts w:hint="eastAsia" w:ascii="Times New Roman"/>
                <w:color w:val="auto"/>
                <w:sz w:val="21"/>
                <w:szCs w:val="21"/>
                <w:highlight w:val="none"/>
                <w:lang w:val="en-US" w:eastAsia="zh-CN"/>
              </w:rPr>
              <w:t>p18</w:t>
            </w:r>
            <w:r>
              <w:rPr>
                <w:rFonts w:hint="eastAsia" w:ascii="Times New Roman"/>
                <w:color w:val="auto"/>
                <w:sz w:val="21"/>
                <w:szCs w:val="21"/>
                <w:highlight w:val="none"/>
              </w:rPr>
              <w:t>，补充运输路径及沿线的主要环境保护目标</w:t>
            </w:r>
            <w:r>
              <w:rPr>
                <w:rFonts w:hint="eastAsia" w:ascii="Times New Roman"/>
                <w:color w:val="auto"/>
                <w:sz w:val="21"/>
                <w:szCs w:val="21"/>
                <w:highlight w:val="none"/>
                <w:lang w:val="en-US" w:eastAsia="zh-CN"/>
              </w:rPr>
              <w:t>p40</w:t>
            </w:r>
            <w:r>
              <w:rPr>
                <w:rFonts w:hint="eastAsia" w:ascii="Times New Roman"/>
                <w:color w:val="auto"/>
                <w:sz w:val="21"/>
                <w:szCs w:val="21"/>
                <w:highlight w:val="none"/>
              </w:rPr>
              <w:t>；进一步完善现有厂区环境问题</w:t>
            </w:r>
            <w:r>
              <w:rPr>
                <w:rFonts w:hint="eastAsia" w:ascii="Times New Roman"/>
                <w:color w:val="auto"/>
                <w:sz w:val="21"/>
                <w:szCs w:val="21"/>
                <w:highlight w:val="none"/>
                <w:lang w:val="en-US" w:eastAsia="zh-CN"/>
              </w:rPr>
              <w:t>p17</w:t>
            </w:r>
            <w:r>
              <w:rPr>
                <w:rFonts w:hint="eastAsia" w:ascii="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6"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4</w:t>
            </w:r>
          </w:p>
        </w:tc>
        <w:tc>
          <w:tcPr>
            <w:tcW w:w="2350"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完善工艺过程说明及关键参数，补充破碎工序及产排污情况，核实废气源强及废气量，细化废气收集、处理方式，明确输送带等生产设备密闭要求，强化废气影响分析。</w:t>
            </w:r>
          </w:p>
        </w:tc>
        <w:tc>
          <w:tcPr>
            <w:tcW w:w="2262" w:type="pct"/>
            <w:noWrap w:val="0"/>
            <w:vAlign w:val="top"/>
          </w:tcPr>
          <w:p>
            <w:pPr>
              <w:snapToGrid w:val="0"/>
              <w:jc w:val="left"/>
              <w:rPr>
                <w:rFonts w:hint="default" w:ascii="Times New Roman" w:eastAsia="宋体"/>
                <w:color w:val="auto"/>
                <w:sz w:val="21"/>
                <w:szCs w:val="21"/>
                <w:highlight w:val="none"/>
                <w:lang w:val="en-US" w:eastAsia="zh-CN"/>
              </w:rPr>
            </w:pPr>
            <w:r>
              <w:rPr>
                <w:rFonts w:hint="eastAsia" w:ascii="Times New Roman"/>
                <w:color w:val="auto"/>
                <w:sz w:val="21"/>
                <w:szCs w:val="21"/>
                <w:highlight w:val="none"/>
              </w:rPr>
              <w:t>完善工艺过程说明及关键参数</w:t>
            </w:r>
            <w:r>
              <w:rPr>
                <w:rFonts w:hint="eastAsia" w:ascii="Times New Roman"/>
                <w:color w:val="auto"/>
                <w:sz w:val="21"/>
                <w:szCs w:val="21"/>
                <w:highlight w:val="none"/>
                <w:lang w:val="en-US" w:eastAsia="zh-CN"/>
              </w:rPr>
              <w:t>p15-p16</w:t>
            </w:r>
            <w:r>
              <w:rPr>
                <w:rFonts w:hint="eastAsia" w:ascii="Times New Roman"/>
                <w:color w:val="auto"/>
                <w:sz w:val="21"/>
                <w:szCs w:val="21"/>
                <w:highlight w:val="none"/>
              </w:rPr>
              <w:t>，补充破碎工序及产排污情况，核实废气源强及废气量，细化废气收集、处理方式，明确输送带等生产设备密闭要求，强化废气影响分析。</w:t>
            </w:r>
            <w:r>
              <w:rPr>
                <w:rFonts w:hint="eastAsia" w:ascii="Times New Roman"/>
                <w:color w:val="auto"/>
                <w:sz w:val="21"/>
                <w:szCs w:val="21"/>
                <w:highlight w:val="none"/>
                <w:lang w:val="en-US" w:eastAsia="zh-CN"/>
              </w:rPr>
              <w:t>P23-p30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6"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5</w:t>
            </w:r>
          </w:p>
        </w:tc>
        <w:tc>
          <w:tcPr>
            <w:tcW w:w="2350"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核实噪声设备位置及与厂界的距离，强化达标可行性分析</w:t>
            </w:r>
          </w:p>
        </w:tc>
        <w:tc>
          <w:tcPr>
            <w:tcW w:w="2262" w:type="pct"/>
            <w:noWrap w:val="0"/>
            <w:vAlign w:val="top"/>
          </w:tcPr>
          <w:p>
            <w:pPr>
              <w:snapToGrid w:val="0"/>
              <w:jc w:val="left"/>
              <w:rPr>
                <w:rFonts w:hint="default" w:ascii="Times New Roman" w:eastAsia="宋体"/>
                <w:color w:val="auto"/>
                <w:sz w:val="21"/>
                <w:szCs w:val="21"/>
                <w:highlight w:val="none"/>
                <w:lang w:val="en-US" w:eastAsia="zh-CN"/>
              </w:rPr>
            </w:pPr>
            <w:r>
              <w:rPr>
                <w:rFonts w:hint="eastAsia" w:ascii="Times New Roman"/>
                <w:color w:val="auto"/>
                <w:sz w:val="21"/>
                <w:szCs w:val="21"/>
                <w:highlight w:val="none"/>
              </w:rPr>
              <w:t>核实噪声设备位置及与厂界的距离，强化达标可行性分析</w:t>
            </w:r>
            <w:r>
              <w:rPr>
                <w:rFonts w:hint="eastAsia" w:ascii="Times New Roman"/>
                <w:color w:val="auto"/>
                <w:sz w:val="21"/>
                <w:szCs w:val="21"/>
                <w:highlight w:val="none"/>
                <w:lang w:val="en-US" w:eastAsia="zh-CN"/>
              </w:rPr>
              <w:t>p32-p33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6" w:type="pct"/>
            <w:noWrap w:val="0"/>
            <w:vAlign w:val="center"/>
          </w:tcPr>
          <w:p>
            <w:pPr>
              <w:snapToGrid w:val="0"/>
              <w:jc w:val="center"/>
              <w:rPr>
                <w:rFonts w:ascii="Times New Roman"/>
                <w:color w:val="auto"/>
                <w:sz w:val="21"/>
                <w:szCs w:val="21"/>
                <w:highlight w:val="none"/>
              </w:rPr>
            </w:pPr>
            <w:r>
              <w:rPr>
                <w:rFonts w:ascii="Times New Roman"/>
                <w:color w:val="auto"/>
                <w:sz w:val="21"/>
                <w:szCs w:val="21"/>
                <w:highlight w:val="none"/>
              </w:rPr>
              <w:t>6</w:t>
            </w:r>
          </w:p>
        </w:tc>
        <w:tc>
          <w:tcPr>
            <w:tcW w:w="2350"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核实环保投资，细化环境保护措施监督检查清单、完善附件附图。</w:t>
            </w:r>
          </w:p>
        </w:tc>
        <w:tc>
          <w:tcPr>
            <w:tcW w:w="2262" w:type="pct"/>
            <w:noWrap w:val="0"/>
            <w:vAlign w:val="top"/>
          </w:tcPr>
          <w:p>
            <w:pPr>
              <w:snapToGrid w:val="0"/>
              <w:jc w:val="left"/>
              <w:rPr>
                <w:rFonts w:hint="eastAsia" w:ascii="Times New Roman"/>
                <w:color w:val="auto"/>
                <w:sz w:val="21"/>
                <w:szCs w:val="21"/>
                <w:highlight w:val="none"/>
              </w:rPr>
            </w:pPr>
            <w:r>
              <w:rPr>
                <w:rFonts w:hint="eastAsia" w:ascii="Times New Roman"/>
                <w:color w:val="auto"/>
                <w:sz w:val="21"/>
                <w:szCs w:val="21"/>
                <w:highlight w:val="none"/>
              </w:rPr>
              <w:t>核实环保投资</w:t>
            </w:r>
            <w:r>
              <w:rPr>
                <w:rFonts w:hint="eastAsia" w:ascii="Times New Roman"/>
                <w:color w:val="auto"/>
                <w:sz w:val="21"/>
                <w:szCs w:val="21"/>
                <w:highlight w:val="none"/>
                <w:lang w:val="en-US" w:eastAsia="zh-CN"/>
              </w:rPr>
              <w:t>p41-p42</w:t>
            </w:r>
            <w:r>
              <w:rPr>
                <w:rFonts w:hint="eastAsia" w:ascii="Times New Roman"/>
                <w:color w:val="auto"/>
                <w:sz w:val="21"/>
                <w:szCs w:val="21"/>
                <w:highlight w:val="none"/>
              </w:rPr>
              <w:t>，细化环境保护措施监督检查清单</w:t>
            </w:r>
            <w:r>
              <w:rPr>
                <w:rFonts w:hint="eastAsia" w:ascii="Times New Roman"/>
                <w:color w:val="auto"/>
                <w:sz w:val="21"/>
                <w:szCs w:val="21"/>
                <w:highlight w:val="none"/>
                <w:lang w:val="en-US" w:eastAsia="zh-CN"/>
              </w:rPr>
              <w:t>p43-p44</w:t>
            </w:r>
            <w:r>
              <w:rPr>
                <w:rFonts w:hint="eastAsia" w:ascii="Times New Roman"/>
                <w:color w:val="auto"/>
                <w:sz w:val="21"/>
                <w:szCs w:val="21"/>
                <w:highlight w:val="none"/>
              </w:rPr>
              <w:t>、完善附件附图</w:t>
            </w: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补充项目用地红线图附件5、厂址租赁协议附件6</w:t>
            </w:r>
            <w:r>
              <w:rPr>
                <w:rFonts w:hint="eastAsia" w:ascii="Times New Roman"/>
                <w:color w:val="auto"/>
                <w:sz w:val="21"/>
                <w:szCs w:val="21"/>
                <w:highlight w:val="none"/>
                <w:lang w:eastAsia="zh-CN"/>
              </w:rPr>
              <w:t>）</w:t>
            </w:r>
            <w:r>
              <w:rPr>
                <w:rFonts w:hint="eastAsia" w:ascii="Times New Roman"/>
                <w:color w:val="auto"/>
                <w:sz w:val="21"/>
                <w:szCs w:val="21"/>
                <w:highlight w:val="none"/>
              </w:rPr>
              <w:t>。</w:t>
            </w:r>
          </w:p>
        </w:tc>
      </w:tr>
    </w:tbl>
    <w:p>
      <w:pPr>
        <w:bidi w:val="0"/>
        <w:rPr>
          <w:rFonts w:hint="eastAsia"/>
          <w:color w:val="auto"/>
          <w:highlight w:val="none"/>
          <w:lang w:eastAsia="zh-CN"/>
        </w:rPr>
        <w:sectPr>
          <w:pgSz w:w="11906" w:h="16838"/>
          <w:pgMar w:top="1417" w:right="1587" w:bottom="1417" w:left="1587"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0"/>
        <w:jc w:val="center"/>
        <w:outlineLvl w:val="9"/>
        <w:rPr>
          <w:color w:val="auto"/>
          <w:sz w:val="40"/>
          <w:szCs w:val="48"/>
          <w:highlight w:val="none"/>
        </w:rPr>
      </w:pPr>
      <w:r>
        <w:rPr>
          <w:rFonts w:ascii="宋体" w:hAnsi="宋体" w:eastAsia="宋体"/>
          <w:color w:val="auto"/>
          <w:sz w:val="48"/>
          <w:szCs w:val="56"/>
          <w:highlight w:val="none"/>
        </w:rPr>
        <w:t>目录</w:t>
      </w:r>
    </w:p>
    <w:p>
      <w:pPr>
        <w:pStyle w:val="72"/>
        <w:tabs>
          <w:tab w:val="right" w:leader="dot" w:pos="8844"/>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72"/>
        <w:tabs>
          <w:tab w:val="right" w:leader="dot" w:pos="8844"/>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_Toc31260 </w:instrText>
      </w:r>
      <w:r>
        <w:rPr>
          <w:color w:val="auto"/>
          <w:sz w:val="28"/>
          <w:szCs w:val="28"/>
          <w:highlight w:val="none"/>
        </w:rPr>
        <w:fldChar w:fldCharType="separate"/>
      </w:r>
      <w:r>
        <w:rPr>
          <w:rFonts w:hint="eastAsia" w:ascii="黑体" w:hAnsi="黑体" w:eastAsia="黑体"/>
          <w:snapToGrid w:val="0"/>
          <w:color w:val="auto"/>
          <w:sz w:val="28"/>
          <w:szCs w:val="44"/>
          <w:highlight w:val="none"/>
        </w:rPr>
        <w:t>一、建设项目基本情况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_Toc31260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72"/>
        <w:tabs>
          <w:tab w:val="right" w:leader="dot" w:pos="8844"/>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_Toc21080 </w:instrText>
      </w:r>
      <w:r>
        <w:rPr>
          <w:color w:val="auto"/>
          <w:sz w:val="28"/>
          <w:szCs w:val="28"/>
          <w:highlight w:val="none"/>
        </w:rPr>
        <w:fldChar w:fldCharType="separate"/>
      </w:r>
      <w:r>
        <w:rPr>
          <w:rFonts w:hint="eastAsia" w:ascii="黑体" w:hAnsi="黑体" w:eastAsia="黑体"/>
          <w:snapToGrid w:val="0"/>
          <w:color w:val="auto"/>
          <w:sz w:val="28"/>
          <w:szCs w:val="44"/>
          <w:highlight w:val="none"/>
        </w:rPr>
        <w:t>二、建设项目工程分析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_Toc21080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pPr>
        <w:pStyle w:val="72"/>
        <w:tabs>
          <w:tab w:val="right" w:leader="dot" w:pos="8844"/>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_Toc28952 </w:instrText>
      </w:r>
      <w:r>
        <w:rPr>
          <w:color w:val="auto"/>
          <w:sz w:val="28"/>
          <w:szCs w:val="28"/>
          <w:highlight w:val="none"/>
        </w:rPr>
        <w:fldChar w:fldCharType="separate"/>
      </w:r>
      <w:r>
        <w:rPr>
          <w:rFonts w:hint="eastAsia" w:ascii="黑体" w:hAnsi="黑体" w:eastAsia="黑体"/>
          <w:snapToGrid w:val="0"/>
          <w:color w:val="auto"/>
          <w:sz w:val="28"/>
          <w:szCs w:val="44"/>
          <w:highlight w:val="none"/>
        </w:rPr>
        <w:t>三、区域环境质量现状、环境保护目标及评价标准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_Toc28952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pPr>
        <w:pStyle w:val="72"/>
        <w:tabs>
          <w:tab w:val="right" w:leader="dot" w:pos="8844"/>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_Toc23598 </w:instrText>
      </w:r>
      <w:r>
        <w:rPr>
          <w:color w:val="auto"/>
          <w:sz w:val="28"/>
          <w:szCs w:val="28"/>
          <w:highlight w:val="none"/>
        </w:rPr>
        <w:fldChar w:fldCharType="separate"/>
      </w:r>
      <w:r>
        <w:rPr>
          <w:rFonts w:hint="eastAsia" w:ascii="黑体" w:hAnsi="黑体" w:eastAsia="黑体"/>
          <w:snapToGrid w:val="0"/>
          <w:color w:val="auto"/>
          <w:sz w:val="28"/>
          <w:szCs w:val="44"/>
          <w:highlight w:val="none"/>
        </w:rPr>
        <w:t>四、主要环境影响和保护措施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_Toc23598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72"/>
        <w:tabs>
          <w:tab w:val="right" w:leader="dot" w:pos="8844"/>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_Toc19420 </w:instrText>
      </w:r>
      <w:r>
        <w:rPr>
          <w:color w:val="auto"/>
          <w:sz w:val="28"/>
          <w:szCs w:val="28"/>
          <w:highlight w:val="none"/>
        </w:rPr>
        <w:fldChar w:fldCharType="separate"/>
      </w:r>
      <w:r>
        <w:rPr>
          <w:rFonts w:hint="eastAsia" w:ascii="黑体" w:hAnsi="黑体" w:eastAsia="黑体"/>
          <w:snapToGrid w:val="0"/>
          <w:color w:val="auto"/>
          <w:sz w:val="28"/>
          <w:szCs w:val="44"/>
          <w:highlight w:val="none"/>
        </w:rPr>
        <w:t>五、环境保护措施监督检查清单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_Toc19420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pPr>
        <w:pStyle w:val="72"/>
        <w:tabs>
          <w:tab w:val="right" w:leader="dot" w:pos="8844"/>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_Toc5424 </w:instrText>
      </w:r>
      <w:r>
        <w:rPr>
          <w:color w:val="auto"/>
          <w:sz w:val="28"/>
          <w:szCs w:val="28"/>
          <w:highlight w:val="none"/>
        </w:rPr>
        <w:fldChar w:fldCharType="separate"/>
      </w:r>
      <w:r>
        <w:rPr>
          <w:rFonts w:hint="eastAsia" w:ascii="黑体" w:hAnsi="黑体" w:eastAsia="黑体"/>
          <w:snapToGrid w:val="0"/>
          <w:color w:val="auto"/>
          <w:sz w:val="28"/>
          <w:szCs w:val="44"/>
          <w:highlight w:val="none"/>
        </w:rPr>
        <w:t>六、结论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_Toc5424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72"/>
        <w:tabs>
          <w:tab w:val="right" w:leader="dot" w:pos="8844"/>
        </w:tabs>
        <w:spacing w:line="360" w:lineRule="auto"/>
        <w:rPr>
          <w:color w:val="auto"/>
          <w:highlight w:val="none"/>
        </w:rPr>
      </w:pPr>
      <w:r>
        <w:rPr>
          <w:color w:val="auto"/>
          <w:sz w:val="28"/>
          <w:szCs w:val="28"/>
          <w:highlight w:val="none"/>
        </w:rPr>
        <w:fldChar w:fldCharType="begin"/>
      </w:r>
      <w:r>
        <w:rPr>
          <w:color w:val="auto"/>
          <w:sz w:val="28"/>
          <w:szCs w:val="28"/>
          <w:highlight w:val="none"/>
        </w:rPr>
        <w:instrText xml:space="preserve"> HYPERLINK \l _Toc11915 </w:instrText>
      </w:r>
      <w:r>
        <w:rPr>
          <w:color w:val="auto"/>
          <w:sz w:val="28"/>
          <w:szCs w:val="28"/>
          <w:highlight w:val="none"/>
        </w:rPr>
        <w:fldChar w:fldCharType="separate"/>
      </w:r>
      <w:r>
        <w:rPr>
          <w:rFonts w:hint="eastAsia" w:ascii="黑体" w:hAnsi="黑体" w:eastAsia="黑体"/>
          <w:snapToGrid w:val="0"/>
          <w:color w:val="auto"/>
          <w:sz w:val="28"/>
          <w:szCs w:val="48"/>
          <w:highlight w:val="none"/>
        </w:rPr>
        <w:t>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_Toc11915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color w:val="auto"/>
          <w:sz w:val="28"/>
          <w:szCs w:val="28"/>
          <w:highlight w:val="none"/>
        </w:rPr>
        <w:fldChar w:fldCharType="end"/>
      </w:r>
    </w:p>
    <w:p>
      <w:pPr>
        <w:pStyle w:val="72"/>
        <w:tabs>
          <w:tab w:val="right" w:leader="dot" w:pos="8844"/>
        </w:tabs>
        <w:rPr>
          <w:color w:val="auto"/>
          <w:highlight w:val="none"/>
        </w:rPr>
      </w:pP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b/>
          <w:bCs/>
          <w:color w:val="auto"/>
          <w:highlight w:val="none"/>
          <w:lang w:val="en-US" w:eastAsia="zh-CN"/>
        </w:rPr>
      </w:pPr>
      <w:r>
        <w:rPr>
          <w:color w:val="auto"/>
          <w:highlight w:val="none"/>
        </w:rPr>
        <w:fldChar w:fldCharType="end"/>
      </w:r>
      <w:r>
        <w:rPr>
          <w:rFonts w:hint="eastAsia"/>
          <w:b/>
          <w:bCs/>
          <w:color w:val="auto"/>
          <w:highlight w:val="none"/>
          <w:lang w:val="en-US" w:eastAsia="zh-CN"/>
        </w:rPr>
        <w:t>附图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附图1 项目地理位置图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附图2 总平面图布置图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附图3 环境保护目标图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附图4 监测点位图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附图5-项目建设用地与国土空间规划分区套合图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附件6-临湘达江生物质能源公司用地红线图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附图7 生态保护红线图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附图8 现场照片</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b/>
          <w:bCs/>
          <w:color w:val="auto"/>
          <w:highlight w:val="none"/>
          <w:lang w:val="en-US" w:eastAsia="zh-CN"/>
        </w:rPr>
      </w:pPr>
      <w:r>
        <w:rPr>
          <w:rFonts w:hint="eastAsia"/>
          <w:b/>
          <w:bCs/>
          <w:color w:val="auto"/>
          <w:highlight w:val="none"/>
          <w:lang w:val="en-US" w:eastAsia="zh-CN"/>
        </w:rPr>
        <w:t>附件</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附件1 环评委托书</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附件2 企业营业执照</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附件3 项目备案文件</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附件4 忠防镇同意项目落户的函</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default"/>
          <w:color w:val="auto"/>
          <w:highlight w:val="none"/>
          <w:lang w:val="en-US" w:eastAsia="zh-CN"/>
        </w:rPr>
      </w:pPr>
      <w:r>
        <w:rPr>
          <w:rFonts w:hint="eastAsia"/>
          <w:color w:val="auto"/>
          <w:highlight w:val="none"/>
          <w:lang w:val="en-US" w:eastAsia="zh-CN"/>
        </w:rPr>
        <w:t>附件5 自然资源局关于项目用地纳入国土空间规划情况说明及红线图</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附件6 厂区租赁协议</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附件7 专家意见及签到表</w:t>
      </w:r>
    </w:p>
    <w:p>
      <w:pPr>
        <w:pStyle w:val="20"/>
        <w:jc w:val="left"/>
        <w:outlineLvl w:val="9"/>
        <w:rPr>
          <w:rFonts w:hint="eastAsia"/>
          <w:color w:val="auto"/>
          <w:highlight w:val="none"/>
          <w:lang w:val="en-US" w:eastAsia="zh-CN"/>
        </w:rPr>
      </w:pPr>
    </w:p>
    <w:p>
      <w:pPr>
        <w:pStyle w:val="20"/>
        <w:jc w:val="center"/>
        <w:outlineLvl w:val="0"/>
        <w:rPr>
          <w:rFonts w:hint="eastAsia" w:ascii="黑体" w:hAnsi="黑体" w:eastAsia="黑体"/>
          <w:snapToGrid w:val="0"/>
          <w:color w:val="auto"/>
          <w:sz w:val="30"/>
          <w:szCs w:val="30"/>
          <w:highlight w:val="none"/>
        </w:rPr>
      </w:pPr>
      <w:bookmarkStart w:id="3" w:name="_Toc31260"/>
      <w:r>
        <w:rPr>
          <w:rFonts w:hint="eastAsia" w:ascii="黑体" w:hAnsi="黑体" w:eastAsia="黑体"/>
          <w:snapToGrid w:val="0"/>
          <w:color w:val="auto"/>
          <w:sz w:val="30"/>
          <w:szCs w:val="30"/>
          <w:highlight w:val="none"/>
        </w:rPr>
        <w:t>一、建设项目基本情况</w:t>
      </w:r>
      <w:bookmarkEnd w:id="3"/>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57"/>
        <w:gridCol w:w="2828"/>
        <w:gridCol w:w="1694"/>
        <w:gridCol w:w="2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1357"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建设项目名称</w:t>
            </w:r>
          </w:p>
        </w:tc>
        <w:tc>
          <w:tcPr>
            <w:tcW w:w="7513" w:type="dxa"/>
            <w:gridSpan w:val="3"/>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年产</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万吨生物质</w:t>
            </w:r>
            <w:r>
              <w:rPr>
                <w:rFonts w:hint="eastAsia" w:ascii="宋体" w:hAnsi="宋体" w:cs="宋体"/>
                <w:color w:val="auto"/>
                <w:sz w:val="24"/>
                <w:highlight w:val="none"/>
                <w:lang w:val="en-US" w:eastAsia="zh-CN"/>
              </w:rPr>
              <w:t>颗粒加工建设</w:t>
            </w:r>
            <w:r>
              <w:rPr>
                <w:rFonts w:hint="eastAsia" w:ascii="宋体" w:hAnsi="宋体" w:cs="宋体"/>
                <w:color w:val="auto"/>
                <w:sz w:val="24"/>
                <w:highlight w:val="none"/>
                <w:lang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357"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项目代码</w:t>
            </w:r>
          </w:p>
        </w:tc>
        <w:tc>
          <w:tcPr>
            <w:tcW w:w="7513" w:type="dxa"/>
            <w:gridSpan w:val="3"/>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2403</w:t>
            </w:r>
            <w:r>
              <w:rPr>
                <w:rFonts w:hint="default" w:ascii="Times New Roman" w:hAnsi="Times New Roman" w:cs="Times New Roman"/>
                <w:color w:val="auto"/>
                <w:sz w:val="24"/>
                <w:highlight w:val="none"/>
              </w:rPr>
              <w:t>-430</w:t>
            </w:r>
            <w:r>
              <w:rPr>
                <w:rFonts w:hint="eastAsia" w:ascii="Times New Roman" w:hAnsi="Times New Roman" w:cs="Times New Roman"/>
                <w:color w:val="auto"/>
                <w:sz w:val="24"/>
                <w:highlight w:val="none"/>
                <w:lang w:val="en-US" w:eastAsia="zh-CN"/>
              </w:rPr>
              <w:t>682</w:t>
            </w:r>
            <w:r>
              <w:rPr>
                <w:rFonts w:hint="default" w:ascii="Times New Roman" w:hAnsi="Times New Roman" w:cs="Times New Roman"/>
                <w:color w:val="auto"/>
                <w:sz w:val="24"/>
                <w:highlight w:val="none"/>
              </w:rPr>
              <w:t>3-04-0</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459685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357" w:type="dxa"/>
            <w:noWrap w:val="0"/>
            <w:tcMar>
              <w:top w:w="16" w:type="dxa"/>
              <w:left w:w="16" w:type="dxa"/>
              <w:right w:w="16" w:type="dxa"/>
            </w:tcMar>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建设单位联系人</w:t>
            </w:r>
          </w:p>
        </w:tc>
        <w:tc>
          <w:tcPr>
            <w:tcW w:w="2828"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李江涛</w:t>
            </w:r>
          </w:p>
        </w:tc>
        <w:tc>
          <w:tcPr>
            <w:tcW w:w="1694" w:type="dxa"/>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联系方式</w:t>
            </w:r>
          </w:p>
        </w:tc>
        <w:tc>
          <w:tcPr>
            <w:tcW w:w="2991"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18711287888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1357"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建设地点</w:t>
            </w:r>
          </w:p>
        </w:tc>
        <w:tc>
          <w:tcPr>
            <w:tcW w:w="7513" w:type="dxa"/>
            <w:gridSpan w:val="3"/>
            <w:noWrap w:val="0"/>
            <w:vAlign w:val="center"/>
          </w:tcPr>
          <w:p>
            <w:pPr>
              <w:adjustRightInd w:val="0"/>
              <w:snapToGrid w:val="0"/>
              <w:jc w:val="center"/>
              <w:rPr>
                <w:rFonts w:hint="default" w:ascii="宋体" w:hAnsi="宋体" w:eastAsia="宋体" w:cs="宋体"/>
                <w:color w:val="auto"/>
                <w:sz w:val="24"/>
                <w:highlight w:val="none"/>
                <w:lang w:val="en-US" w:eastAsia="zh-CN"/>
              </w:rPr>
            </w:pPr>
            <w:r>
              <w:rPr>
                <w:color w:val="auto"/>
                <w:sz w:val="24"/>
                <w:highlight w:val="none"/>
                <w:u w:val="single"/>
                <w:lang w:bidi="ar"/>
              </w:rPr>
              <w:t xml:space="preserve"> 湖南  </w:t>
            </w:r>
            <w:r>
              <w:rPr>
                <w:color w:val="auto"/>
                <w:sz w:val="24"/>
                <w:highlight w:val="none"/>
                <w:lang w:bidi="ar"/>
              </w:rPr>
              <w:t>省（自治区）</w:t>
            </w:r>
            <w:r>
              <w:rPr>
                <w:color w:val="auto"/>
                <w:sz w:val="24"/>
                <w:highlight w:val="none"/>
                <w:u w:val="single"/>
                <w:lang w:bidi="ar"/>
              </w:rPr>
              <w:t xml:space="preserve"> 岳阳 </w:t>
            </w:r>
            <w:r>
              <w:rPr>
                <w:color w:val="auto"/>
                <w:sz w:val="24"/>
                <w:highlight w:val="none"/>
                <w:lang w:bidi="ar"/>
              </w:rPr>
              <w:t>市</w:t>
            </w:r>
            <w:r>
              <w:rPr>
                <w:color w:val="auto"/>
                <w:sz w:val="24"/>
                <w:highlight w:val="none"/>
                <w:u w:val="single"/>
                <w:lang w:bidi="ar"/>
              </w:rPr>
              <w:t xml:space="preserve"> </w:t>
            </w:r>
            <w:r>
              <w:rPr>
                <w:rFonts w:hint="eastAsia"/>
                <w:color w:val="auto"/>
                <w:sz w:val="24"/>
                <w:highlight w:val="none"/>
                <w:u w:val="single"/>
                <w:lang w:val="en-US" w:eastAsia="zh-CN" w:bidi="ar"/>
              </w:rPr>
              <w:t>临湘</w:t>
            </w:r>
            <w:r>
              <w:rPr>
                <w:color w:val="auto"/>
                <w:sz w:val="24"/>
                <w:highlight w:val="none"/>
                <w:u w:val="single"/>
                <w:lang w:bidi="ar"/>
              </w:rPr>
              <w:t xml:space="preserve"> </w:t>
            </w:r>
            <w:r>
              <w:rPr>
                <w:rFonts w:hint="eastAsia"/>
                <w:color w:val="auto"/>
                <w:sz w:val="24"/>
                <w:highlight w:val="none"/>
                <w:lang w:val="en-US" w:eastAsia="zh-CN" w:bidi="ar"/>
              </w:rPr>
              <w:t>市</w:t>
            </w:r>
            <w:r>
              <w:rPr>
                <w:color w:val="auto"/>
                <w:sz w:val="24"/>
                <w:highlight w:val="none"/>
                <w:u w:val="single"/>
                <w:lang w:bidi="ar"/>
              </w:rPr>
              <w:t xml:space="preserve"> </w:t>
            </w:r>
            <w:r>
              <w:rPr>
                <w:rFonts w:hint="eastAsia"/>
                <w:color w:val="auto"/>
                <w:sz w:val="24"/>
                <w:highlight w:val="none"/>
                <w:u w:val="single"/>
                <w:lang w:val="en-US" w:eastAsia="zh-CN"/>
              </w:rPr>
              <w:t>忠防镇汀畈社区七房组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357"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地理坐标</w:t>
            </w:r>
          </w:p>
        </w:tc>
        <w:tc>
          <w:tcPr>
            <w:tcW w:w="7513" w:type="dxa"/>
            <w:gridSpan w:val="3"/>
            <w:noWrap w:val="0"/>
            <w:vAlign w:val="center"/>
          </w:tcPr>
          <w:p>
            <w:pPr>
              <w:jc w:val="center"/>
              <w:rPr>
                <w:rFonts w:hint="eastAsia" w:ascii="宋体" w:hAnsi="宋体" w:cs="宋体"/>
                <w:color w:val="auto"/>
                <w:sz w:val="24"/>
                <w:highlight w:val="none"/>
              </w:rPr>
            </w:pPr>
            <w:r>
              <w:rPr>
                <w:color w:val="auto"/>
                <w:sz w:val="24"/>
                <w:highlight w:val="none"/>
              </w:rPr>
              <w:t>（</w:t>
            </w:r>
            <w:r>
              <w:rPr>
                <w:color w:val="auto"/>
                <w:sz w:val="24"/>
                <w:highlight w:val="none"/>
                <w:u w:val="single"/>
              </w:rPr>
              <w:t xml:space="preserve"> 113 </w:t>
            </w:r>
            <w:r>
              <w:rPr>
                <w:color w:val="auto"/>
                <w:sz w:val="24"/>
                <w:highlight w:val="none"/>
              </w:rPr>
              <w:t>度</w:t>
            </w:r>
            <w:r>
              <w:rPr>
                <w:color w:val="auto"/>
                <w:sz w:val="24"/>
                <w:highlight w:val="none"/>
                <w:u w:val="single"/>
              </w:rPr>
              <w:t xml:space="preserve"> </w:t>
            </w:r>
            <w:r>
              <w:rPr>
                <w:rFonts w:hint="eastAsia"/>
                <w:color w:val="auto"/>
                <w:sz w:val="24"/>
                <w:highlight w:val="none"/>
                <w:u w:val="single"/>
                <w:lang w:val="en-US" w:eastAsia="zh-CN"/>
              </w:rPr>
              <w:t>28</w:t>
            </w:r>
            <w:r>
              <w:rPr>
                <w:color w:val="auto"/>
                <w:sz w:val="24"/>
                <w:highlight w:val="none"/>
              </w:rPr>
              <w:t>分</w:t>
            </w:r>
            <w:r>
              <w:rPr>
                <w:color w:val="auto"/>
                <w:sz w:val="24"/>
                <w:highlight w:val="none"/>
                <w:u w:val="single"/>
              </w:rPr>
              <w:t xml:space="preserve"> </w:t>
            </w:r>
            <w:r>
              <w:rPr>
                <w:rFonts w:hint="eastAsia"/>
                <w:color w:val="auto"/>
                <w:sz w:val="24"/>
                <w:highlight w:val="none"/>
                <w:u w:val="single"/>
                <w:lang w:val="en-US" w:eastAsia="zh-CN"/>
              </w:rPr>
              <w:t>23</w:t>
            </w:r>
            <w:r>
              <w:rPr>
                <w:rFonts w:hint="eastAsia"/>
                <w:color w:val="auto"/>
                <w:sz w:val="24"/>
                <w:highlight w:val="none"/>
                <w:u w:val="single"/>
              </w:rPr>
              <w:t>.</w:t>
            </w:r>
            <w:r>
              <w:rPr>
                <w:rFonts w:hint="eastAsia"/>
                <w:color w:val="auto"/>
                <w:sz w:val="24"/>
                <w:highlight w:val="none"/>
                <w:u w:val="single"/>
                <w:lang w:val="en-US" w:eastAsia="zh-CN"/>
              </w:rPr>
              <w:t>303</w:t>
            </w:r>
            <w:r>
              <w:rPr>
                <w:color w:val="auto"/>
                <w:sz w:val="24"/>
                <w:highlight w:val="none"/>
                <w:u w:val="single"/>
              </w:rPr>
              <w:t xml:space="preserve"> </w:t>
            </w:r>
            <w:r>
              <w:rPr>
                <w:color w:val="auto"/>
                <w:sz w:val="24"/>
                <w:highlight w:val="none"/>
              </w:rPr>
              <w:t>秒，</w:t>
            </w:r>
            <w:r>
              <w:rPr>
                <w:color w:val="auto"/>
                <w:sz w:val="24"/>
                <w:highlight w:val="none"/>
                <w:u w:val="single"/>
              </w:rPr>
              <w:t xml:space="preserve"> 29 </w:t>
            </w:r>
            <w:r>
              <w:rPr>
                <w:color w:val="auto"/>
                <w:sz w:val="24"/>
                <w:highlight w:val="none"/>
              </w:rPr>
              <w:t>度</w:t>
            </w:r>
            <w:r>
              <w:rPr>
                <w:color w:val="auto"/>
                <w:sz w:val="24"/>
                <w:highlight w:val="none"/>
                <w:u w:val="single"/>
              </w:rPr>
              <w:t xml:space="preserve"> </w:t>
            </w:r>
            <w:r>
              <w:rPr>
                <w:rFonts w:hint="eastAsia"/>
                <w:color w:val="auto"/>
                <w:sz w:val="24"/>
                <w:highlight w:val="none"/>
                <w:u w:val="single"/>
                <w:lang w:val="en-US" w:eastAsia="zh-CN"/>
              </w:rPr>
              <w:t>21</w:t>
            </w:r>
            <w:r>
              <w:rPr>
                <w:color w:val="auto"/>
                <w:sz w:val="24"/>
                <w:highlight w:val="none"/>
                <w:u w:val="single"/>
              </w:rPr>
              <w:t xml:space="preserve"> </w:t>
            </w:r>
            <w:r>
              <w:rPr>
                <w:color w:val="auto"/>
                <w:sz w:val="24"/>
                <w:highlight w:val="none"/>
              </w:rPr>
              <w:t>分</w:t>
            </w:r>
            <w:r>
              <w:rPr>
                <w:color w:val="auto"/>
                <w:sz w:val="24"/>
                <w:highlight w:val="none"/>
                <w:u w:val="single"/>
              </w:rPr>
              <w:t xml:space="preserve"> </w:t>
            </w:r>
            <w:r>
              <w:rPr>
                <w:rFonts w:hint="eastAsia"/>
                <w:color w:val="auto"/>
                <w:sz w:val="24"/>
                <w:highlight w:val="none"/>
                <w:u w:val="single"/>
                <w:lang w:val="en-US" w:eastAsia="zh-CN"/>
              </w:rPr>
              <w:t>25.509</w:t>
            </w:r>
            <w:r>
              <w:rPr>
                <w:color w:val="auto"/>
                <w:sz w:val="24"/>
                <w:highlight w:val="none"/>
                <w:u w:val="single"/>
              </w:rPr>
              <w:t xml:space="preserve"> </w:t>
            </w:r>
            <w:r>
              <w:rPr>
                <w:color w:val="auto"/>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44" w:hRule="atLeast"/>
          <w:jc w:val="center"/>
        </w:trPr>
        <w:tc>
          <w:tcPr>
            <w:tcW w:w="1357"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国民经济</w:t>
            </w:r>
          </w:p>
          <w:p>
            <w:pPr>
              <w:adjustRightInd w:val="0"/>
              <w:snapToGrid w:val="0"/>
              <w:jc w:val="center"/>
              <w:rPr>
                <w:color w:val="auto"/>
                <w:sz w:val="24"/>
                <w:highlight w:val="none"/>
              </w:rPr>
            </w:pPr>
            <w:r>
              <w:rPr>
                <w:color w:val="auto"/>
                <w:sz w:val="24"/>
                <w:highlight w:val="none"/>
              </w:rPr>
              <w:t>行业类别</w:t>
            </w:r>
          </w:p>
        </w:tc>
        <w:tc>
          <w:tcPr>
            <w:tcW w:w="2828" w:type="dxa"/>
            <w:noWrap w:val="0"/>
            <w:vAlign w:val="center"/>
          </w:tcPr>
          <w:p>
            <w:pPr>
              <w:adjustRightInd w:val="0"/>
              <w:snapToGrid w:val="0"/>
              <w:jc w:val="center"/>
              <w:rPr>
                <w:color w:val="auto"/>
                <w:sz w:val="24"/>
                <w:highlight w:val="none"/>
              </w:rPr>
            </w:pPr>
            <w:r>
              <w:rPr>
                <w:rFonts w:hint="eastAsia"/>
                <w:color w:val="auto"/>
                <w:sz w:val="24"/>
                <w:highlight w:val="none"/>
              </w:rPr>
              <w:t>C2542 生物质致密成型燃料加工</w:t>
            </w:r>
          </w:p>
        </w:tc>
        <w:tc>
          <w:tcPr>
            <w:tcW w:w="1694" w:type="dxa"/>
            <w:noWrap w:val="0"/>
            <w:vAlign w:val="center"/>
          </w:tcPr>
          <w:p>
            <w:pPr>
              <w:adjustRightInd w:val="0"/>
              <w:snapToGrid w:val="0"/>
              <w:jc w:val="center"/>
              <w:rPr>
                <w:rFonts w:ascii="宋体" w:hAnsi="宋体" w:cs="宋体"/>
                <w:color w:val="auto"/>
                <w:sz w:val="24"/>
                <w:highlight w:val="none"/>
              </w:rPr>
            </w:pPr>
            <w:bookmarkStart w:id="4" w:name="_Hlk49843745"/>
            <w:r>
              <w:rPr>
                <w:rFonts w:hint="eastAsia" w:ascii="宋体" w:hAnsi="宋体" w:cs="宋体"/>
                <w:color w:val="auto"/>
                <w:sz w:val="24"/>
                <w:highlight w:val="none"/>
              </w:rPr>
              <w:t>建设项目</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行业类别</w:t>
            </w:r>
            <w:bookmarkEnd w:id="4"/>
          </w:p>
        </w:tc>
        <w:tc>
          <w:tcPr>
            <w:tcW w:w="2991" w:type="dxa"/>
            <w:noWrap w:val="0"/>
            <w:vAlign w:val="center"/>
          </w:tcPr>
          <w:p>
            <w:pPr>
              <w:adjustRightInd w:val="0"/>
              <w:snapToGrid w:val="0"/>
              <w:jc w:val="center"/>
              <w:rPr>
                <w:rFonts w:hint="eastAsia" w:ascii="宋体" w:hAnsi="宋体" w:cs="宋体"/>
                <w:color w:val="auto"/>
                <w:sz w:val="24"/>
                <w:highlight w:val="none"/>
              </w:rPr>
            </w:pPr>
            <w:r>
              <w:rPr>
                <w:rFonts w:hint="eastAsia"/>
                <w:color w:val="auto"/>
                <w:sz w:val="24"/>
                <w:highlight w:val="none"/>
              </w:rPr>
              <w:t>二十二、石油、煤炭及其他燃料加工业 25---43 生物质燃料加工 254---生物质致密成型燃料加工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1357"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建设性质</w:t>
            </w:r>
          </w:p>
        </w:tc>
        <w:tc>
          <w:tcPr>
            <w:tcW w:w="2828" w:type="dxa"/>
            <w:noWrap w:val="0"/>
            <w:vAlign w:val="center"/>
          </w:tcPr>
          <w:p>
            <w:pPr>
              <w:jc w:val="lef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新建（迁建）</w:t>
            </w:r>
          </w:p>
          <w:p>
            <w:pPr>
              <w:jc w:val="left"/>
              <w:rPr>
                <w:rFonts w:hint="eastAsia" w:ascii="宋体" w:hAnsi="宋体" w:cs="宋体"/>
                <w:color w:val="auto"/>
                <w:sz w:val="24"/>
                <w:highlight w:val="none"/>
              </w:rPr>
            </w:pPr>
            <w:r>
              <w:rPr>
                <w:rFonts w:hint="eastAsia" w:ascii="宋体" w:hAnsi="宋体" w:cs="宋体"/>
                <w:color w:val="auto"/>
                <w:sz w:val="24"/>
                <w:highlight w:val="none"/>
              </w:rPr>
              <w:t>□改建</w:t>
            </w:r>
          </w:p>
          <w:p>
            <w:pPr>
              <w:jc w:val="left"/>
              <w:rPr>
                <w:rFonts w:hint="eastAsia" w:ascii="宋体" w:hAnsi="宋体" w:cs="宋体"/>
                <w:color w:val="auto"/>
                <w:sz w:val="24"/>
                <w:highlight w:val="none"/>
              </w:rPr>
            </w:pPr>
            <w:r>
              <w:rPr>
                <w:rFonts w:hint="eastAsia" w:ascii="宋体" w:hAnsi="宋体" w:cs="宋体"/>
                <w:color w:val="auto"/>
                <w:sz w:val="24"/>
                <w:highlight w:val="none"/>
              </w:rPr>
              <w:t>□扩建</w:t>
            </w:r>
          </w:p>
          <w:p>
            <w:pPr>
              <w:jc w:val="left"/>
              <w:rPr>
                <w:rFonts w:ascii="宋体" w:hAnsi="宋体" w:cs="宋体"/>
                <w:color w:val="auto"/>
                <w:sz w:val="24"/>
                <w:highlight w:val="none"/>
              </w:rPr>
            </w:pPr>
            <w:r>
              <w:rPr>
                <w:rFonts w:hint="eastAsia" w:ascii="宋体" w:hAnsi="宋体" w:cs="宋体"/>
                <w:color w:val="auto"/>
                <w:sz w:val="24"/>
                <w:highlight w:val="none"/>
              </w:rPr>
              <w:t>□技术改造</w:t>
            </w:r>
          </w:p>
        </w:tc>
        <w:tc>
          <w:tcPr>
            <w:tcW w:w="1694"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建设项目</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申报情形</w:t>
            </w:r>
          </w:p>
        </w:tc>
        <w:tc>
          <w:tcPr>
            <w:tcW w:w="2991" w:type="dxa"/>
            <w:noWrap w:val="0"/>
            <w:vAlign w:val="center"/>
          </w:tcPr>
          <w:p>
            <w:pPr>
              <w:jc w:val="lef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首次申报项目</w:t>
            </w:r>
            <w:r>
              <w:rPr>
                <w:rFonts w:ascii="宋体" w:hAnsi="宋体" w:cs="宋体"/>
                <w:color w:val="auto"/>
                <w:sz w:val="24"/>
                <w:highlight w:val="none"/>
              </w:rPr>
              <w:t xml:space="preserve">             </w:t>
            </w:r>
          </w:p>
          <w:p>
            <w:pPr>
              <w:jc w:val="left"/>
              <w:rPr>
                <w:rFonts w:ascii="宋体" w:hAnsi="宋体" w:cs="宋体"/>
                <w:color w:val="auto"/>
                <w:sz w:val="24"/>
                <w:highlight w:val="none"/>
              </w:rPr>
            </w:pPr>
            <w:r>
              <w:rPr>
                <w:rFonts w:hint="eastAsia" w:ascii="宋体" w:hAnsi="宋体" w:cs="宋体"/>
                <w:color w:val="auto"/>
                <w:sz w:val="24"/>
                <w:highlight w:val="none"/>
              </w:rPr>
              <w:t>□不予批准后再次申报项目</w:t>
            </w:r>
          </w:p>
          <w:p>
            <w:pPr>
              <w:jc w:val="left"/>
              <w:rPr>
                <w:rFonts w:ascii="宋体" w:hAnsi="宋体" w:cs="宋体"/>
                <w:color w:val="auto"/>
                <w:sz w:val="24"/>
                <w:highlight w:val="none"/>
              </w:rPr>
            </w:pPr>
            <w:r>
              <w:rPr>
                <w:rFonts w:hint="eastAsia" w:ascii="宋体" w:hAnsi="宋体" w:cs="宋体"/>
                <w:color w:val="auto"/>
                <w:sz w:val="24"/>
                <w:highlight w:val="none"/>
              </w:rPr>
              <w:t>□超五年重新审核项目</w:t>
            </w:r>
            <w:r>
              <w:rPr>
                <w:rFonts w:ascii="宋体" w:hAnsi="宋体" w:cs="宋体"/>
                <w:color w:val="auto"/>
                <w:sz w:val="24"/>
                <w:highlight w:val="none"/>
              </w:rPr>
              <w:t xml:space="preserve">     </w:t>
            </w:r>
          </w:p>
          <w:p>
            <w:pPr>
              <w:jc w:val="left"/>
              <w:rPr>
                <w:rFonts w:ascii="宋体" w:hAnsi="宋体" w:cs="宋体"/>
                <w:color w:val="auto"/>
                <w:sz w:val="24"/>
                <w:highlight w:val="none"/>
              </w:rPr>
            </w:pPr>
            <w:r>
              <w:rPr>
                <w:rFonts w:hint="eastAsia" w:ascii="宋体" w:hAnsi="宋体" w:cs="宋体"/>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357"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项目审批（核准</w:t>
            </w:r>
            <w:r>
              <w:rPr>
                <w:rFonts w:ascii="宋体" w:hAnsi="宋体" w:cs="宋体"/>
                <w:color w:val="auto"/>
                <w:sz w:val="24"/>
                <w:highlight w:val="none"/>
              </w:rPr>
              <w:t>/</w:t>
            </w:r>
            <w:r>
              <w:rPr>
                <w:rFonts w:hint="eastAsia" w:ascii="宋体" w:hAnsi="宋体" w:cs="宋体"/>
                <w:color w:val="auto"/>
                <w:sz w:val="24"/>
                <w:highlight w:val="none"/>
              </w:rPr>
              <w:t>备案）部门（选填）</w:t>
            </w:r>
          </w:p>
        </w:tc>
        <w:tc>
          <w:tcPr>
            <w:tcW w:w="2828" w:type="dxa"/>
            <w:noWrap w:val="0"/>
            <w:vAlign w:val="center"/>
          </w:tcPr>
          <w:p>
            <w:pPr>
              <w:adjustRightInd w:val="0"/>
              <w:snapToGrid w:val="0"/>
              <w:jc w:val="center"/>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rPr>
              <w:t>岳阳市</w:t>
            </w:r>
            <w:r>
              <w:rPr>
                <w:rFonts w:hint="eastAsia" w:ascii="宋体" w:hAnsi="宋体" w:cs="宋体"/>
                <w:color w:val="auto"/>
                <w:sz w:val="24"/>
                <w:highlight w:val="none"/>
                <w:u w:val="none"/>
                <w:lang w:val="en-US" w:eastAsia="zh-CN"/>
              </w:rPr>
              <w:t>临湘市</w:t>
            </w:r>
          </w:p>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u w:val="none"/>
              </w:rPr>
              <w:t>发展和改革局</w:t>
            </w:r>
          </w:p>
        </w:tc>
        <w:tc>
          <w:tcPr>
            <w:tcW w:w="1694"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项目审批（核准</w:t>
            </w:r>
            <w:r>
              <w:rPr>
                <w:rFonts w:ascii="宋体" w:hAnsi="宋体" w:cs="宋体"/>
                <w:color w:val="auto"/>
                <w:sz w:val="24"/>
                <w:highlight w:val="none"/>
              </w:rPr>
              <w:t>/</w:t>
            </w:r>
          </w:p>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备案）文号（选填）</w:t>
            </w:r>
          </w:p>
        </w:tc>
        <w:tc>
          <w:tcPr>
            <w:tcW w:w="2991"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u w:val="none"/>
                <w:lang w:val="en-US" w:eastAsia="zh-CN"/>
              </w:rPr>
              <w:t>临</w:t>
            </w:r>
            <w:r>
              <w:rPr>
                <w:rFonts w:hint="eastAsia" w:ascii="宋体" w:hAnsi="宋体" w:cs="宋体"/>
                <w:color w:val="auto"/>
                <w:sz w:val="24"/>
                <w:highlight w:val="none"/>
                <w:u w:val="none"/>
              </w:rPr>
              <w:t>发改备</w:t>
            </w:r>
            <w:r>
              <w:rPr>
                <w:rFonts w:hint="eastAsia" w:ascii="宋体" w:hAnsi="宋体" w:cs="宋体"/>
                <w:color w:val="auto"/>
                <w:sz w:val="24"/>
                <w:highlight w:val="none"/>
                <w:u w:val="none"/>
                <w:lang w:val="en-US" w:eastAsia="zh-CN"/>
              </w:rPr>
              <w:t>案</w:t>
            </w:r>
            <w:r>
              <w:rPr>
                <w:rFonts w:hint="eastAsia" w:ascii="宋体" w:hAnsi="宋体" w:cs="宋体"/>
                <w:color w:val="auto"/>
                <w:sz w:val="24"/>
                <w:highlight w:val="none"/>
                <w:u w:val="none"/>
              </w:rPr>
              <w:t xml:space="preserve"> [202</w:t>
            </w: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24</w:t>
            </w:r>
            <w:r>
              <w:rPr>
                <w:rFonts w:hint="eastAsia" w:ascii="宋体" w:hAnsi="宋体" w:cs="宋体"/>
                <w:color w:val="auto"/>
                <w:sz w:val="24"/>
                <w:highlight w:val="none"/>
                <w:u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357"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总投资</w:t>
            </w:r>
          </w:p>
          <w:p>
            <w:pPr>
              <w:adjustRightInd w:val="0"/>
              <w:snapToGrid w:val="0"/>
              <w:jc w:val="center"/>
              <w:rPr>
                <w:color w:val="auto"/>
                <w:sz w:val="24"/>
                <w:highlight w:val="none"/>
              </w:rPr>
            </w:pPr>
            <w:r>
              <w:rPr>
                <w:color w:val="auto"/>
                <w:sz w:val="24"/>
                <w:highlight w:val="none"/>
              </w:rPr>
              <w:t>（万元）</w:t>
            </w:r>
          </w:p>
        </w:tc>
        <w:tc>
          <w:tcPr>
            <w:tcW w:w="2828"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580</w:t>
            </w:r>
          </w:p>
        </w:tc>
        <w:tc>
          <w:tcPr>
            <w:tcW w:w="1694" w:type="dxa"/>
            <w:noWrap w:val="0"/>
            <w:tcMar>
              <w:top w:w="16" w:type="dxa"/>
              <w:left w:w="16" w:type="dxa"/>
              <w:right w:w="16" w:type="dxa"/>
            </w:tcMar>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环保投资</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（万元）</w:t>
            </w:r>
          </w:p>
        </w:tc>
        <w:tc>
          <w:tcPr>
            <w:tcW w:w="2991" w:type="dxa"/>
            <w:noWrap w:val="0"/>
            <w:vAlign w:val="center"/>
          </w:tcPr>
          <w:p>
            <w:pPr>
              <w:adjustRightInd w:val="0"/>
              <w:snapToGrid w:val="0"/>
              <w:jc w:val="center"/>
              <w:rPr>
                <w:rFonts w:hint="default" w:ascii="宋体" w:hAnsi="宋体" w:eastAsia="宋体" w:cs="宋体"/>
                <w:color w:val="auto"/>
                <w:sz w:val="24"/>
                <w:highlight w:val="none"/>
                <w:lang w:val="en-US" w:eastAsia="zh-CN"/>
              </w:rPr>
            </w:pPr>
            <w:r>
              <w:rPr>
                <w:rFonts w:hint="eastAsia"/>
                <w:color w:val="auto"/>
                <w:sz w:val="24"/>
                <w:highlight w:val="none"/>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357"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环保投资占比（</w:t>
            </w:r>
            <w:r>
              <w:rPr>
                <w:rFonts w:ascii="宋体" w:hAnsi="宋体" w:cs="宋体"/>
                <w:color w:val="auto"/>
                <w:sz w:val="24"/>
                <w:highlight w:val="none"/>
              </w:rPr>
              <w:t>%</w:t>
            </w:r>
            <w:r>
              <w:rPr>
                <w:rFonts w:hint="eastAsia" w:ascii="宋体" w:hAnsi="宋体" w:cs="宋体"/>
                <w:color w:val="auto"/>
                <w:sz w:val="24"/>
                <w:highlight w:val="none"/>
              </w:rPr>
              <w:t>）</w:t>
            </w:r>
          </w:p>
        </w:tc>
        <w:tc>
          <w:tcPr>
            <w:tcW w:w="2828" w:type="dxa"/>
            <w:noWrap w:val="0"/>
            <w:vAlign w:val="center"/>
          </w:tcPr>
          <w:p>
            <w:pPr>
              <w:adjustRightInd w:val="0"/>
              <w:snapToGrid w:val="0"/>
              <w:jc w:val="center"/>
              <w:rPr>
                <w:rFonts w:hint="default" w:ascii="宋体" w:hAnsi="宋体" w:eastAsia="宋体" w:cs="宋体"/>
                <w:color w:val="auto"/>
                <w:sz w:val="24"/>
                <w:highlight w:val="none"/>
                <w:lang w:val="en-US" w:eastAsia="zh-CN"/>
              </w:rPr>
            </w:pPr>
            <w:r>
              <w:rPr>
                <w:rFonts w:hint="eastAsia" w:eastAsia="宋体"/>
                <w:color w:val="auto"/>
                <w:sz w:val="24"/>
                <w:highlight w:val="none"/>
                <w:lang w:val="en-US" w:eastAsia="zh-CN"/>
              </w:rPr>
              <w:t>8.3</w:t>
            </w:r>
          </w:p>
        </w:tc>
        <w:tc>
          <w:tcPr>
            <w:tcW w:w="1694" w:type="dxa"/>
            <w:noWrap w:val="0"/>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施工工期</w:t>
            </w:r>
          </w:p>
        </w:tc>
        <w:tc>
          <w:tcPr>
            <w:tcW w:w="2991" w:type="dxa"/>
            <w:noWrap w:val="0"/>
            <w:vAlign w:val="center"/>
          </w:tcPr>
          <w:p>
            <w:pPr>
              <w:adjustRightInd w:val="0"/>
              <w:snapToGrid w:val="0"/>
              <w:jc w:val="center"/>
              <w:rPr>
                <w:rFonts w:ascii="宋体" w:hAnsi="宋体" w:cs="宋体"/>
                <w:color w:val="auto"/>
                <w:sz w:val="24"/>
                <w:highlight w:val="none"/>
              </w:rPr>
            </w:pPr>
            <w:r>
              <w:rPr>
                <w:rFonts w:hint="eastAsia"/>
                <w:color w:val="auto"/>
                <w:sz w:val="24"/>
                <w:highlight w:val="none"/>
                <w:lang w:val="en-US" w:eastAsia="zh-CN"/>
              </w:rPr>
              <w:t>6</w:t>
            </w:r>
            <w:r>
              <w:rPr>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1357" w:type="dxa"/>
            <w:noWrap w:val="0"/>
            <w:tcMar>
              <w:top w:w="16" w:type="dxa"/>
              <w:left w:w="16" w:type="dxa"/>
              <w:right w:w="16" w:type="dxa"/>
            </w:tcMar>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是否开工建设</w:t>
            </w:r>
          </w:p>
        </w:tc>
        <w:tc>
          <w:tcPr>
            <w:tcW w:w="2828" w:type="dxa"/>
            <w:noWrap w:val="0"/>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pPr>
              <w:adjustRightInd w:val="0"/>
              <w:snapToGrid w:val="0"/>
              <w:rPr>
                <w:rFonts w:hint="default" w:ascii="宋体" w:hAnsi="宋体" w:cs="宋体"/>
                <w:color w:val="auto"/>
                <w:sz w:val="24"/>
                <w:highlight w:val="none"/>
                <w:lang w:val="en-US"/>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p>
        </w:tc>
        <w:tc>
          <w:tcPr>
            <w:tcW w:w="1694" w:type="dxa"/>
            <w:noWrap w:val="0"/>
            <w:tcMar>
              <w:top w:w="16" w:type="dxa"/>
              <w:left w:w="16" w:type="dxa"/>
              <w:right w:w="16" w:type="dxa"/>
            </w:tcMar>
            <w:vAlign w:val="center"/>
          </w:tcPr>
          <w:p>
            <w:pPr>
              <w:adjustRightInd w:val="0"/>
              <w:snapToGrid w:val="0"/>
              <w:jc w:val="center"/>
              <w:rPr>
                <w:rFonts w:ascii="宋体" w:hAnsi="宋体" w:cs="宋体"/>
                <w:color w:val="auto"/>
                <w:spacing w:val="-6"/>
                <w:sz w:val="24"/>
                <w:highlight w:val="none"/>
              </w:rPr>
            </w:pPr>
            <w:r>
              <w:rPr>
                <w:rFonts w:hint="eastAsia" w:ascii="宋体" w:hAnsi="宋体" w:cs="宋体"/>
                <w:color w:val="auto"/>
                <w:spacing w:val="-6"/>
                <w:sz w:val="24"/>
                <w:highlight w:val="none"/>
              </w:rPr>
              <w:t>用地（用海）</w:t>
            </w:r>
          </w:p>
          <w:p>
            <w:pPr>
              <w:adjustRightInd w:val="0"/>
              <w:snapToGrid w:val="0"/>
              <w:jc w:val="center"/>
              <w:rPr>
                <w:rFonts w:hint="eastAsia" w:ascii="宋体" w:hAnsi="宋体" w:cs="宋体"/>
                <w:color w:val="auto"/>
                <w:sz w:val="24"/>
                <w:highlight w:val="none"/>
              </w:rPr>
            </w:pPr>
            <w:r>
              <w:rPr>
                <w:rFonts w:hint="eastAsia" w:ascii="宋体" w:hAnsi="宋体" w:cs="宋体"/>
                <w:color w:val="auto"/>
                <w:spacing w:val="-6"/>
                <w:sz w:val="24"/>
                <w:highlight w:val="none"/>
              </w:rPr>
              <w:t>面积（</w:t>
            </w:r>
            <w:r>
              <w:rPr>
                <w:rFonts w:ascii="宋体" w:hAnsi="宋体" w:cs="宋体"/>
                <w:color w:val="auto"/>
                <w:spacing w:val="-6"/>
                <w:sz w:val="24"/>
                <w:highlight w:val="none"/>
              </w:rPr>
              <w:t>m</w:t>
            </w:r>
            <w:r>
              <w:rPr>
                <w:rFonts w:ascii="宋体" w:hAnsi="宋体" w:cs="宋体"/>
                <w:color w:val="auto"/>
                <w:spacing w:val="-6"/>
                <w:sz w:val="24"/>
                <w:highlight w:val="none"/>
                <w:vertAlign w:val="superscript"/>
              </w:rPr>
              <w:t>2</w:t>
            </w:r>
            <w:r>
              <w:rPr>
                <w:rFonts w:hint="eastAsia" w:ascii="宋体" w:hAnsi="宋体" w:cs="宋体"/>
                <w:color w:val="auto"/>
                <w:spacing w:val="-6"/>
                <w:sz w:val="24"/>
                <w:highlight w:val="none"/>
              </w:rPr>
              <w:t>）</w:t>
            </w:r>
          </w:p>
        </w:tc>
        <w:tc>
          <w:tcPr>
            <w:tcW w:w="2991" w:type="dxa"/>
            <w:noWrap w:val="0"/>
            <w:vAlign w:val="center"/>
          </w:tcPr>
          <w:p>
            <w:pPr>
              <w:adjustRightInd w:val="0"/>
              <w:snapToGrid w:val="0"/>
              <w:jc w:val="center"/>
              <w:rPr>
                <w:rFonts w:hint="default" w:ascii="宋体" w:hAnsi="宋体" w:eastAsia="宋体" w:cs="宋体"/>
                <w:color w:val="auto"/>
                <w:sz w:val="24"/>
                <w:highlight w:val="none"/>
                <w:lang w:val="en-US" w:eastAsia="zh-CN"/>
              </w:rPr>
            </w:pPr>
            <w:r>
              <w:rPr>
                <w:rFonts w:hint="default" w:ascii="Times New Roman" w:hAnsi="Times New Roman" w:cs="Times New Roman"/>
                <w:color w:val="auto"/>
                <w:sz w:val="24"/>
                <w:highlight w:val="none"/>
                <w:u w:val="none"/>
                <w:lang w:val="en-US" w:eastAsia="zh-CN"/>
              </w:rPr>
              <w:t>13333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57" w:type="dxa"/>
            <w:noWrap w:val="0"/>
            <w:vAlign w:val="center"/>
          </w:tcPr>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专项评价设置情况</w:t>
            </w:r>
          </w:p>
        </w:tc>
        <w:tc>
          <w:tcPr>
            <w:tcW w:w="7513" w:type="dxa"/>
            <w:gridSpan w:val="3"/>
            <w:noWrap w:val="0"/>
            <w:vAlign w:val="center"/>
          </w:tcPr>
          <w:p>
            <w:pPr>
              <w:autoSpaceDE w:val="0"/>
              <w:autoSpaceDN w:val="0"/>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57" w:type="dxa"/>
            <w:noWrap w:val="0"/>
            <w:vAlign w:val="center"/>
          </w:tcPr>
          <w:p>
            <w:pPr>
              <w:autoSpaceDE w:val="0"/>
              <w:autoSpaceDN w:val="0"/>
              <w:adjustRightInd w:val="0"/>
              <w:snapToGrid w:val="0"/>
              <w:jc w:val="center"/>
              <w:rPr>
                <w:rFonts w:hint="eastAsia" w:ascii="宋体" w:hAnsi="宋体" w:cs="宋体"/>
                <w:color w:val="auto"/>
                <w:kern w:val="0"/>
                <w:sz w:val="24"/>
                <w:highlight w:val="none"/>
              </w:rPr>
            </w:pPr>
            <w:r>
              <w:rPr>
                <w:rFonts w:hint="eastAsia" w:ascii="宋体" w:hAnsi="宋体" w:cs="宋体"/>
                <w:color w:val="auto"/>
                <w:sz w:val="24"/>
                <w:highlight w:val="none"/>
              </w:rPr>
              <w:t>规划情况</w:t>
            </w:r>
          </w:p>
        </w:tc>
        <w:tc>
          <w:tcPr>
            <w:tcW w:w="75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highlight w:val="none"/>
                <w:lang w:val="en-US" w:eastAsia="zh-CN"/>
              </w:rPr>
            </w:pPr>
            <w:r>
              <w:rPr>
                <w:rFonts w:hint="eastAsia" w:ascii="Times New Roman" w:hAnsi="Times New Roman" w:eastAsia="宋体" w:cs="Times New Roman"/>
                <w:color w:val="auto"/>
                <w:sz w:val="24"/>
                <w:highlight w:val="none"/>
                <w:u w:val="none"/>
                <w:lang w:val="en-US" w:eastAsia="zh-CN"/>
              </w:rPr>
              <w:t>临湘市国土空间总体</w:t>
            </w:r>
            <w:r>
              <w:rPr>
                <w:rFonts w:hint="default" w:ascii="Times New Roman" w:hAnsi="Times New Roman" w:eastAsia="宋体" w:cs="Times New Roman"/>
                <w:color w:val="auto"/>
                <w:sz w:val="24"/>
                <w:highlight w:val="none"/>
                <w:u w:val="none"/>
                <w:lang w:val="en-US" w:eastAsia="zh-CN"/>
              </w:rPr>
              <w:t>总体规划（20</w:t>
            </w:r>
            <w:r>
              <w:rPr>
                <w:rFonts w:hint="eastAsia" w:ascii="Times New Roman" w:hAnsi="Times New Roman" w:eastAsia="宋体" w:cs="Times New Roman"/>
                <w:color w:val="auto"/>
                <w:sz w:val="24"/>
                <w:highlight w:val="none"/>
                <w:u w:val="none"/>
                <w:lang w:val="en-US" w:eastAsia="zh-CN"/>
              </w:rPr>
              <w:t>21</w:t>
            </w:r>
            <w:r>
              <w:rPr>
                <w:rFonts w:hint="default" w:ascii="Times New Roman" w:hAnsi="Times New Roman" w:eastAsia="宋体" w:cs="Times New Roman"/>
                <w:color w:val="auto"/>
                <w:sz w:val="24"/>
                <w:highlight w:val="none"/>
                <w:u w:val="none"/>
                <w:lang w:val="en-US" w:eastAsia="zh-CN"/>
              </w:rPr>
              <w:t>—203</w:t>
            </w:r>
            <w:r>
              <w:rPr>
                <w:rFonts w:hint="eastAsia" w:ascii="Times New Roman" w:hAnsi="Times New Roman" w:eastAsia="宋体" w:cs="Times New Roman"/>
                <w:color w:val="auto"/>
                <w:sz w:val="24"/>
                <w:highlight w:val="none"/>
                <w:u w:val="none"/>
                <w:lang w:val="en-US" w:eastAsia="zh-CN"/>
              </w:rPr>
              <w:t>5</w:t>
            </w:r>
            <w:r>
              <w:rPr>
                <w:rFonts w:hint="default" w:ascii="Times New Roman" w:hAnsi="Times New Roman" w:eastAsia="宋体" w:cs="Times New Roman"/>
                <w:color w:val="auto"/>
                <w:sz w:val="24"/>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57" w:type="dxa"/>
            <w:noWrap w:val="0"/>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sz w:val="24"/>
                <w:highlight w:val="none"/>
              </w:rPr>
              <w:t>规划环境影响评价情况</w:t>
            </w:r>
          </w:p>
        </w:tc>
        <w:tc>
          <w:tcPr>
            <w:tcW w:w="7513"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highlight w:val="none"/>
                <w:lang w:eastAsia="zh-CN"/>
              </w:rPr>
            </w:pPr>
            <w:r>
              <w:rPr>
                <w:rFonts w:hint="eastAsia"/>
                <w:color w:val="auto"/>
                <w:kern w:val="0"/>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57" w:type="dxa"/>
            <w:noWrap w:val="0"/>
            <w:vAlign w:val="center"/>
          </w:tcPr>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规划及规划环境影响评价符合性分析</w:t>
            </w:r>
          </w:p>
        </w:tc>
        <w:tc>
          <w:tcPr>
            <w:tcW w:w="75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Times New Roman" w:hAnsi="Times New Roman" w:eastAsia="宋体" w:cs="Times New Roman"/>
                <w:color w:val="auto"/>
                <w:kern w:val="0"/>
                <w:sz w:val="24"/>
                <w:highlight w:val="none"/>
                <w:u w:val="none"/>
                <w:lang w:val="en-US" w:eastAsia="zh-CN"/>
              </w:rPr>
              <w:t>根据忠防镇土地利用总体规划图，结合临湘市自然资源局出具的国土空间规划情况说明（附件5）及忠防镇人民政府出具的项目落户函（附件4）中的用地性质为工业用地，项目选址符合忠防镇整体规划、土地利用规划及产业布局，因此本项目符合</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临湘市国土空间总体</w:t>
            </w:r>
            <w:r>
              <w:rPr>
                <w:rFonts w:hint="default" w:ascii="Times New Roman" w:hAnsi="Times New Roman" w:eastAsia="宋体" w:cs="Times New Roman"/>
                <w:color w:val="auto"/>
                <w:sz w:val="24"/>
                <w:highlight w:val="none"/>
                <w:u w:val="none"/>
                <w:lang w:val="en-US" w:eastAsia="zh-CN"/>
              </w:rPr>
              <w:t>总体规划（20</w:t>
            </w:r>
            <w:r>
              <w:rPr>
                <w:rFonts w:hint="eastAsia" w:ascii="Times New Roman" w:hAnsi="Times New Roman" w:eastAsia="宋体" w:cs="Times New Roman"/>
                <w:color w:val="auto"/>
                <w:sz w:val="24"/>
                <w:highlight w:val="none"/>
                <w:u w:val="none"/>
                <w:lang w:val="en-US" w:eastAsia="zh-CN"/>
              </w:rPr>
              <w:t>21</w:t>
            </w:r>
            <w:r>
              <w:rPr>
                <w:rFonts w:hint="default" w:ascii="Times New Roman" w:hAnsi="Times New Roman" w:eastAsia="宋体" w:cs="Times New Roman"/>
                <w:color w:val="auto"/>
                <w:sz w:val="24"/>
                <w:highlight w:val="none"/>
                <w:u w:val="none"/>
                <w:lang w:val="en-US" w:eastAsia="zh-CN"/>
              </w:rPr>
              <w:t>—203</w:t>
            </w:r>
            <w:r>
              <w:rPr>
                <w:rFonts w:hint="eastAsia" w:ascii="Times New Roman" w:hAnsi="Times New Roman" w:eastAsia="宋体" w:cs="Times New Roman"/>
                <w:color w:val="auto"/>
                <w:sz w:val="24"/>
                <w:highlight w:val="none"/>
                <w:u w:val="none"/>
                <w:lang w:val="en-US" w:eastAsia="zh-CN"/>
              </w:rPr>
              <w:t>5</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eastAsia="宋体" w:cs="Times New Roman"/>
                <w:color w:val="auto"/>
                <w:sz w:val="24"/>
                <w:highlight w:val="none"/>
                <w:u w:val="none"/>
                <w:lang w:val="en-US" w:eastAsia="zh-CN"/>
              </w:rPr>
              <w:t>和</w:t>
            </w:r>
            <w:r>
              <w:rPr>
                <w:rFonts w:hint="eastAsia" w:ascii="Times New Roman" w:hAnsi="Times New Roman" w:eastAsia="宋体" w:cs="Times New Roman"/>
                <w:color w:val="auto"/>
                <w:kern w:val="0"/>
                <w:sz w:val="24"/>
                <w:highlight w:val="none"/>
                <w:u w:val="none"/>
                <w:lang w:val="en-US" w:eastAsia="zh-CN"/>
              </w:rPr>
              <w:t>《忠防镇土地利用总体规划》要求。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7" w:type="dxa"/>
            <w:noWrap w:val="0"/>
            <w:vAlign w:val="center"/>
          </w:tcPr>
          <w:p>
            <w:pPr>
              <w:autoSpaceDE w:val="0"/>
              <w:autoSpaceDN w:val="0"/>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其他符合性分析</w:t>
            </w:r>
          </w:p>
        </w:tc>
        <w:tc>
          <w:tcPr>
            <w:tcW w:w="7513" w:type="dxa"/>
            <w:gridSpan w:val="3"/>
            <w:noWrap w:val="0"/>
            <w:vAlign w:val="center"/>
          </w:tcPr>
          <w:p>
            <w:pPr>
              <w:numPr>
                <w:ilvl w:val="0"/>
                <w:numId w:val="3"/>
              </w:numPr>
              <w:autoSpaceDE w:val="0"/>
              <w:autoSpaceDN w:val="0"/>
              <w:adjustRightInd w:val="0"/>
              <w:snapToGri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产业政策符合性分析</w:t>
            </w:r>
          </w:p>
          <w:p>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kern w:val="0"/>
                <w:sz w:val="24"/>
                <w:highlight w:val="none"/>
                <w:u w:val="single"/>
              </w:rPr>
            </w:pPr>
            <w:r>
              <w:rPr>
                <w:rFonts w:hint="eastAsia"/>
                <w:color w:val="auto"/>
                <w:kern w:val="0"/>
                <w:sz w:val="24"/>
                <w:highlight w:val="none"/>
                <w:u w:val="single"/>
              </w:rPr>
              <w:t>本项目为生物质颗粒生产项目，根据国家发展和改革委员会发布的</w:t>
            </w:r>
            <w:r>
              <w:rPr>
                <w:rFonts w:hint="eastAsia" w:ascii="Times New Roman" w:hAnsi="Times New Roman" w:eastAsia="宋体" w:cs="Times New Roman"/>
                <w:color w:val="auto"/>
                <w:kern w:val="0"/>
                <w:sz w:val="24"/>
                <w:highlight w:val="none"/>
                <w:u w:val="single"/>
              </w:rPr>
              <w:t>《产业结构调整指导目录（20</w:t>
            </w:r>
            <w:r>
              <w:rPr>
                <w:rFonts w:hint="eastAsia" w:ascii="Times New Roman" w:hAnsi="Times New Roman" w:eastAsia="宋体" w:cs="Times New Roman"/>
                <w:color w:val="auto"/>
                <w:kern w:val="0"/>
                <w:sz w:val="24"/>
                <w:highlight w:val="none"/>
                <w:u w:val="single"/>
                <w:lang w:val="en-US" w:eastAsia="zh-CN"/>
              </w:rPr>
              <w:t>24</w:t>
            </w:r>
            <w:r>
              <w:rPr>
                <w:rFonts w:hint="eastAsia" w:ascii="Times New Roman" w:hAnsi="Times New Roman" w:eastAsia="宋体" w:cs="Times New Roman"/>
                <w:color w:val="auto"/>
                <w:kern w:val="0"/>
                <w:sz w:val="24"/>
                <w:highlight w:val="none"/>
                <w:u w:val="single"/>
              </w:rPr>
              <w:t>年本）》，本项目属于“</w:t>
            </w:r>
            <w:r>
              <w:rPr>
                <w:rFonts w:hint="eastAsia" w:ascii="Times New Roman" w:hAnsi="Times New Roman" w:eastAsia="宋体" w:cs="Times New Roman"/>
                <w:color w:val="auto"/>
                <w:kern w:val="0"/>
                <w:sz w:val="24"/>
                <w:highlight w:val="none"/>
                <w:u w:val="single"/>
                <w:lang w:val="en-US" w:eastAsia="zh-CN"/>
              </w:rPr>
              <w:t>鼓励</w:t>
            </w:r>
            <w:r>
              <w:rPr>
                <w:rFonts w:hint="eastAsia" w:ascii="Times New Roman" w:hAnsi="Times New Roman" w:eastAsia="宋体" w:cs="Times New Roman"/>
                <w:color w:val="auto"/>
                <w:kern w:val="0"/>
                <w:sz w:val="24"/>
                <w:highlight w:val="none"/>
                <w:u w:val="single"/>
              </w:rPr>
              <w:t>类”项目；根据《市场准入负面清单（2022年版）》，本项目不在负面清单所列行业范围，不涉及“禁止准入类”。因此，本项目生产产品、生产设备、生产工艺等，符合国家和地方产业政策的要求。</w:t>
            </w:r>
          </w:p>
          <w:p>
            <w:pPr>
              <w:numPr>
                <w:ilvl w:val="0"/>
                <w:numId w:val="3"/>
              </w:numPr>
              <w:autoSpaceDE w:val="0"/>
              <w:autoSpaceDN w:val="0"/>
              <w:adjustRightInd w:val="0"/>
              <w:snapToGrid w:val="0"/>
              <w:spacing w:line="360" w:lineRule="auto"/>
              <w:jc w:val="left"/>
              <w:rPr>
                <w:rFonts w:hint="eastAsia" w:ascii="宋体" w:hAnsi="宋体" w:cs="宋体"/>
                <w:b/>
                <w:bCs/>
                <w:color w:val="auto"/>
                <w:kern w:val="0"/>
                <w:sz w:val="24"/>
                <w:highlight w:val="none"/>
                <w:u w:val="none"/>
              </w:rPr>
            </w:pPr>
            <w:r>
              <w:rPr>
                <w:rFonts w:hint="eastAsia" w:ascii="宋体" w:hAnsi="宋体" w:cs="宋体"/>
                <w:b/>
                <w:bCs/>
                <w:color w:val="auto"/>
                <w:kern w:val="0"/>
                <w:sz w:val="24"/>
                <w:highlight w:val="none"/>
                <w:u w:val="none"/>
                <w:lang w:val="en-US" w:eastAsia="zh-CN"/>
              </w:rPr>
              <w:t>选址合理性分析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highlight w:val="none"/>
                <w:u w:val="none"/>
                <w:lang w:val="en-US" w:eastAsia="zh-CN"/>
              </w:rPr>
            </w:pPr>
            <w:r>
              <w:rPr>
                <w:rFonts w:hint="eastAsia" w:ascii="Times New Roman" w:hAnsi="Times New Roman" w:eastAsia="宋体" w:cs="Times New Roman"/>
                <w:color w:val="auto"/>
                <w:kern w:val="0"/>
                <w:sz w:val="24"/>
                <w:highlight w:val="none"/>
                <w:u w:val="single"/>
                <w:lang w:val="en-US" w:eastAsia="zh-CN"/>
              </w:rPr>
              <w:t>项目位于临湘市忠防镇汀畈社区七房组，依托原</w:t>
            </w:r>
            <w:r>
              <w:rPr>
                <w:rFonts w:hint="eastAsia" w:cs="Times New Roman"/>
                <w:color w:val="auto"/>
                <w:kern w:val="0"/>
                <w:sz w:val="24"/>
                <w:highlight w:val="none"/>
                <w:u w:val="single"/>
                <w:lang w:val="en-US" w:eastAsia="zh-CN"/>
              </w:rPr>
              <w:t>七房</w:t>
            </w:r>
            <w:r>
              <w:rPr>
                <w:rFonts w:hint="eastAsia" w:ascii="Times New Roman" w:hAnsi="Times New Roman" w:eastAsia="宋体" w:cs="Times New Roman"/>
                <w:color w:val="auto"/>
                <w:kern w:val="0"/>
                <w:sz w:val="24"/>
                <w:highlight w:val="none"/>
                <w:u w:val="single"/>
                <w:lang w:val="en-US" w:eastAsia="zh-CN"/>
              </w:rPr>
              <w:t>花炮厂闲置厂房用地，不新增占地。原</w:t>
            </w:r>
            <w:r>
              <w:rPr>
                <w:rFonts w:hint="eastAsia" w:cs="Times New Roman"/>
                <w:color w:val="auto"/>
                <w:kern w:val="0"/>
                <w:sz w:val="24"/>
                <w:highlight w:val="none"/>
                <w:u w:val="single"/>
                <w:lang w:val="en-US" w:eastAsia="zh-CN"/>
              </w:rPr>
              <w:t>七房</w:t>
            </w:r>
            <w:r>
              <w:rPr>
                <w:rFonts w:hint="eastAsia" w:ascii="Times New Roman" w:hAnsi="Times New Roman" w:eastAsia="宋体" w:cs="Times New Roman"/>
                <w:color w:val="auto"/>
                <w:kern w:val="0"/>
                <w:sz w:val="24"/>
                <w:highlight w:val="none"/>
                <w:u w:val="single"/>
                <w:lang w:val="en-US" w:eastAsia="zh-CN"/>
              </w:rPr>
              <w:t>花炮厂于2012年因产业政策调整而整体关停退出，2019年租赁给家具厂作为仓库使用，仓库内无喷漆设施，地面均已硬化，无土壤污染情况，2023年家具厂已退出，目前为空置状态，无遗留的设施设备，也无原辅料存在。</w:t>
            </w:r>
            <w:r>
              <w:rPr>
                <w:rFonts w:hint="eastAsia" w:ascii="Times New Roman" w:hAnsi="Times New Roman" w:eastAsia="宋体" w:cs="Times New Roman"/>
                <w:color w:val="auto"/>
                <w:kern w:val="0"/>
                <w:sz w:val="24"/>
                <w:highlight w:val="none"/>
                <w:u w:val="single"/>
                <w:lang w:val="en-US" w:eastAsia="zh-CN"/>
              </w:rPr>
              <w:t>厂址北侧为游港河，东侧紧邻为一筷子厂家，其余侧被山林地包围，</w:t>
            </w:r>
            <w:r>
              <w:rPr>
                <w:rFonts w:hint="eastAsia" w:ascii="Times New Roman" w:hAnsi="Times New Roman" w:eastAsia="宋体" w:cs="Times New Roman"/>
                <w:color w:val="auto"/>
                <w:kern w:val="0"/>
                <w:sz w:val="24"/>
                <w:highlight w:val="none"/>
                <w:u w:val="single"/>
                <w:lang w:val="en-US" w:eastAsia="zh-CN"/>
              </w:rPr>
              <w:t>周边200米范围内无居民。根据国土空间规划情况说明（附件5）及项目落户函（附件4），可知项目用地性质为工业用地，选址符合忠防镇整体规划、土地利用规划及产业布局</w:t>
            </w:r>
            <w:r>
              <w:rPr>
                <w:rFonts w:hint="eastAsia" w:ascii="Times New Roman" w:hAnsi="Times New Roman" w:eastAsia="宋体" w:cs="Times New Roman"/>
                <w:color w:val="auto"/>
                <w:kern w:val="0"/>
                <w:sz w:val="24"/>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highlight w:val="none"/>
                <w:u w:val="none"/>
                <w:lang w:val="en-US" w:eastAsia="zh-CN"/>
              </w:rPr>
            </w:pPr>
            <w:r>
              <w:rPr>
                <w:rFonts w:hint="eastAsia" w:ascii="Times New Roman" w:hAnsi="Times New Roman" w:eastAsia="宋体" w:cs="Times New Roman"/>
                <w:color w:val="auto"/>
                <w:kern w:val="0"/>
                <w:sz w:val="24"/>
                <w:highlight w:val="none"/>
                <w:u w:val="none"/>
                <w:lang w:val="en-US" w:eastAsia="zh-CN"/>
              </w:rPr>
              <w:t>选址不属于自然保护区、风景名胜区、森林公园、重要湖泊周边、文物古迹所在地、地质遗迹保护区、基本农田保护区等区域。项目所在地给供电条件较好，利用周边地区木屑、竹屑</w:t>
            </w:r>
            <w:r>
              <w:rPr>
                <w:rFonts w:hint="eastAsia" w:cs="Times New Roman"/>
                <w:color w:val="auto"/>
                <w:kern w:val="0"/>
                <w:sz w:val="24"/>
                <w:highlight w:val="none"/>
                <w:u w:val="none"/>
                <w:lang w:val="en-US" w:eastAsia="zh-CN"/>
              </w:rPr>
              <w:t>和木材边角料</w:t>
            </w:r>
            <w:r>
              <w:rPr>
                <w:rFonts w:hint="eastAsia" w:ascii="Times New Roman" w:hAnsi="Times New Roman" w:eastAsia="宋体" w:cs="Times New Roman"/>
                <w:color w:val="auto"/>
                <w:kern w:val="0"/>
                <w:sz w:val="24"/>
                <w:highlight w:val="none"/>
                <w:u w:val="none"/>
                <w:lang w:val="en-US" w:eastAsia="zh-CN"/>
              </w:rPr>
              <w:t>为原料，靠近原料地，选址靠近S206省道，交通运输方便。本项目工艺较为简单，项目污染源强如生活污水、噪声、粉尘，均能得到合理的处置，故其对周边影响较小。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highlight w:val="none"/>
                <w:u w:val="none"/>
              </w:rPr>
            </w:pPr>
            <w:r>
              <w:rPr>
                <w:rFonts w:hint="eastAsia" w:ascii="Times New Roman" w:hAnsi="Times New Roman" w:eastAsia="宋体" w:cs="Times New Roman"/>
                <w:color w:val="auto"/>
                <w:kern w:val="0"/>
                <w:sz w:val="24"/>
                <w:highlight w:val="none"/>
                <w:u w:val="none"/>
                <w:lang w:val="en-US" w:eastAsia="zh-CN"/>
              </w:rPr>
              <w:t>综上，在做好本环评提出的环保措施的前提下，从环保角度考虑， 本项目选址基本合理。</w:t>
            </w:r>
          </w:p>
          <w:p>
            <w:pPr>
              <w:numPr>
                <w:ilvl w:val="0"/>
                <w:numId w:val="3"/>
              </w:numPr>
              <w:autoSpaceDE w:val="0"/>
              <w:autoSpaceDN w:val="0"/>
              <w:adjustRightInd w:val="0"/>
              <w:snapToGri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“三线一单”相符性分析</w:t>
            </w:r>
          </w:p>
          <w:p>
            <w:pPr>
              <w:numPr>
                <w:ilvl w:val="0"/>
                <w:numId w:val="4"/>
              </w:num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生态保护红线</w:t>
            </w:r>
          </w:p>
          <w:p>
            <w:pPr>
              <w:autoSpaceDE w:val="0"/>
              <w:autoSpaceDN w:val="0"/>
              <w:adjustRightInd w:val="0"/>
              <w:snapToGrid w:val="0"/>
              <w:spacing w:line="360" w:lineRule="auto"/>
              <w:ind w:firstLine="480" w:firstLineChars="200"/>
              <w:jc w:val="left"/>
              <w:rPr>
                <w:rFonts w:hint="eastAsia"/>
                <w:color w:val="auto"/>
                <w:sz w:val="24"/>
                <w:highlight w:val="none"/>
              </w:rPr>
            </w:pPr>
            <w:r>
              <w:rPr>
                <w:color w:val="auto"/>
                <w:sz w:val="24"/>
                <w:highlight w:val="none"/>
              </w:rPr>
              <w:t>根据《关于以改善环境质量为核心加强环境影响评价管理的通知》（环环评[2016]150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r>
              <w:rPr>
                <w:rFonts w:hint="eastAsia"/>
                <w:color w:val="auto"/>
                <w:sz w:val="24"/>
                <w:highlight w:val="none"/>
              </w:rPr>
              <w:t>。</w:t>
            </w:r>
          </w:p>
          <w:p>
            <w:pPr>
              <w:autoSpaceDE w:val="0"/>
              <w:autoSpaceDN w:val="0"/>
              <w:adjustRightInd w:val="0"/>
              <w:snapToGrid w:val="0"/>
              <w:spacing w:line="360" w:lineRule="auto"/>
              <w:ind w:firstLine="480" w:firstLineChars="200"/>
              <w:jc w:val="left"/>
              <w:rPr>
                <w:color w:val="auto"/>
                <w:kern w:val="0"/>
                <w:sz w:val="24"/>
                <w:highlight w:val="none"/>
              </w:rPr>
            </w:pPr>
            <w:r>
              <w:rPr>
                <w:rFonts w:hint="eastAsia"/>
                <w:color w:val="auto"/>
                <w:sz w:val="24"/>
                <w:highlight w:val="none"/>
              </w:rPr>
              <w:t>本项目位于临湘市忠防镇汀畈社区七房组</w:t>
            </w:r>
            <w:r>
              <w:rPr>
                <w:rFonts w:hint="eastAsia"/>
                <w:color w:val="auto"/>
                <w:sz w:val="24"/>
                <w:highlight w:val="none"/>
                <w:lang w:eastAsia="zh-CN"/>
              </w:rPr>
              <w:t>，</w:t>
            </w:r>
            <w:r>
              <w:rPr>
                <w:rFonts w:hint="eastAsia"/>
                <w:color w:val="auto"/>
                <w:sz w:val="24"/>
                <w:highlight w:val="none"/>
              </w:rPr>
              <w:t>项目周围无重点文物保护单位、无风景名胜区、无饮用水源保护区，本项目所在区域内无生态保护红线区，不涉及占用或穿越生态保护红线，符合生态保护红线。</w:t>
            </w:r>
          </w:p>
          <w:p>
            <w:pPr>
              <w:numPr>
                <w:ilvl w:val="0"/>
                <w:numId w:val="4"/>
              </w:num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环境质量底线</w:t>
            </w:r>
          </w:p>
          <w:p>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项目所在地环境空气质量目标为《环境空气质量标准》（GB3095-2012）二级标准。地表水环境质量目标为《地表水环境质量标准》（GB3838-2002）Ⅲ类标准。声环境质量为《声环境质量标准》(GB3096-2008)</w:t>
            </w:r>
            <w:r>
              <w:rPr>
                <w:rFonts w:hint="eastAsia"/>
                <w:color w:val="auto"/>
                <w:kern w:val="0"/>
                <w:sz w:val="24"/>
                <w:highlight w:val="none"/>
                <w:lang w:val="en-US" w:eastAsia="zh-CN"/>
              </w:rPr>
              <w:t>2</w:t>
            </w:r>
            <w:r>
              <w:rPr>
                <w:color w:val="auto"/>
                <w:kern w:val="0"/>
                <w:sz w:val="24"/>
                <w:highlight w:val="none"/>
              </w:rPr>
              <w:t>类。</w:t>
            </w:r>
          </w:p>
          <w:p>
            <w:pPr>
              <w:autoSpaceDE w:val="0"/>
              <w:autoSpaceDN w:val="0"/>
              <w:adjustRightInd w:val="0"/>
              <w:snapToGrid w:val="0"/>
              <w:spacing w:line="360" w:lineRule="auto"/>
              <w:ind w:firstLine="480" w:firstLineChars="200"/>
              <w:jc w:val="left"/>
              <w:rPr>
                <w:color w:val="auto"/>
                <w:kern w:val="0"/>
                <w:sz w:val="24"/>
                <w:highlight w:val="none"/>
              </w:rPr>
            </w:pPr>
            <w:r>
              <w:rPr>
                <w:rFonts w:hint="eastAsia"/>
                <w:color w:val="auto"/>
                <w:kern w:val="0"/>
                <w:sz w:val="24"/>
                <w:highlight w:val="none"/>
              </w:rPr>
              <w:t>从当地区域环境现状质量分析，本项目所在区域环境质量较好，尚有一定的环境容量。项目废气、废水、噪声及固体废物等经相应处理措施处理后对周围环境很小，符合环境质量底线要求。</w:t>
            </w:r>
          </w:p>
          <w:p>
            <w:pPr>
              <w:numPr>
                <w:ilvl w:val="0"/>
                <w:numId w:val="4"/>
              </w:num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资源利用上线</w:t>
            </w:r>
          </w:p>
          <w:p>
            <w:pPr>
              <w:pStyle w:val="8"/>
              <w:spacing w:line="360" w:lineRule="auto"/>
              <w:ind w:firstLine="480"/>
              <w:rPr>
                <w:rFonts w:hint="eastAsia"/>
                <w:color w:val="auto"/>
                <w:sz w:val="24"/>
                <w:highlight w:val="none"/>
                <w:u w:val="none"/>
              </w:rPr>
            </w:pPr>
            <w:r>
              <w:rPr>
                <w:rFonts w:hint="eastAsia" w:ascii="Times New Roman" w:hAnsi="Times New Roman"/>
                <w:color w:val="auto"/>
                <w:kern w:val="0"/>
                <w:sz w:val="24"/>
                <w:highlight w:val="none"/>
                <w:u w:val="none"/>
              </w:rPr>
              <w:t>本项目原料为竹屑、木屑</w:t>
            </w:r>
            <w:r>
              <w:rPr>
                <w:rFonts w:hint="eastAsia" w:ascii="Times New Roman" w:hAnsi="Times New Roman"/>
                <w:color w:val="auto"/>
                <w:kern w:val="0"/>
                <w:sz w:val="24"/>
                <w:highlight w:val="none"/>
                <w:u w:val="none"/>
                <w:lang w:eastAsia="zh-CN"/>
              </w:rPr>
              <w:t>、</w:t>
            </w:r>
            <w:r>
              <w:rPr>
                <w:rFonts w:hint="eastAsia" w:ascii="Times New Roman" w:hAnsi="Times New Roman"/>
                <w:color w:val="auto"/>
                <w:kern w:val="0"/>
                <w:sz w:val="24"/>
                <w:highlight w:val="none"/>
                <w:u w:val="none"/>
                <w:lang w:val="en-US" w:eastAsia="zh-CN"/>
              </w:rPr>
              <w:t>木材边角料</w:t>
            </w:r>
            <w:r>
              <w:rPr>
                <w:rFonts w:hint="eastAsia" w:ascii="Times New Roman" w:hAnsi="Times New Roman"/>
                <w:color w:val="auto"/>
                <w:kern w:val="0"/>
                <w:sz w:val="24"/>
                <w:highlight w:val="none"/>
                <w:u w:val="none"/>
              </w:rPr>
              <w:t>等废弃资源，运营过程中消耗的资源类型主要为水、电能以及自产的</w:t>
            </w:r>
            <w:r>
              <w:rPr>
                <w:rFonts w:hint="eastAsia" w:ascii="Times New Roman" w:hAnsi="Times New Roman"/>
                <w:color w:val="auto"/>
                <w:kern w:val="0"/>
                <w:sz w:val="24"/>
                <w:highlight w:val="none"/>
                <w:u w:val="none"/>
                <w:lang w:val="en-US" w:eastAsia="zh-CN"/>
              </w:rPr>
              <w:t>成型</w:t>
            </w:r>
            <w:r>
              <w:rPr>
                <w:rFonts w:hint="eastAsia" w:ascii="Times New Roman" w:hAnsi="Times New Roman"/>
                <w:color w:val="auto"/>
                <w:kern w:val="0"/>
                <w:sz w:val="24"/>
                <w:highlight w:val="none"/>
                <w:u w:val="none"/>
              </w:rPr>
              <w:t>生物质颗粒。项目资源消耗量相对区域资源利用总量较小，符合资源利用上限的要求。</w:t>
            </w:r>
          </w:p>
          <w:p>
            <w:pPr>
              <w:numPr>
                <w:ilvl w:val="0"/>
                <w:numId w:val="4"/>
              </w:numPr>
              <w:autoSpaceDE w:val="0"/>
              <w:autoSpaceDN w:val="0"/>
              <w:adjustRightInd w:val="0"/>
              <w:snapToGrid w:val="0"/>
              <w:spacing w:line="360" w:lineRule="auto"/>
              <w:ind w:firstLine="480" w:firstLineChars="200"/>
              <w:jc w:val="left"/>
              <w:rPr>
                <w:color w:val="auto"/>
                <w:kern w:val="0"/>
                <w:sz w:val="24"/>
                <w:highlight w:val="none"/>
              </w:rPr>
            </w:pPr>
            <w:r>
              <w:rPr>
                <w:color w:val="auto"/>
                <w:sz w:val="24"/>
                <w:highlight w:val="none"/>
              </w:rPr>
              <w:t>与</w:t>
            </w:r>
            <w:r>
              <w:rPr>
                <w:rFonts w:hint="eastAsia"/>
                <w:color w:val="auto"/>
                <w:sz w:val="24"/>
                <w:highlight w:val="none"/>
                <w:lang w:val="en-US" w:eastAsia="zh-CN"/>
              </w:rPr>
              <w:t>岳阳市生态环境基本管控要求及其他单元生态环境准入清单</w:t>
            </w:r>
            <w:r>
              <w:rPr>
                <w:color w:val="auto"/>
                <w:sz w:val="24"/>
                <w:highlight w:val="none"/>
              </w:rPr>
              <w:t>相符性分析</w:t>
            </w:r>
            <w:r>
              <w:rPr>
                <w:rFonts w:hint="eastAsia"/>
                <w:color w:val="auto"/>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color w:val="auto"/>
                <w:kern w:val="0"/>
                <w:sz w:val="24"/>
                <w:highlight w:val="none"/>
                <w:u w:val="single" w:color="auto"/>
              </w:rPr>
            </w:pPr>
            <w:r>
              <w:rPr>
                <w:rFonts w:hint="eastAsia"/>
                <w:color w:val="auto"/>
                <w:sz w:val="24"/>
                <w:highlight w:val="none"/>
                <w:u w:val="single" w:color="auto"/>
                <w:lang w:val="en-US" w:eastAsia="zh-CN"/>
              </w:rPr>
              <w:t>对照2023年湖南省生态环境厅生态环境分区管控动态更新成果，</w:t>
            </w:r>
            <w:r>
              <w:rPr>
                <w:rFonts w:hint="eastAsia"/>
                <w:color w:val="auto"/>
                <w:sz w:val="24"/>
                <w:highlight w:val="none"/>
                <w:u w:val="single" w:color="auto"/>
                <w:lang w:val="en-US" w:eastAsia="zh-CN"/>
              </w:rPr>
              <w:t>可知根据临湘市（优先1个、重点3个、一般2个）环境管控单元ZH43068220002，本项目位于</w:t>
            </w:r>
            <w:r>
              <w:rPr>
                <w:rFonts w:hint="eastAsia"/>
                <w:color w:val="auto"/>
                <w:sz w:val="24"/>
                <w:highlight w:val="none"/>
                <w:u w:val="single" w:color="auto"/>
              </w:rPr>
              <w:t>临湘市忠防镇汀畈社区七房组</w:t>
            </w:r>
            <w:r>
              <w:rPr>
                <w:rFonts w:hint="eastAsia"/>
                <w:color w:val="auto"/>
                <w:sz w:val="24"/>
                <w:highlight w:val="none"/>
                <w:u w:val="single" w:color="auto"/>
                <w:lang w:val="en-US" w:eastAsia="zh-CN"/>
              </w:rPr>
              <w:t>，属于重点管控单元。项目与“三线一单”的相符性分析如下：</w:t>
            </w:r>
          </w:p>
          <w:p>
            <w:pPr>
              <w:autoSpaceDE w:val="0"/>
              <w:autoSpaceDN w:val="0"/>
              <w:adjustRightInd w:val="0"/>
              <w:snapToGrid w:val="0"/>
              <w:spacing w:line="360" w:lineRule="auto"/>
              <w:jc w:val="center"/>
              <w:rPr>
                <w:rFonts w:hint="eastAsia" w:ascii="Times New Roman" w:hAnsi="Times New Roman" w:eastAsia="宋体" w:cs="Times New Roman"/>
                <w:b/>
                <w:bCs/>
                <w:color w:val="auto"/>
                <w:kern w:val="0"/>
                <w:sz w:val="24"/>
                <w:highlight w:val="none"/>
                <w:u w:val="single" w:color="auto"/>
                <w:lang w:val="en-US" w:eastAsia="zh-CN"/>
              </w:rPr>
            </w:pPr>
            <w:r>
              <w:rPr>
                <w:rFonts w:hint="eastAsia" w:ascii="Times New Roman" w:hAnsi="Times New Roman" w:eastAsia="宋体" w:cs="Times New Roman"/>
                <w:b/>
                <w:bCs/>
                <w:color w:val="auto"/>
                <w:kern w:val="0"/>
                <w:sz w:val="24"/>
                <w:highlight w:val="none"/>
                <w:u w:val="single" w:color="auto"/>
                <w:lang w:val="en-US" w:eastAsia="zh-CN"/>
              </w:rPr>
              <w:t>表1-1 与岳阳市“三线一单”生态环境分区管控要求符合性分析</w:t>
            </w:r>
          </w:p>
          <w:tbl>
            <w:tblPr>
              <w:tblStyle w:val="23"/>
              <w:tblW w:w="7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89"/>
              <w:gridCol w:w="952"/>
              <w:gridCol w:w="1125"/>
              <w:gridCol w:w="1275"/>
              <w:gridCol w:w="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u w:val="single" w:color="auto"/>
                    </w:rPr>
                  </w:pPr>
                  <w:r>
                    <w:rPr>
                      <w:b/>
                      <w:color w:val="auto"/>
                      <w:sz w:val="21"/>
                      <w:szCs w:val="21"/>
                      <w:highlight w:val="none"/>
                      <w:u w:val="single" w:color="auto"/>
                    </w:rPr>
                    <w:t>环境管控单元编码</w:t>
                  </w:r>
                </w:p>
              </w:tc>
              <w:tc>
                <w:tcPr>
                  <w:tcW w:w="148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u w:val="single" w:color="auto"/>
                    </w:rPr>
                  </w:pPr>
                  <w:r>
                    <w:rPr>
                      <w:b/>
                      <w:color w:val="auto"/>
                      <w:sz w:val="21"/>
                      <w:szCs w:val="21"/>
                      <w:highlight w:val="none"/>
                      <w:u w:val="single" w:color="auto"/>
                    </w:rPr>
                    <w:t>单元名称</w:t>
                  </w:r>
                </w:p>
              </w:tc>
              <w:tc>
                <w:tcPr>
                  <w:tcW w:w="9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u w:val="single" w:color="auto"/>
                    </w:rPr>
                  </w:pPr>
                  <w:r>
                    <w:rPr>
                      <w:b/>
                      <w:color w:val="auto"/>
                      <w:sz w:val="21"/>
                      <w:szCs w:val="21"/>
                      <w:highlight w:val="none"/>
                      <w:u w:val="single" w:color="auto"/>
                    </w:rPr>
                    <w:t>涉及乡镇（街道）</w:t>
                  </w: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u w:val="single" w:color="auto"/>
                    </w:rPr>
                  </w:pPr>
                  <w:r>
                    <w:rPr>
                      <w:b/>
                      <w:color w:val="auto"/>
                      <w:sz w:val="21"/>
                      <w:szCs w:val="21"/>
                      <w:highlight w:val="none"/>
                      <w:u w:val="single" w:color="auto"/>
                    </w:rPr>
                    <w:t>主体功能定位</w:t>
                  </w:r>
                </w:p>
              </w:tc>
              <w:tc>
                <w:tcPr>
                  <w:tcW w:w="202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u w:val="single" w:color="auto"/>
                    </w:rPr>
                  </w:pPr>
                  <w:r>
                    <w:rPr>
                      <w:b/>
                      <w:color w:val="auto"/>
                      <w:sz w:val="21"/>
                      <w:szCs w:val="21"/>
                      <w:highlight w:val="none"/>
                      <w:u w:val="single" w:color="auto"/>
                    </w:rPr>
                    <w:t>经济产业布局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u w:val="single" w:color="auto"/>
                    </w:rPr>
                  </w:pPr>
                  <w:r>
                    <w:rPr>
                      <w:rFonts w:hint="eastAsia"/>
                      <w:color w:val="auto"/>
                      <w:sz w:val="21"/>
                      <w:szCs w:val="21"/>
                      <w:highlight w:val="none"/>
                      <w:u w:val="single" w:color="auto"/>
                    </w:rPr>
                    <w:t>ZH430682</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rFonts w:hint="eastAsia"/>
                      <w:color w:val="auto"/>
                      <w:sz w:val="21"/>
                      <w:szCs w:val="21"/>
                      <w:highlight w:val="none"/>
                      <w:u w:val="single" w:color="auto"/>
                    </w:rPr>
                    <w:t>20002</w:t>
                  </w:r>
                </w:p>
              </w:tc>
              <w:tc>
                <w:tcPr>
                  <w:tcW w:w="148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rFonts w:hint="eastAsia"/>
                      <w:color w:val="auto"/>
                      <w:sz w:val="21"/>
                      <w:szCs w:val="21"/>
                      <w:highlight w:val="none"/>
                      <w:u w:val="single" w:color="auto"/>
                    </w:rPr>
                    <w:t>桃矿街道</w:t>
                  </w:r>
                  <w:r>
                    <w:rPr>
                      <w:rFonts w:hint="eastAsia"/>
                      <w:b w:val="0"/>
                      <w:bCs w:val="0"/>
                      <w:color w:val="auto"/>
                      <w:sz w:val="21"/>
                      <w:szCs w:val="21"/>
                      <w:highlight w:val="none"/>
                      <w:u w:val="single" w:color="auto"/>
                    </w:rPr>
                    <w:t>/桃林镇</w:t>
                  </w:r>
                  <w:r>
                    <w:rPr>
                      <w:rFonts w:hint="eastAsia"/>
                      <w:color w:val="auto"/>
                      <w:sz w:val="21"/>
                      <w:szCs w:val="21"/>
                      <w:highlight w:val="none"/>
                      <w:u w:val="single" w:color="auto"/>
                    </w:rPr>
                    <w:t>/五里牌街道/长安街道/忠防镇</w:t>
                  </w:r>
                </w:p>
              </w:tc>
              <w:tc>
                <w:tcPr>
                  <w:tcW w:w="9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u w:val="single" w:color="auto"/>
                      <w:lang w:eastAsia="zh-CN"/>
                    </w:rPr>
                  </w:pPr>
                  <w:r>
                    <w:rPr>
                      <w:rFonts w:hint="eastAsia"/>
                      <w:color w:val="auto"/>
                      <w:kern w:val="0"/>
                      <w:sz w:val="21"/>
                      <w:szCs w:val="21"/>
                      <w:highlight w:val="none"/>
                      <w:u w:val="single" w:color="auto"/>
                      <w:lang w:val="en-US" w:eastAsia="zh-CN"/>
                    </w:rPr>
                    <w:t>忠防镇</w:t>
                  </w: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国家层面农产品主产区</w:t>
                  </w:r>
                </w:p>
              </w:tc>
              <w:tc>
                <w:tcPr>
                  <w:tcW w:w="202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rFonts w:hint="eastAsia"/>
                      <w:color w:val="auto"/>
                      <w:sz w:val="21"/>
                      <w:szCs w:val="21"/>
                      <w:highlight w:val="none"/>
                      <w:u w:val="single" w:color="auto"/>
                    </w:rPr>
                    <w:t>以旅游、矿产、商贸为主，发展铅锌采选项目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主要属性</w:t>
                  </w:r>
                </w:p>
              </w:tc>
              <w:tc>
                <w:tcPr>
                  <w:tcW w:w="55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u w:val="single" w:color="auto"/>
                    </w:rPr>
                  </w:pPr>
                  <w:r>
                    <w:rPr>
                      <w:rFonts w:hint="eastAsia"/>
                      <w:color w:val="auto"/>
                      <w:sz w:val="21"/>
                      <w:szCs w:val="21"/>
                      <w:highlight w:val="none"/>
                      <w:u w:val="single" w:color="auto"/>
                    </w:rPr>
                    <w:t>生态红线/</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u w:val="single" w:color="auto"/>
                    </w:rPr>
                  </w:pPr>
                  <w:r>
                    <w:rPr>
                      <w:rFonts w:hint="eastAsia"/>
                      <w:color w:val="auto"/>
                      <w:sz w:val="21"/>
                      <w:szCs w:val="21"/>
                      <w:highlight w:val="none"/>
                      <w:u w:val="single" w:color="auto"/>
                    </w:rPr>
                    <w:t>一般生态空间（公益林/石漠化敏感区/水土保持功能重要区/水土流失敏感区/水源涵养重要区）/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u w:val="single" w:color="auto"/>
                    </w:rPr>
                  </w:pPr>
                  <w:r>
                    <w:rPr>
                      <w:rFonts w:hint="eastAsia"/>
                      <w:color w:val="auto"/>
                      <w:sz w:val="21"/>
                      <w:szCs w:val="21"/>
                      <w:highlight w:val="none"/>
                      <w:u w:val="single" w:color="auto"/>
                    </w:rPr>
                    <w:t>水环境重点管控区（岳阳市富安矿业有限公司上塘冲银孔山铅锌矿、临湘市力拓矿业有限公司杜家冲铅锌矿）/</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u w:val="single" w:color="auto"/>
                    </w:rPr>
                  </w:pPr>
                  <w:r>
                    <w:rPr>
                      <w:rFonts w:hint="eastAsia"/>
                      <w:color w:val="auto"/>
                      <w:sz w:val="21"/>
                      <w:szCs w:val="21"/>
                      <w:highlight w:val="none"/>
                      <w:u w:val="single" w:color="auto"/>
                    </w:rPr>
                    <w:t>建设用地污染风险重点管控区/</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rFonts w:hint="eastAsia"/>
                      <w:color w:val="auto"/>
                      <w:sz w:val="21"/>
                      <w:szCs w:val="21"/>
                      <w:highlight w:val="none"/>
                      <w:u w:val="single" w:color="auto"/>
                    </w:rPr>
                    <w:t>部省级采矿权/市县级采矿权/部省级探矿权/砂石矿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管控维度</w:t>
                  </w:r>
                </w:p>
              </w:tc>
              <w:tc>
                <w:tcPr>
                  <w:tcW w:w="3566"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管控要求</w:t>
                  </w:r>
                </w:p>
              </w:tc>
              <w:tc>
                <w:tcPr>
                  <w:tcW w:w="12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项目情况</w:t>
                  </w:r>
                </w:p>
              </w:tc>
              <w:tc>
                <w:tcPr>
                  <w:tcW w:w="7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空间布局约束</w:t>
                  </w:r>
                </w:p>
              </w:tc>
              <w:tc>
                <w:tcPr>
                  <w:tcW w:w="356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1.1 按照“关闭一批，整合一批，提高一批”的原则，对不具备安全生产条件，破坏生态，污染环境的违规开采矿山，实行关停整顿，整合重组。</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1.2 对辖区内规模小，污染大，安全系数低，效率不高的采矿企业，坚决关停，对违法盗采行为要依法予以严厉打击。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1.3 在国家、省绿色矿山开发和国家相关法律法规要求的前置条件下，对各矿种的年开采量和投入实现门槛准入。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color w:val="auto"/>
                      <w:sz w:val="21"/>
                      <w:szCs w:val="21"/>
                      <w:highlight w:val="none"/>
                      <w:u w:val="single" w:color="auto"/>
                    </w:rPr>
                  </w:pPr>
                  <w:r>
                    <w:rPr>
                      <w:rFonts w:hint="eastAsia"/>
                      <w:color w:val="auto"/>
                      <w:sz w:val="21"/>
                      <w:szCs w:val="21"/>
                      <w:highlight w:val="none"/>
                      <w:u w:val="single" w:color="auto"/>
                    </w:rPr>
                    <w:t>1.4 桃林铅锌矿片区需紧紧围绕“矿区转型”，以循环经济理论和生态工业理论为指导，以特色农业和旅游资源为支撑，发展以文化旅游、农产品加工、节能环保为主，萤石加工、商贸流通为辅的产业结构，构建桃矿地区“3+2”产业体系，将桃矿建设成为“生态经济示范区”桃矿独立工矿区产业发展以经济转型为主线，形成一个集矿产品深加工、工业物流园区、旅游风景区、商业生活区多功能于一体的新型独立矿区。</w:t>
                  </w:r>
                </w:p>
              </w:tc>
              <w:tc>
                <w:tcPr>
                  <w:tcW w:w="12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eastAsia="宋体"/>
                      <w:color w:val="auto"/>
                      <w:sz w:val="21"/>
                      <w:szCs w:val="21"/>
                      <w:highlight w:val="none"/>
                      <w:u w:val="single" w:color="auto"/>
                      <w:lang w:val="en-US" w:eastAsia="zh-CN"/>
                    </w:rPr>
                  </w:pPr>
                  <w:r>
                    <w:rPr>
                      <w:rFonts w:hint="eastAsia"/>
                      <w:color w:val="auto"/>
                      <w:sz w:val="21"/>
                      <w:szCs w:val="21"/>
                      <w:highlight w:val="none"/>
                      <w:u w:val="single" w:color="auto"/>
                      <w:lang w:val="en-US" w:eastAsia="zh-CN"/>
                    </w:rPr>
                    <w:t>本项目</w:t>
                  </w:r>
                  <w:r>
                    <w:rPr>
                      <w:color w:val="auto"/>
                      <w:sz w:val="21"/>
                      <w:szCs w:val="21"/>
                      <w:highlight w:val="none"/>
                      <w:u w:val="single" w:color="auto"/>
                    </w:rPr>
                    <w:t>不涉及</w:t>
                  </w:r>
                  <w:r>
                    <w:rPr>
                      <w:rFonts w:hint="eastAsia"/>
                      <w:color w:val="auto"/>
                      <w:sz w:val="21"/>
                      <w:szCs w:val="21"/>
                      <w:highlight w:val="none"/>
                      <w:u w:val="single" w:color="auto"/>
                      <w:lang w:val="en-US" w:eastAsia="zh-CN"/>
                    </w:rPr>
                    <w:t>采矿</w:t>
                  </w:r>
                </w:p>
              </w:tc>
              <w:tc>
                <w:tcPr>
                  <w:tcW w:w="7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污染物排放管控</w:t>
                  </w:r>
                </w:p>
              </w:tc>
              <w:tc>
                <w:tcPr>
                  <w:tcW w:w="3566"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2.1污水处理达到一级排放标准，城区基本实现污水全收集、全处理，基本无生活污水直排口；实施乡镇污水处理设施建设专项行动计划，实现全市乡镇污水处理设施全覆盖，配套管网基本完善。</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2.3加大涉重金属企业治污设施升级与清洁生产改造力度，严厉打击超标排放与偷排漏排，规范企业无组织排放与无组织堆存堆放固体废物、物料，稳步推进重金属减排。在矿产资源开发利用活动集中的区域，执行重点污染物特别排放限值。</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2.4对易产生无组织排放扬尘的粉状、粒状物料、燃料的储存、运输采取密闭方式；对块状物料采用入棚入仓或建设防风抑尘网等方式。</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2.5石化生产存贮销售企业和工业园区、矿山开采区、垃圾填埋场等区域应进行必要的防渗处理。</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color w:val="auto"/>
                      <w:sz w:val="21"/>
                      <w:szCs w:val="21"/>
                      <w:highlight w:val="none"/>
                      <w:u w:val="single" w:color="auto"/>
                    </w:rPr>
                  </w:pPr>
                  <w:r>
                    <w:rPr>
                      <w:rFonts w:hint="eastAsia"/>
                      <w:color w:val="auto"/>
                      <w:sz w:val="21"/>
                      <w:szCs w:val="21"/>
                      <w:highlight w:val="none"/>
                      <w:u w:val="single" w:color="auto"/>
                    </w:rPr>
                    <w:t>2.6持续深化</w:t>
                  </w:r>
                  <w:r>
                    <w:rPr>
                      <w:rFonts w:hint="eastAsia"/>
                      <w:color w:val="auto"/>
                      <w:sz w:val="21"/>
                      <w:szCs w:val="21"/>
                      <w:highlight w:val="none"/>
                      <w:u w:val="single" w:color="auto"/>
                    </w:rPr>
                    <w:t>工业炉窑大气污</w:t>
                  </w:r>
                  <w:r>
                    <w:rPr>
                      <w:rFonts w:hint="eastAsia"/>
                      <w:color w:val="auto"/>
                      <w:sz w:val="21"/>
                      <w:szCs w:val="21"/>
                      <w:highlight w:val="none"/>
                      <w:u w:val="single" w:color="auto"/>
                    </w:rPr>
                    <w:t>染专项治理，按照《湖南省工业炉窑大气污染综合治理实施方案》要求，重点推进水泥、有色、陶瓷、无机化工等行业炉窑深度治理，进一步加强烧制砖瓦行业综合整治，鼓励实施燃气锅炉低氮改造。</w:t>
                  </w:r>
                </w:p>
              </w:tc>
              <w:tc>
                <w:tcPr>
                  <w:tcW w:w="12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default" w:eastAsia="宋体"/>
                      <w:color w:val="auto"/>
                      <w:sz w:val="21"/>
                      <w:szCs w:val="21"/>
                      <w:highlight w:val="none"/>
                      <w:u w:val="single" w:color="auto"/>
                      <w:lang w:val="en-US" w:eastAsia="zh-CN"/>
                    </w:rPr>
                  </w:pPr>
                  <w:r>
                    <w:rPr>
                      <w:rFonts w:hint="eastAsia"/>
                      <w:color w:val="auto"/>
                      <w:sz w:val="21"/>
                      <w:szCs w:val="21"/>
                      <w:highlight w:val="none"/>
                      <w:u w:val="single" w:color="auto"/>
                    </w:rPr>
                    <w:t>项目无生产废水产生，生活污水经化粪池处理后用于周边</w:t>
                  </w:r>
                  <w:r>
                    <w:rPr>
                      <w:rFonts w:hint="eastAsia"/>
                      <w:color w:val="auto"/>
                      <w:sz w:val="21"/>
                      <w:szCs w:val="21"/>
                      <w:highlight w:val="none"/>
                      <w:u w:val="single" w:color="auto"/>
                      <w:lang w:val="en-US" w:eastAsia="zh-CN"/>
                    </w:rPr>
                    <w:t>菜地浇灌</w:t>
                  </w:r>
                  <w:r>
                    <w:rPr>
                      <w:rFonts w:hint="eastAsia"/>
                      <w:color w:val="auto"/>
                      <w:sz w:val="21"/>
                      <w:szCs w:val="21"/>
                      <w:highlight w:val="none"/>
                      <w:u w:val="single" w:color="auto"/>
                    </w:rPr>
                    <w:t>。</w:t>
                  </w:r>
                  <w:r>
                    <w:rPr>
                      <w:rFonts w:hint="eastAsia"/>
                      <w:color w:val="auto"/>
                      <w:sz w:val="21"/>
                      <w:szCs w:val="21"/>
                      <w:highlight w:val="none"/>
                      <w:u w:val="single" w:color="auto"/>
                      <w:lang w:val="en-US" w:eastAsia="zh-CN"/>
                    </w:rPr>
                    <w:t>项目不涉及重金属。项目物料均放置于厂房内，生产在封闭式车间内进行，采用机械传输、密闭输送带进行物料输送。</w:t>
                  </w:r>
                  <w:r>
                    <w:rPr>
                      <w:rFonts w:hint="eastAsia"/>
                      <w:color w:val="auto"/>
                      <w:sz w:val="21"/>
                      <w:szCs w:val="21"/>
                      <w:highlight w:val="none"/>
                      <w:u w:val="single" w:color="auto"/>
                      <w:lang w:val="en-US" w:eastAsia="zh-CN"/>
                    </w:rPr>
                    <w:t>项目废气经旋风+布袋除尘处理后经过15m高排气筒排放。废气中的颗粒物、二氧化硫满足《湖南省工业炉窑大气污染综合治理实施方案》中相关标准限值，氮氧化物满足《大气污染物综合排放标准》（GB16297-1996）表2标准；烟气黑度满足《工业炉窑大气污染物排放标准》（GB9078-1996）表2标准</w:t>
                  </w:r>
                </w:p>
              </w:tc>
              <w:tc>
                <w:tcPr>
                  <w:tcW w:w="7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环境风险防控</w:t>
                  </w:r>
                </w:p>
              </w:tc>
              <w:tc>
                <w:tcPr>
                  <w:tcW w:w="356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3.1 分阶段、分区域、按类别解决历史遗留污染问题，对关闭矿山，加快推进矿山生态环境修复治理及矿坑涌水整治。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color w:val="auto"/>
                      <w:sz w:val="21"/>
                      <w:szCs w:val="21"/>
                      <w:highlight w:val="none"/>
                      <w:u w:val="single" w:color="auto"/>
                    </w:rPr>
                  </w:pPr>
                  <w:r>
                    <w:rPr>
                      <w:rFonts w:hint="eastAsia"/>
                      <w:color w:val="auto"/>
                      <w:sz w:val="21"/>
                      <w:szCs w:val="21"/>
                      <w:highlight w:val="none"/>
                      <w:u w:val="single" w:color="auto"/>
                    </w:rPr>
                    <w:t>3.2 针对建设用地污染风险重点管控区的管控要求，严格建设用地土壤污染风险管控。加强建设用地土壤污染风险管控和修复名录管理，实现污染地块安全利用率90%以上：加强全国土壤环境信息化管理平台管理与使用，及时动态更新污染地块目录；严控污染地块环境社会风险，以城镇人口密集区危险化学品生产企业搬迁改造以及长江经济带化工污染整治过程中的腾退企业用地为重点，结合建设用地治理修复和风险管控名录管理制度，进一步加强腾退土地污染风险管控，严格对企业拆除活动的环境监管。</w:t>
                  </w:r>
                </w:p>
              </w:tc>
              <w:tc>
                <w:tcPr>
                  <w:tcW w:w="12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lang w:val="en-US" w:eastAsia="zh-CN"/>
                    </w:rPr>
                  </w:pPr>
                  <w:r>
                    <w:rPr>
                      <w:color w:val="auto"/>
                      <w:sz w:val="21"/>
                      <w:szCs w:val="21"/>
                      <w:highlight w:val="none"/>
                      <w:u w:val="single" w:color="auto"/>
                    </w:rPr>
                    <w:t>本项目</w:t>
                  </w:r>
                  <w:r>
                    <w:rPr>
                      <w:rFonts w:hint="eastAsia"/>
                      <w:color w:val="auto"/>
                      <w:sz w:val="21"/>
                      <w:szCs w:val="21"/>
                      <w:highlight w:val="none"/>
                      <w:u w:val="single" w:color="auto"/>
                      <w:lang w:val="en-US" w:eastAsia="zh-CN"/>
                    </w:rPr>
                    <w:t>不涉及，本项目使用的原材料和产品均不属于环境</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lang w:val="en-US" w:eastAsia="zh-CN"/>
                    </w:rPr>
                  </w:pPr>
                  <w:r>
                    <w:rPr>
                      <w:rFonts w:hint="eastAsia"/>
                      <w:color w:val="auto"/>
                      <w:sz w:val="21"/>
                      <w:szCs w:val="21"/>
                      <w:highlight w:val="none"/>
                      <w:u w:val="single" w:color="auto"/>
                      <w:lang w:val="en-US" w:eastAsia="zh-CN"/>
                    </w:rPr>
                    <w:t>风险物质，对环境风险</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eastAsia="宋体"/>
                      <w:color w:val="auto"/>
                      <w:sz w:val="21"/>
                      <w:szCs w:val="21"/>
                      <w:highlight w:val="none"/>
                      <w:u w:val="single" w:color="auto"/>
                      <w:lang w:eastAsia="zh-CN"/>
                    </w:rPr>
                  </w:pPr>
                  <w:r>
                    <w:rPr>
                      <w:rFonts w:hint="eastAsia"/>
                      <w:color w:val="auto"/>
                      <w:sz w:val="21"/>
                      <w:szCs w:val="21"/>
                      <w:highlight w:val="none"/>
                      <w:u w:val="single" w:color="auto"/>
                      <w:lang w:val="en-US" w:eastAsia="zh-CN"/>
                    </w:rPr>
                    <w:t>很小。</w:t>
                  </w:r>
                </w:p>
              </w:tc>
              <w:tc>
                <w:tcPr>
                  <w:tcW w:w="7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169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资源开发效率要求</w:t>
                  </w:r>
                </w:p>
              </w:tc>
              <w:tc>
                <w:tcPr>
                  <w:tcW w:w="356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4.1 积极推进农业节水，完成高效节水灌溉年度任务；推进循环发展，将再生水、雨水、矿井水等非常规水源纳入区域水资源统一配置。</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4.2 水资源：临湘市万元国内生产总值用水量104m</w:t>
                  </w:r>
                  <w:r>
                    <w:rPr>
                      <w:rFonts w:hint="eastAsia"/>
                      <w:color w:val="auto"/>
                      <w:sz w:val="21"/>
                      <w:szCs w:val="21"/>
                      <w:highlight w:val="none"/>
                      <w:u w:val="single" w:color="auto"/>
                      <w:vertAlign w:val="superscript"/>
                    </w:rPr>
                    <w:t>3</w:t>
                  </w:r>
                  <w:r>
                    <w:rPr>
                      <w:rFonts w:hint="eastAsia"/>
                      <w:color w:val="auto"/>
                      <w:sz w:val="21"/>
                      <w:szCs w:val="21"/>
                      <w:highlight w:val="none"/>
                      <w:u w:val="single" w:color="auto"/>
                    </w:rPr>
                    <w:t>/万元，万元工业增加值用水量31m</w:t>
                  </w:r>
                  <w:r>
                    <w:rPr>
                      <w:rFonts w:hint="eastAsia"/>
                      <w:color w:val="auto"/>
                      <w:sz w:val="21"/>
                      <w:szCs w:val="21"/>
                      <w:highlight w:val="none"/>
                      <w:u w:val="single" w:color="auto"/>
                      <w:vertAlign w:val="superscript"/>
                    </w:rPr>
                    <w:t>3</w:t>
                  </w:r>
                  <w:r>
                    <w:rPr>
                      <w:rFonts w:hint="eastAsia"/>
                      <w:color w:val="auto"/>
                      <w:sz w:val="21"/>
                      <w:szCs w:val="21"/>
                      <w:highlight w:val="none"/>
                      <w:u w:val="single" w:color="auto"/>
                    </w:rPr>
                    <w:t>/万元，农田灌溉水有效利用系数0.55。</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4.3 能源；临湘市“十三五”能耗强度降低目标18.5%，“十三五”能耗控制目标17.5万吨标准煤。</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color w:val="auto"/>
                      <w:sz w:val="21"/>
                      <w:szCs w:val="21"/>
                      <w:highlight w:val="none"/>
                      <w:u w:val="single" w:color="auto"/>
                    </w:rPr>
                  </w:pPr>
                  <w:r>
                    <w:rPr>
                      <w:rFonts w:hint="eastAsia"/>
                      <w:color w:val="auto"/>
                      <w:sz w:val="21"/>
                      <w:szCs w:val="21"/>
                      <w:highlight w:val="none"/>
                      <w:u w:val="single" w:color="auto"/>
                    </w:rPr>
                    <w:t>4.4</w:t>
                  </w:r>
                  <w:r>
                    <w:rPr>
                      <w:rFonts w:hint="eastAsia"/>
                      <w:color w:val="auto"/>
                      <w:sz w:val="21"/>
                      <w:szCs w:val="21"/>
                      <w:highlight w:val="none"/>
                      <w:u w:val="single" w:color="auto"/>
                      <w:lang w:val="en-US" w:eastAsia="zh-CN"/>
                    </w:rPr>
                    <w:t xml:space="preserve"> 土</w:t>
                  </w:r>
                  <w:r>
                    <w:rPr>
                      <w:rFonts w:hint="eastAsia"/>
                      <w:color w:val="auto"/>
                      <w:sz w:val="21"/>
                      <w:szCs w:val="21"/>
                      <w:highlight w:val="none"/>
                      <w:u w:val="single" w:color="auto"/>
                    </w:rPr>
                    <w:t>地资源：城镇工矿用地建设规模为 181.57 公顷，耕地保有量1756.22 公顷，建设用地总规模达到 896.95 公顷</w:t>
                  </w:r>
                </w:p>
              </w:tc>
              <w:tc>
                <w:tcPr>
                  <w:tcW w:w="1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sz w:val="21"/>
                      <w:szCs w:val="21"/>
                      <w:highlight w:val="none"/>
                      <w:u w:val="single" w:color="auto"/>
                    </w:rPr>
                  </w:pPr>
                  <w:r>
                    <w:rPr>
                      <w:rFonts w:hint="eastAsia"/>
                      <w:color w:val="auto"/>
                      <w:sz w:val="21"/>
                      <w:szCs w:val="21"/>
                      <w:highlight w:val="none"/>
                      <w:u w:val="single" w:color="auto"/>
                    </w:rPr>
                    <w:t>本项目生产过程不使用水资源，也不排放生产废水；本项目生活污水经化粪池处理后用作</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eastAsia="宋体"/>
                      <w:color w:val="auto"/>
                      <w:sz w:val="21"/>
                      <w:szCs w:val="21"/>
                      <w:highlight w:val="none"/>
                      <w:u w:val="single" w:color="auto"/>
                      <w:lang w:val="en-US" w:eastAsia="zh-CN"/>
                    </w:rPr>
                  </w:pPr>
                  <w:r>
                    <w:rPr>
                      <w:rFonts w:hint="eastAsia"/>
                      <w:color w:val="auto"/>
                      <w:sz w:val="21"/>
                      <w:szCs w:val="21"/>
                      <w:highlight w:val="none"/>
                      <w:u w:val="single" w:color="auto"/>
                    </w:rPr>
                    <w:t>浇灌</w:t>
                  </w:r>
                  <w:r>
                    <w:rPr>
                      <w:rFonts w:hint="eastAsia"/>
                      <w:color w:val="auto"/>
                      <w:sz w:val="21"/>
                      <w:szCs w:val="21"/>
                      <w:highlight w:val="none"/>
                      <w:u w:val="single" w:color="auto"/>
                      <w:lang w:eastAsia="zh-CN"/>
                    </w:rPr>
                    <w:t>。</w:t>
                  </w:r>
                  <w:r>
                    <w:rPr>
                      <w:rFonts w:hint="eastAsia"/>
                      <w:color w:val="auto"/>
                      <w:sz w:val="21"/>
                      <w:szCs w:val="21"/>
                      <w:highlight w:val="none"/>
                      <w:u w:val="single" w:color="auto"/>
                      <w:lang w:val="en-US" w:eastAsia="zh-CN"/>
                    </w:rPr>
                    <w:t>项目不占用耕地和基本农田。</w:t>
                  </w:r>
                </w:p>
              </w:tc>
              <w:tc>
                <w:tcPr>
                  <w:tcW w:w="7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u w:val="single" w:color="auto"/>
                    </w:rPr>
                  </w:pPr>
                  <w:r>
                    <w:rPr>
                      <w:color w:val="auto"/>
                      <w:sz w:val="21"/>
                      <w:szCs w:val="21"/>
                      <w:highlight w:val="none"/>
                      <w:u w:val="single" w:color="auto"/>
                    </w:rPr>
                    <w:t>符合</w:t>
                  </w:r>
                </w:p>
              </w:tc>
            </w:tr>
          </w:tbl>
          <w:p>
            <w:pPr>
              <w:pStyle w:val="2"/>
              <w:rPr>
                <w:color w:val="auto"/>
                <w:highlight w:val="none"/>
              </w:rPr>
            </w:pP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313" w:beforeLines="100" w:line="360" w:lineRule="auto"/>
              <w:jc w:val="left"/>
              <w:textAlignment w:val="auto"/>
              <w:rPr>
                <w:rFonts w:hint="eastAsia" w:ascii="宋体" w:hAnsi="宋体" w:cs="宋体"/>
                <w:b/>
                <w:bCs/>
                <w:color w:val="auto"/>
                <w:kern w:val="0"/>
                <w:sz w:val="24"/>
                <w:highlight w:val="none"/>
                <w:u w:val="none"/>
              </w:rPr>
            </w:pPr>
            <w:r>
              <w:rPr>
                <w:rFonts w:hint="eastAsia" w:ascii="宋体" w:hAnsi="宋体" w:cs="宋体"/>
                <w:b/>
                <w:bCs/>
                <w:color w:val="auto"/>
                <w:kern w:val="0"/>
                <w:sz w:val="24"/>
                <w:highlight w:val="none"/>
                <w:u w:val="none"/>
                <w:lang w:val="en-US" w:eastAsia="zh-CN"/>
              </w:rPr>
              <w:t>与</w:t>
            </w:r>
            <w:r>
              <w:rPr>
                <w:rFonts w:hint="eastAsia" w:ascii="宋体" w:hAnsi="宋体" w:cs="宋体"/>
                <w:b/>
                <w:bCs/>
                <w:color w:val="auto"/>
                <w:kern w:val="0"/>
                <w:sz w:val="24"/>
                <w:highlight w:val="none"/>
                <w:u w:val="none"/>
                <w:lang w:eastAsia="zh-CN"/>
              </w:rPr>
              <w:t>《</w:t>
            </w:r>
            <w:r>
              <w:rPr>
                <w:rFonts w:hint="eastAsia" w:ascii="宋体" w:hAnsi="宋体" w:cs="宋体"/>
                <w:b/>
                <w:bCs/>
                <w:color w:val="auto"/>
                <w:kern w:val="0"/>
                <w:sz w:val="24"/>
                <w:highlight w:val="none"/>
                <w:u w:val="none"/>
              </w:rPr>
              <w:t>湖南省“两高”项目管理目录</w:t>
            </w:r>
            <w:r>
              <w:rPr>
                <w:rFonts w:hint="eastAsia" w:ascii="宋体" w:hAnsi="宋体" w:cs="宋体"/>
                <w:b/>
                <w:bCs/>
                <w:color w:val="auto"/>
                <w:kern w:val="0"/>
                <w:sz w:val="24"/>
                <w:highlight w:val="none"/>
                <w:u w:val="none"/>
                <w:lang w:eastAsia="zh-CN"/>
              </w:rPr>
              <w:t>》</w:t>
            </w:r>
            <w:r>
              <w:rPr>
                <w:rFonts w:hint="eastAsia" w:ascii="宋体" w:hAnsi="宋体" w:cs="宋体"/>
                <w:b/>
                <w:bCs/>
                <w:color w:val="auto"/>
                <w:kern w:val="0"/>
                <w:sz w:val="24"/>
                <w:highlight w:val="none"/>
                <w:u w:val="none"/>
              </w:rPr>
              <w:t>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highlight w:val="none"/>
                <w:u w:val="none"/>
              </w:rPr>
            </w:pPr>
            <w:r>
              <w:rPr>
                <w:rFonts w:hint="default" w:ascii="Times New Roman" w:hAnsi="Times New Roman" w:cs="Times New Roman"/>
                <w:color w:val="auto"/>
                <w:kern w:val="0"/>
                <w:sz w:val="24"/>
                <w:highlight w:val="none"/>
                <w:u w:val="none"/>
              </w:rPr>
              <w:t>根据湖南省发改委《关于印发&lt;湖南省“两高”项目管理目录&gt;的通知》 (湘发改环资[2021] 968 号)，湖南省“两高”项目包括石化、化工、煤化工、焦化</w:t>
            </w:r>
            <w:r>
              <w:rPr>
                <w:rFonts w:hint="default" w:ascii="Times New Roman" w:hAnsi="Times New Roman" w:cs="Times New Roman"/>
                <w:color w:val="auto"/>
                <w:kern w:val="0"/>
                <w:sz w:val="24"/>
                <w:highlight w:val="none"/>
                <w:u w:val="none"/>
                <w:lang w:eastAsia="zh-CN"/>
              </w:rPr>
              <w:t>、</w:t>
            </w:r>
            <w:r>
              <w:rPr>
                <w:rFonts w:hint="default" w:ascii="Times New Roman" w:hAnsi="Times New Roman" w:cs="Times New Roman"/>
                <w:color w:val="auto"/>
                <w:kern w:val="0"/>
                <w:sz w:val="24"/>
                <w:highlight w:val="none"/>
                <w:u w:val="none"/>
                <w:lang w:val="en-US" w:eastAsia="zh-CN"/>
              </w:rPr>
              <w:t>钢铁、建材、有色、煤电</w:t>
            </w:r>
            <w:r>
              <w:rPr>
                <w:rFonts w:hint="default" w:ascii="Times New Roman" w:hAnsi="Times New Roman" w:cs="Times New Roman"/>
                <w:color w:val="auto"/>
                <w:kern w:val="0"/>
                <w:sz w:val="24"/>
                <w:highlight w:val="none"/>
                <w:u w:val="none"/>
              </w:rPr>
              <w:t>等行业，同时涉煤及煤制品、石油焦、渣油、重油等高污染物燃料使用的工业炉窑、锅炉项目也属于</w:t>
            </w:r>
            <w:r>
              <w:rPr>
                <w:rFonts w:hint="eastAsia" w:ascii="Times New Roman" w:hAnsi="Times New Roman" w:cs="Times New Roman"/>
                <w:color w:val="auto"/>
                <w:kern w:val="0"/>
                <w:sz w:val="24"/>
                <w:highlight w:val="none"/>
                <w:u w:val="none"/>
                <w:lang w:eastAsia="zh-CN"/>
              </w:rPr>
              <w:t>“</w:t>
            </w:r>
            <w:r>
              <w:rPr>
                <w:rFonts w:hint="default" w:ascii="Times New Roman" w:hAnsi="Times New Roman" w:cs="Times New Roman"/>
                <w:color w:val="auto"/>
                <w:kern w:val="0"/>
                <w:sz w:val="24"/>
                <w:highlight w:val="none"/>
                <w:u w:val="none"/>
              </w:rPr>
              <w:t>两高</w:t>
            </w:r>
            <w:r>
              <w:rPr>
                <w:rFonts w:hint="eastAsia" w:ascii="Times New Roman" w:hAnsi="Times New Roman" w:cs="Times New Roman"/>
                <w:color w:val="auto"/>
                <w:kern w:val="0"/>
                <w:sz w:val="24"/>
                <w:highlight w:val="none"/>
                <w:u w:val="none"/>
                <w:lang w:eastAsia="zh-CN"/>
              </w:rPr>
              <w:t>”</w:t>
            </w:r>
            <w:r>
              <w:rPr>
                <w:rFonts w:hint="default" w:ascii="Times New Roman" w:hAnsi="Times New Roman" w:cs="Times New Roman"/>
                <w:color w:val="auto"/>
                <w:kern w:val="0"/>
                <w:sz w:val="24"/>
                <w:highlight w:val="none"/>
                <w:u w:val="none"/>
              </w:rPr>
              <w:t>项目。本项目主要加工生产环保型成型生物质颗粒燃料，属于C2542生物质致密成型燃料加工</w:t>
            </w:r>
            <w:r>
              <w:rPr>
                <w:rFonts w:hint="default" w:ascii="Times New Roman" w:hAnsi="Times New Roman" w:cs="Times New Roman"/>
                <w:color w:val="auto"/>
                <w:kern w:val="0"/>
                <w:sz w:val="24"/>
                <w:highlight w:val="none"/>
                <w:u w:val="none"/>
                <w:lang w:eastAsia="zh-CN"/>
              </w:rPr>
              <w:t>，</w:t>
            </w:r>
            <w:r>
              <w:rPr>
                <w:rFonts w:hint="default" w:ascii="Times New Roman" w:hAnsi="Times New Roman" w:cs="Times New Roman"/>
                <w:color w:val="auto"/>
                <w:kern w:val="0"/>
                <w:sz w:val="24"/>
                <w:highlight w:val="none"/>
                <w:u w:val="none"/>
              </w:rPr>
              <w:t>根据《关于印发&lt;湖南省“两高”项目管理目录&gt;的通知》 (湘发改环资[2021] 968号)，本项目不属于“两高”项目。</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kern w:val="0"/>
                <w:sz w:val="24"/>
                <w:highlight w:val="none"/>
                <w:u w:val="none"/>
                <w:lang w:val="en-US" w:eastAsia="zh-CN"/>
              </w:rPr>
            </w:pPr>
            <w:r>
              <w:rPr>
                <w:rFonts w:hint="eastAsia" w:ascii="宋体" w:hAnsi="宋体" w:eastAsia="宋体" w:cs="宋体"/>
                <w:b/>
                <w:bCs/>
                <w:color w:val="auto"/>
                <w:kern w:val="0"/>
                <w:sz w:val="24"/>
                <w:highlight w:val="none"/>
                <w:u w:val="none"/>
                <w:lang w:val="en-US" w:eastAsia="zh-CN"/>
              </w:rPr>
              <w:t>五、与《湖南省长江经济带发展负面清单实施细则（试行)》（2022年版）符合性分析</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color w:val="auto"/>
                <w:kern w:val="0"/>
                <w:sz w:val="24"/>
                <w:highlight w:val="none"/>
                <w:u w:val="none"/>
                <w:lang w:val="en-US" w:eastAsia="zh-CN"/>
              </w:rPr>
            </w:pPr>
            <w:r>
              <w:rPr>
                <w:rFonts w:hint="default" w:ascii="宋体" w:hAnsi="宋体" w:eastAsia="宋体" w:cs="宋体"/>
                <w:b/>
                <w:bCs/>
                <w:color w:val="auto"/>
                <w:kern w:val="0"/>
                <w:sz w:val="24"/>
                <w:highlight w:val="none"/>
                <w:u w:val="none"/>
                <w:lang w:val="en-US" w:eastAsia="zh-CN"/>
              </w:rPr>
              <w:t>表1-</w:t>
            </w:r>
            <w:r>
              <w:rPr>
                <w:rFonts w:hint="eastAsia" w:ascii="宋体" w:hAnsi="宋体" w:eastAsia="宋体" w:cs="宋体"/>
                <w:b/>
                <w:bCs/>
                <w:color w:val="auto"/>
                <w:kern w:val="0"/>
                <w:sz w:val="24"/>
                <w:highlight w:val="none"/>
                <w:u w:val="none"/>
                <w:lang w:val="en-US" w:eastAsia="zh-CN"/>
              </w:rPr>
              <w:t xml:space="preserve">2 </w:t>
            </w:r>
            <w:r>
              <w:rPr>
                <w:rFonts w:hint="default" w:ascii="宋体" w:hAnsi="宋体" w:eastAsia="宋体" w:cs="宋体"/>
                <w:b/>
                <w:bCs/>
                <w:color w:val="auto"/>
                <w:kern w:val="0"/>
                <w:sz w:val="24"/>
                <w:highlight w:val="none"/>
                <w:u w:val="none"/>
                <w:lang w:val="en-US" w:eastAsia="zh-CN"/>
              </w:rPr>
              <w:t>《湖南省长江经济带发展负面清单实施细则（试行)》</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color w:val="auto"/>
                <w:kern w:val="0"/>
                <w:sz w:val="24"/>
                <w:highlight w:val="none"/>
                <w:u w:val="none"/>
                <w:lang w:val="en-US" w:eastAsia="zh-CN"/>
              </w:rPr>
            </w:pPr>
            <w:r>
              <w:rPr>
                <w:rFonts w:hint="default" w:ascii="宋体" w:hAnsi="宋体" w:eastAsia="宋体" w:cs="宋体"/>
                <w:b/>
                <w:bCs/>
                <w:color w:val="auto"/>
                <w:kern w:val="0"/>
                <w:sz w:val="24"/>
                <w:highlight w:val="none"/>
                <w:u w:val="none"/>
                <w:lang w:val="en-US" w:eastAsia="zh-CN"/>
              </w:rPr>
              <w:t>（2022 年版）符合性分析</w:t>
            </w:r>
          </w:p>
          <w:tbl>
            <w:tblPr>
              <w:tblStyle w:val="23"/>
              <w:tblW w:w="4999" w:type="pct"/>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5180"/>
              <w:gridCol w:w="208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bottom w:val="single" w:color="000000" w:sz="4" w:space="0"/>
                    <w:right w:val="single" w:color="000000" w:sz="4" w:space="0"/>
                  </w:tcBorders>
                  <w:noWrap w:val="0"/>
                  <w:vAlign w:val="center"/>
                </w:tcPr>
                <w:p>
                  <w:pPr>
                    <w:jc w:val="center"/>
                    <w:rPr>
                      <w:b/>
                      <w:bCs/>
                      <w:color w:val="auto"/>
                      <w:highlight w:val="none"/>
                      <w:u w:val="none"/>
                    </w:rPr>
                  </w:pPr>
                  <w:r>
                    <w:rPr>
                      <w:b/>
                      <w:bCs/>
                      <w:color w:val="auto"/>
                      <w:highlight w:val="none"/>
                      <w:u w:val="none"/>
                    </w:rPr>
                    <w:t>要求</w:t>
                  </w:r>
                </w:p>
              </w:tc>
              <w:tc>
                <w:tcPr>
                  <w:tcW w:w="1435" w:type="pct"/>
                  <w:tcBorders>
                    <w:left w:val="single" w:color="000000" w:sz="4" w:space="0"/>
                    <w:bottom w:val="single" w:color="000000" w:sz="4" w:space="0"/>
                  </w:tcBorders>
                  <w:noWrap w:val="0"/>
                  <w:vAlign w:val="center"/>
                </w:tcPr>
                <w:p>
                  <w:pPr>
                    <w:jc w:val="center"/>
                    <w:rPr>
                      <w:b/>
                      <w:bCs/>
                      <w:color w:val="auto"/>
                      <w:highlight w:val="none"/>
                      <w:u w:val="none"/>
                    </w:rPr>
                  </w:pPr>
                  <w:r>
                    <w:rPr>
                      <w:b/>
                      <w:bCs/>
                      <w:color w:val="auto"/>
                      <w:highlight w:val="none"/>
                      <w:u w:val="none"/>
                    </w:rPr>
                    <w:t>符合性分析</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建设不符合全国和省级港口布局规划以及港口总体规划的码头项目。对不符合港口总体规划的新建、改建和扩建的码头工程（含舾装码头工程）及其同时建设的配套设施、防波堤、锚地、护岸等工程，投资主管部门不得审批或核准。码头工程建设项目需要使用港口岸线的，项目单位应当按照国省港口岸线使用的管理规定办理港口岸线使用手续。未取得岸线使用批准文件或者岸线使用意见的，不得开工建设。禁止建设不符合《长江于线过江通道布局规划（2020-2035年）》的过长江通道项目。</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符合。本项目</w:t>
                  </w:r>
                  <w:r>
                    <w:rPr>
                      <w:rFonts w:hint="eastAsia" w:ascii="Times New Roman" w:hAnsi="Times New Roman" w:eastAsia="Times New Roman" w:cs="Times New Roman"/>
                      <w:color w:val="auto"/>
                      <w:szCs w:val="21"/>
                      <w:highlight w:val="none"/>
                      <w:u w:val="none"/>
                      <w:lang w:val="en-US" w:eastAsia="zh-CN"/>
                    </w:rPr>
                    <w:t>生产</w:t>
                  </w:r>
                  <w:r>
                    <w:rPr>
                      <w:rFonts w:hint="eastAsia" w:eastAsia="Times New Roman" w:cs="Times New Roman"/>
                      <w:color w:val="auto"/>
                      <w:szCs w:val="21"/>
                      <w:highlight w:val="none"/>
                      <w:u w:val="none"/>
                      <w:lang w:val="en-US" w:eastAsia="zh-CN"/>
                    </w:rPr>
                    <w:t>成型</w:t>
                  </w:r>
                  <w:r>
                    <w:rPr>
                      <w:rFonts w:hint="eastAsia" w:ascii="Times New Roman" w:hAnsi="Times New Roman" w:eastAsia="Times New Roman" w:cs="Times New Roman"/>
                      <w:color w:val="auto"/>
                      <w:szCs w:val="21"/>
                      <w:highlight w:val="none"/>
                      <w:u w:val="none"/>
                      <w:lang w:val="en-US" w:eastAsia="zh-CN"/>
                    </w:rPr>
                    <w:t>生物质颗粒</w:t>
                  </w:r>
                  <w:r>
                    <w:rPr>
                      <w:rFonts w:hint="eastAsia" w:ascii="Times New Roman" w:hAnsi="Times New Roman" w:eastAsia="Times New Roman" w:cs="Times New Roman"/>
                      <w:color w:val="auto"/>
                      <w:szCs w:val="21"/>
                      <w:highlight w:val="none"/>
                      <w:u w:val="none"/>
                    </w:rPr>
                    <w:t>，不属于码头、过江通道类型项目。</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禁止在自然保护区核心区、缓冲区的岸线和河段范围内投资建设以下项目：</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一）高尔夫球场开发、房地产开发、索道建设、会所建设等项目；（二）光伏发电、风力发电、火力发电建设项目；（三）社会资金进行商业性探矿勘查，以及不属于国家紧缺矿种资源的基础地质调查和矿产远景调查等公益性工作的设施建设；（四）野生动物驯养繁殖、展览基地建设项目；（五）污染环境、破坏自然资源或自然景观的建设设施；（六）对自然保护区主要保护对象产生重大影响、改变自然生态系统完整性、原真性、破坏自然景观的设施；（七）其他不符合自然保护区主体功能定位和国家禁止的设施。</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符合。项目建设符合所在</w:t>
                  </w:r>
                  <w:r>
                    <w:rPr>
                      <w:rFonts w:hint="eastAsia" w:ascii="Times New Roman" w:hAnsi="Times New Roman" w:eastAsia="Times New Roman" w:cs="Times New Roman"/>
                      <w:color w:val="auto"/>
                      <w:szCs w:val="21"/>
                      <w:highlight w:val="none"/>
                      <w:u w:val="none"/>
                      <w:lang w:val="en-US" w:eastAsia="zh-CN"/>
                    </w:rPr>
                    <w:t>在地</w:t>
                  </w:r>
                  <w:r>
                    <w:rPr>
                      <w:rFonts w:hint="eastAsia" w:ascii="Times New Roman" w:hAnsi="Times New Roman" w:eastAsia="Times New Roman" w:cs="Times New Roman"/>
                      <w:color w:val="auto"/>
                      <w:szCs w:val="21"/>
                      <w:highlight w:val="none"/>
                      <w:u w:val="none"/>
                    </w:rPr>
                    <w:t>“三线一单”生态环境准入要求及负面清单要求；本项目选址地不涉及自然保护区、风景名胜区。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机场、铁路、公路、水利、航运、围堰等公益性基础设施的选址选线应多方案优化比选，尽量避让相关自然保护区域、野生动物迁徙洄游通道；无法避让的，应当采取修建野生动物通道、过鱼设施等措施，消除或者减少对野生动物的不利影响。</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本项目选址选线不涉及相关自然保护区域、野生动物迁徙洄游通道。</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符合。本项目选址选线不在风景名胜区内。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8"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饮用水水源一级保护区内禁止新建、改建、扩建与供水设施和保护水源无关的建设项目，以及网箱养殖、畜禽养殖、旅游等可能污染饮用水水体的投资建设项目；禁止向水域排放污水，已设置的排污口必须拆除；不得设置与供水需要无关的码头，禁止停靠船舶；禁止堆置和存放工业废渣、城市垃圾、粪便和其它废弃物；禁止设置油库；禁止使用含磷洗涤用品。</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饮用水水源二级保护区内禁止新建、改建、扩建向水体排放污染物的投资建设项目。原有排污口依法拆除或关闭。禁止设立装卸垃圾、粪便、油类和有毒物品的码头。</w:t>
                  </w:r>
                </w:p>
              </w:tc>
              <w:tc>
                <w:tcPr>
                  <w:tcW w:w="1435" w:type="pct"/>
                  <w:tcBorders>
                    <w:top w:val="single" w:color="000000" w:sz="4" w:space="0"/>
                    <w:left w:val="single" w:color="000000" w:sz="4" w:space="0"/>
                    <w:bottom w:val="single" w:color="000000" w:sz="8"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符合。本项目不涉及饮用水水源保护区。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248" w:hRule="atLeast"/>
              </w:trPr>
              <w:tc>
                <w:tcPr>
                  <w:tcW w:w="3564" w:type="pct"/>
                  <w:tcBorders>
                    <w:top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禁止在水产种质资源保护区的岸线和河段范围内新建排污口、实施非法围垦河道和围湖造田造地等投资建设项目。</w:t>
                  </w:r>
                </w:p>
              </w:tc>
              <w:tc>
                <w:tcPr>
                  <w:tcW w:w="1435" w:type="pct"/>
                  <w:tcBorders>
                    <w:top w:val="single" w:color="000000" w:sz="4" w:space="0"/>
                    <w:lef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本项目选址地不涉及水产种质资源保护区。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12"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除《中华人民共和国防洪法》规定的紧急防汛期采取的紧急措施外，禁止在国家湿地公园的岸线和河段范围内挖沙、采矿，以及以下不符合主体功能定位的行为和活动：</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(一)开(围)垦、填埋或者排干湿地。</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二)截断湿地水源。(三)倾倒有毒有害物质、废弃物、垃圾。(四)从事房地产、度假村、高尔夫球场、风力发电、光伏发电等任何不符合主体功能定位的建设项目和开发活动。(五)破坏野生动物栖息地和迁徙通道、鱼类洄游通道滥采滥捕野生动植物。</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(六)引入外来物种。</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(七)擅自放牧、捕捞、取土、取水、排污、放生。</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(八)其他破坏湿地及其生态功能的活动。</w:t>
                  </w:r>
                </w:p>
              </w:tc>
              <w:tc>
                <w:tcPr>
                  <w:tcW w:w="1435" w:type="pct"/>
                  <w:vMerge w:val="restart"/>
                  <w:tcBorders>
                    <w:top w:val="single" w:color="000000" w:sz="4" w:space="0"/>
                    <w:lef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符合。本项目选址地不涉及国家湿地公园，项目建设符合所在地区生态环境功能定位要求。</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862" w:hRule="atLeast"/>
              </w:trPr>
              <w:tc>
                <w:tcPr>
                  <w:tcW w:w="3564" w:type="pct"/>
                  <w:vMerge w:val="restar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填湖造地、围湖造田及非法围垦河道，禁止非法建设矮围网围、填埋湿地等侵占河湖水域或者违法利用、占用河湖岸线的行为。</w:t>
                  </w:r>
                </w:p>
              </w:tc>
              <w:tc>
                <w:tcPr>
                  <w:tcW w:w="1435" w:type="pct"/>
                  <w:tcBorders>
                    <w:top w:val="single" w:color="000000" w:sz="4" w:space="0"/>
                    <w:lef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符合。本项目不涉及长江流域河湖岸线。</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872" w:hRule="atLeast"/>
              </w:trPr>
              <w:tc>
                <w:tcPr>
                  <w:tcW w:w="3564" w:type="pct"/>
                  <w:vMerge w:val="restart"/>
                  <w:tcBorders>
                    <w:top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禁止在《全国重要江河湖泊水功能区划》划定的河段及湖泊保护区、保留区内投资建设不利于水资源及自然生态保护的项目。</w:t>
                  </w:r>
                </w:p>
              </w:tc>
              <w:tc>
                <w:tcPr>
                  <w:tcW w:w="1435" w:type="pct"/>
                  <w:tcBorders>
                    <w:top w:val="single" w:color="000000" w:sz="4" w:space="0"/>
                    <w:lef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本项目不在《全国重要江河湖泊水功能区划》划定的河段及湖泊保护区、保留区内进行建设。</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165" w:hRule="atLeast"/>
              </w:trPr>
              <w:tc>
                <w:tcPr>
                  <w:tcW w:w="3564" w:type="pct"/>
                  <w:tcBorders>
                    <w:top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禁止未经许可在长江干支流及湖泊新设、改设或扩大排污口。</w:t>
                  </w:r>
                </w:p>
              </w:tc>
              <w:tc>
                <w:tcPr>
                  <w:tcW w:w="1435" w:type="pct"/>
                  <w:tcBorders>
                    <w:top w:val="single" w:color="000000" w:sz="4" w:space="0"/>
                    <w:left w:val="single" w:color="000000" w:sz="4" w:space="0"/>
                    <w:bottom w:val="single" w:color="000000" w:sz="8"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项目生活污水</w:t>
                  </w:r>
                  <w:r>
                    <w:rPr>
                      <w:rFonts w:hint="eastAsia" w:ascii="Times New Roman" w:hAnsi="Times New Roman" w:eastAsia="Times New Roman" w:cs="Times New Roman"/>
                      <w:color w:val="auto"/>
                      <w:szCs w:val="21"/>
                      <w:highlight w:val="none"/>
                      <w:u w:val="none"/>
                      <w:lang w:val="en-US" w:eastAsia="zh-CN"/>
                    </w:rPr>
                    <w:t>用于周边</w:t>
                  </w:r>
                  <w:r>
                    <w:rPr>
                      <w:rFonts w:hint="eastAsia" w:eastAsia="Times New Roman" w:cs="Times New Roman"/>
                      <w:color w:val="auto"/>
                      <w:szCs w:val="21"/>
                      <w:highlight w:val="none"/>
                      <w:u w:val="none"/>
                      <w:lang w:val="en-US" w:eastAsia="zh-CN"/>
                    </w:rPr>
                    <w:t>菜地浇灌</w:t>
                  </w:r>
                  <w:r>
                    <w:rPr>
                      <w:rFonts w:hint="eastAsia" w:ascii="Times New Roman" w:hAnsi="Times New Roman" w:eastAsia="Times New Roman" w:cs="Times New Roman"/>
                      <w:color w:val="auto"/>
                      <w:szCs w:val="21"/>
                      <w:highlight w:val="none"/>
                      <w:u w:val="none"/>
                      <w:lang w:val="en-US" w:eastAsia="zh-CN"/>
                    </w:rPr>
                    <w:t>，不外排</w:t>
                  </w:r>
                  <w:r>
                    <w:rPr>
                      <w:rFonts w:hint="eastAsia" w:ascii="Times New Roman" w:hAnsi="Times New Roman" w:eastAsia="Times New Roman" w:cs="Times New Roman"/>
                      <w:color w:val="auto"/>
                      <w:szCs w:val="21"/>
                      <w:highlight w:val="none"/>
                      <w:u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8"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在洞庭湖、湘江、资江、沅江、澧水干流和45个水生生物保护区开展生产性捕捞。在相关自然保护区域和禁猎（渔）区、禁猎（渔）期内，禁止猎捕以及其他妨碍野生动物生息繁衍的活动，但法律法规另有规定的除外。</w:t>
                  </w:r>
                </w:p>
              </w:tc>
              <w:tc>
                <w:tcPr>
                  <w:tcW w:w="1435" w:type="pct"/>
                  <w:tcBorders>
                    <w:top w:val="single" w:color="000000" w:sz="8"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符合。本项目不在水生生物保护区进行生产性捕捞。</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702" w:hRule="atLeast"/>
              </w:trPr>
              <w:tc>
                <w:tcPr>
                  <w:tcW w:w="3564" w:type="pct"/>
                  <w:tcBorders>
                    <w:top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在长江湖南段和洞庭湖、湘江、资江、沅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项目不属于化工项目，不属于尾矿库、冶炼渣库和磷石膏库，且</w:t>
                  </w:r>
                  <w:r>
                    <w:rPr>
                      <w:rFonts w:hint="eastAsia" w:ascii="Times New Roman" w:hAnsi="Times New Roman" w:eastAsia="宋体" w:cs="Times New Roman"/>
                      <w:color w:val="auto"/>
                      <w:szCs w:val="21"/>
                      <w:highlight w:val="none"/>
                      <w:u w:val="none"/>
                      <w:lang w:val="en-US" w:eastAsia="zh-CN"/>
                    </w:rPr>
                    <w:t>不属于</w:t>
                  </w:r>
                  <w:r>
                    <w:rPr>
                      <w:rFonts w:hint="eastAsia" w:ascii="Times New Roman" w:hAnsi="Times New Roman" w:eastAsia="Times New Roman" w:cs="Times New Roman"/>
                      <w:color w:val="auto"/>
                      <w:szCs w:val="21"/>
                      <w:highlight w:val="none"/>
                      <w:u w:val="none"/>
                    </w:rPr>
                    <w:t>在长江湖南段和洞庭湖、湘江、资江、沅江、澧水干流岸线一公里范围内新建、扩建化工园区和化工项目。</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532" w:hRule="atLeast"/>
              </w:trPr>
              <w:tc>
                <w:tcPr>
                  <w:tcW w:w="3564" w:type="pct"/>
                  <w:tcBorders>
                    <w:top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禁止在合规园区外新建、扩建钢铁、石化、化工、焦化、建材、有色、制浆造纸等高污染项目。高污染项目严格按照生态环境部《环境保护综合名录(2021年版)》有关要求执行。</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w:t>
                  </w:r>
                </w:p>
                <w:p>
                  <w:pPr>
                    <w:pStyle w:val="56"/>
                    <w:spacing w:before="48" w:beforeLines="20" w:after="48" w:afterLines="20"/>
                    <w:rPr>
                      <w:rFonts w:hint="eastAsia" w:ascii="Times New Roman" w:hAnsi="Times New Roman" w:eastAsia="Times New Roman" w:cs="Times New Roman"/>
                      <w:color w:val="auto"/>
                      <w:szCs w:val="21"/>
                      <w:highlight w:val="none"/>
                      <w:u w:val="none"/>
                      <w:lang w:eastAsia="zh-CN"/>
                    </w:rPr>
                  </w:pPr>
                  <w:r>
                    <w:rPr>
                      <w:rFonts w:hint="eastAsia" w:ascii="Times New Roman" w:hAnsi="Times New Roman" w:eastAsia="Times New Roman" w:cs="Times New Roman"/>
                      <w:color w:val="auto"/>
                      <w:szCs w:val="21"/>
                      <w:highlight w:val="none"/>
                      <w:u w:val="none"/>
                    </w:rPr>
                    <w:t>本项目不属于钢铁、石化、化工、焦化、建材、有色、制浆造纸等高污染项目</w:t>
                  </w:r>
                  <w:r>
                    <w:rPr>
                      <w:rFonts w:hint="eastAsia" w:ascii="Times New Roman" w:hAnsi="Times New Roman" w:eastAsia="Times New Roman" w:cs="Times New Roman"/>
                      <w:color w:val="auto"/>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08" w:hRule="atLeast"/>
              </w:trPr>
              <w:tc>
                <w:tcPr>
                  <w:tcW w:w="3564" w:type="pct"/>
                  <w:tcBorders>
                    <w:top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禁止新建、扩建不符合国家石化、现代煤化工等产业布局规划的项目。未通过认定的化工园区，不得新建、改扩建化工项目（安全、环保、节能和智能化改造项目除外)。</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符合。</w:t>
                  </w:r>
                </w:p>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本项目不属于石化现代煤化工等产业</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rPr>
                  </w:pPr>
                  <w:r>
                    <w:rPr>
                      <w:rFonts w:hint="eastAsia" w:ascii="Times New Roman" w:hAnsi="Times New Roman" w:eastAsia="Times New Roman" w:cs="Times New Roman"/>
                      <w:color w:val="auto"/>
                      <w:szCs w:val="21"/>
                      <w:highlight w:val="none"/>
                      <w:u w:val="none"/>
                    </w:rPr>
                    <w:t>禁止新建、扩建法律法规和相关政策明令禁止的落后产能项目；对不符合要求的落后产能存量项目依法依规退出。禁止新建、扩建不符合国家产能置换要求的严重过剩产能行业（钢铁、水泥、电解铝、平板玻璃、船舶等行业）的项目。对确有必要新建、扩建的，必须严格执行产能置换实施办法，实施减量或等量置换，依法依规办理有关手续。禁止新建、扩建不符合要求的高耗能高排放项目。</w:t>
                  </w:r>
                </w:p>
              </w:tc>
              <w:tc>
                <w:tcPr>
                  <w:tcW w:w="1435" w:type="pct"/>
                  <w:tcBorders>
                    <w:top w:val="single" w:color="000000" w:sz="4" w:space="0"/>
                    <w:lef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none"/>
                      <w:lang w:eastAsia="zh-CN"/>
                    </w:rPr>
                  </w:pPr>
                  <w:r>
                    <w:rPr>
                      <w:rFonts w:hint="eastAsia" w:ascii="Times New Roman" w:hAnsi="Times New Roman" w:eastAsia="Times New Roman" w:cs="Times New Roman"/>
                      <w:color w:val="auto"/>
                      <w:szCs w:val="21"/>
                      <w:highlight w:val="none"/>
                      <w:u w:val="none"/>
                    </w:rPr>
                    <w:t>符合。本项目不属于落后产能、严重过剩产能行业项目，不属于高耗能高排放项目</w:t>
                  </w:r>
                  <w:r>
                    <w:rPr>
                      <w:rFonts w:hint="eastAsia" w:ascii="Times New Roman" w:hAnsi="Times New Roman" w:eastAsia="Times New Roman" w:cs="Times New Roman"/>
                      <w:color w:val="auto"/>
                      <w:szCs w:val="21"/>
                      <w:highlight w:val="none"/>
                      <w:u w:val="none"/>
                      <w:lang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b/>
                <w:bCs/>
                <w:color w:val="auto"/>
                <w:kern w:val="0"/>
                <w:sz w:val="24"/>
                <w:highlight w:val="none"/>
                <w:u w:val="single"/>
                <w:lang w:val="en-US" w:eastAsia="zh-CN"/>
              </w:rPr>
            </w:pPr>
            <w:r>
              <w:rPr>
                <w:rFonts w:hint="eastAsia" w:ascii="宋体" w:hAnsi="宋体" w:cs="宋体"/>
                <w:b/>
                <w:bCs/>
                <w:color w:val="auto"/>
                <w:kern w:val="0"/>
                <w:sz w:val="24"/>
                <w:highlight w:val="none"/>
                <w:u w:val="single"/>
                <w:lang w:val="en-US" w:eastAsia="zh-CN"/>
              </w:rPr>
              <w:t>六</w:t>
            </w:r>
            <w:r>
              <w:rPr>
                <w:rFonts w:hint="eastAsia" w:ascii="宋体" w:hAnsi="宋体" w:cs="宋体"/>
                <w:b/>
                <w:bCs/>
                <w:color w:val="auto"/>
                <w:kern w:val="0"/>
                <w:sz w:val="24"/>
                <w:highlight w:val="none"/>
                <w:u w:val="single"/>
                <w:lang w:val="en-US" w:eastAsia="zh-CN"/>
              </w:rPr>
              <w:t>、与《湖南省工业炉窑大气污染综合治理实施方案》（湘环发【2020】6号）的符合性分析</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u w:val="single"/>
                <w:lang w:val="en-US" w:eastAsia="zh-CN"/>
              </w:rPr>
              <w:t>表 1-</w:t>
            </w:r>
            <w:r>
              <w:rPr>
                <w:rFonts w:hint="eastAsia" w:ascii="宋体" w:hAnsi="宋体" w:cs="宋体"/>
                <w:b/>
                <w:bCs/>
                <w:color w:val="auto"/>
                <w:kern w:val="0"/>
                <w:sz w:val="24"/>
                <w:highlight w:val="none"/>
                <w:u w:val="single"/>
                <w:lang w:val="en-US" w:eastAsia="zh-CN"/>
              </w:rPr>
              <w:t>3</w:t>
            </w:r>
            <w:r>
              <w:rPr>
                <w:rFonts w:hint="eastAsia" w:ascii="宋体" w:hAnsi="宋体" w:eastAsia="宋体" w:cs="宋体"/>
                <w:b/>
                <w:bCs/>
                <w:color w:val="auto"/>
                <w:kern w:val="0"/>
                <w:sz w:val="24"/>
                <w:highlight w:val="none"/>
                <w:u w:val="single"/>
                <w:lang w:val="en-US" w:eastAsia="zh-CN"/>
              </w:rPr>
              <w:t xml:space="preserve"> 《湖南省工业炉窑大气污染综合治理实施方案》相符性分析</w:t>
            </w:r>
          </w:p>
          <w:tbl>
            <w:tblPr>
              <w:tblStyle w:val="23"/>
              <w:tblW w:w="4999" w:type="pct"/>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5180"/>
              <w:gridCol w:w="208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bottom w:val="single" w:color="000000" w:sz="4" w:space="0"/>
                    <w:right w:val="single" w:color="000000" w:sz="4" w:space="0"/>
                  </w:tcBorders>
                  <w:noWrap w:val="0"/>
                  <w:vAlign w:val="center"/>
                </w:tcPr>
                <w:p>
                  <w:pPr>
                    <w:jc w:val="center"/>
                    <w:rPr>
                      <w:b/>
                      <w:bCs/>
                      <w:color w:val="auto"/>
                      <w:highlight w:val="none"/>
                      <w:u w:val="single"/>
                    </w:rPr>
                  </w:pPr>
                  <w:r>
                    <w:rPr>
                      <w:b/>
                      <w:bCs/>
                      <w:color w:val="auto"/>
                      <w:highlight w:val="none"/>
                      <w:u w:val="single"/>
                    </w:rPr>
                    <w:t>要求</w:t>
                  </w:r>
                </w:p>
              </w:tc>
              <w:tc>
                <w:tcPr>
                  <w:tcW w:w="1435" w:type="pct"/>
                  <w:tcBorders>
                    <w:left w:val="single" w:color="000000" w:sz="4" w:space="0"/>
                    <w:bottom w:val="single" w:color="000000" w:sz="4" w:space="0"/>
                  </w:tcBorders>
                  <w:noWrap w:val="0"/>
                  <w:vAlign w:val="center"/>
                </w:tcPr>
                <w:p>
                  <w:pPr>
                    <w:jc w:val="center"/>
                    <w:rPr>
                      <w:b/>
                      <w:bCs/>
                      <w:color w:val="auto"/>
                      <w:highlight w:val="none"/>
                      <w:u w:val="single"/>
                    </w:rPr>
                  </w:pPr>
                  <w:r>
                    <w:rPr>
                      <w:b/>
                      <w:bCs/>
                      <w:color w:val="auto"/>
                      <w:highlight w:val="none"/>
                      <w:u w:val="single"/>
                    </w:rPr>
                    <w:t>符合性分析</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Times New Roman" w:cs="Times New Roman"/>
                      <w:color w:val="auto"/>
                      <w:szCs w:val="21"/>
                      <w:highlight w:val="none"/>
                      <w:u w:val="none"/>
                    </w:rPr>
                    <w:t>1.有组织排放控制要求。已有行业排放标准的工业炉窑，严格按行业排放标准执行，已发放排污许可证的，应严格执行排污许可要求。暂未制订行业排放标准的工业炉窑，待地方标准出台后执行，现阶段长沙市、株洲市、湘潭市以及常德市、岳阳市、益阳市等传输通道城市按照颗粒物、二氧化硫、氮氧化物排放限值分别不高于30、200、300 毫克/立方米实施改造，其中，日用玻璃、玻璃棉行业氮氧化物排放限值不高于 400 毫克/立方米，水泥生产企业氮氧化物排放限值不高于100 毫克/立方米，铸造行业烧结、高炉工序污染排放控制按照钢铁行业相关标准要求执</w:t>
                  </w:r>
                  <w:r>
                    <w:rPr>
                      <w:rFonts w:hint="eastAsia" w:eastAsia="宋体" w:cs="Times New Roman"/>
                      <w:color w:val="auto"/>
                      <w:szCs w:val="21"/>
                      <w:highlight w:val="none"/>
                      <w:u w:val="none"/>
                      <w:lang w:val="en-US" w:eastAsia="zh-CN"/>
                    </w:rPr>
                    <w:t>行。</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Times New Roman" w:cs="Times New Roman"/>
                      <w:color w:val="auto"/>
                      <w:szCs w:val="21"/>
                      <w:highlight w:val="none"/>
                      <w:u w:val="single"/>
                    </w:rPr>
                    <w:t>符合。本项目位于岳阳临湘市，所属行业和所使用的热风炉为暂未制定行业排放标准的工业窑炉，因此本项目排气筒中颗粒物、二氧化硫</w:t>
                  </w:r>
                  <w:r>
                    <w:rPr>
                      <w:rFonts w:hint="eastAsia" w:eastAsia="宋体" w:cs="Times New Roman"/>
                      <w:color w:val="auto"/>
                      <w:szCs w:val="21"/>
                      <w:highlight w:val="none"/>
                      <w:u w:val="single"/>
                      <w:lang w:val="en-US" w:eastAsia="zh-CN"/>
                    </w:rPr>
                    <w:t>执行</w:t>
                  </w:r>
                  <w:r>
                    <w:rPr>
                      <w:rFonts w:hint="eastAsia" w:ascii="Times New Roman" w:hAnsi="Times New Roman" w:eastAsia="Times New Roman" w:cs="Times New Roman"/>
                      <w:color w:val="auto"/>
                      <w:szCs w:val="21"/>
                      <w:highlight w:val="none"/>
                      <w:u w:val="single"/>
                    </w:rPr>
                    <w:t>《湖南省工业炉窑大气污染综合治理实施方案》中附件一表中的工业炉窑标准限值，氮氧化物</w:t>
                  </w:r>
                  <w:r>
                    <w:rPr>
                      <w:rFonts w:hint="eastAsia" w:eastAsia="宋体" w:cs="Times New Roman"/>
                      <w:color w:val="auto"/>
                      <w:szCs w:val="21"/>
                      <w:highlight w:val="none"/>
                      <w:u w:val="single"/>
                      <w:lang w:val="en-US" w:eastAsia="zh-CN"/>
                    </w:rPr>
                    <w:t>从严执行</w:t>
                  </w:r>
                  <w:r>
                    <w:rPr>
                      <w:rFonts w:hint="eastAsia" w:ascii="Times New Roman" w:hAnsi="Times New Roman" w:eastAsia="Times New Roman" w:cs="Times New Roman"/>
                      <w:color w:val="auto"/>
                      <w:szCs w:val="21"/>
                      <w:highlight w:val="none"/>
                      <w:u w:val="single"/>
                    </w:rPr>
                    <w:t>《大气污染物综合排放标准》（GB16297-1996）表2标准，烟气黑度</w:t>
                  </w:r>
                  <w:r>
                    <w:rPr>
                      <w:rFonts w:hint="eastAsia" w:eastAsia="宋体" w:cs="Times New Roman"/>
                      <w:color w:val="auto"/>
                      <w:szCs w:val="21"/>
                      <w:highlight w:val="none"/>
                      <w:u w:val="single"/>
                      <w:lang w:val="en-US" w:eastAsia="zh-CN"/>
                    </w:rPr>
                    <w:t>执行</w:t>
                  </w:r>
                  <w:r>
                    <w:rPr>
                      <w:rFonts w:hint="eastAsia" w:ascii="Times New Roman" w:hAnsi="Times New Roman" w:eastAsia="Times New Roman" w:cs="Times New Roman"/>
                      <w:color w:val="auto"/>
                      <w:szCs w:val="21"/>
                      <w:highlight w:val="none"/>
                      <w:u w:val="single"/>
                    </w:rPr>
                    <w:t>《工业炉窑大气污染物排放标准》（GB9078-1996）表2标准</w:t>
                  </w:r>
                  <w:r>
                    <w:rPr>
                      <w:rFonts w:hint="eastAsia" w:eastAsia="宋体" w:cs="Times New Roman"/>
                      <w:color w:val="auto"/>
                      <w:szCs w:val="21"/>
                      <w:highlight w:val="none"/>
                      <w:u w:val="single"/>
                      <w:lang w:eastAsia="zh-CN"/>
                    </w:rPr>
                    <w:t>（</w:t>
                  </w:r>
                  <w:r>
                    <w:rPr>
                      <w:rFonts w:hint="eastAsia" w:ascii="Times New Roman" w:hAnsi="Times New Roman" w:eastAsia="Times New Roman" w:cs="Times New Roman"/>
                      <w:color w:val="auto"/>
                      <w:szCs w:val="21"/>
                      <w:highlight w:val="none"/>
                      <w:u w:val="single"/>
                    </w:rPr>
                    <w:t>（颗粒物浓度小于30mg/m³，SO</w:t>
                  </w:r>
                  <w:r>
                    <w:rPr>
                      <w:rFonts w:hint="eastAsia" w:ascii="Times New Roman" w:hAnsi="Times New Roman" w:eastAsia="Times New Roman" w:cs="Times New Roman"/>
                      <w:color w:val="auto"/>
                      <w:szCs w:val="21"/>
                      <w:highlight w:val="none"/>
                      <w:u w:val="single"/>
                      <w:vertAlign w:val="subscript"/>
                    </w:rPr>
                    <w:t>2</w:t>
                  </w:r>
                  <w:r>
                    <w:rPr>
                      <w:rFonts w:hint="eastAsia" w:ascii="Times New Roman" w:hAnsi="Times New Roman" w:eastAsia="Times New Roman" w:cs="Times New Roman"/>
                      <w:color w:val="auto"/>
                      <w:szCs w:val="21"/>
                      <w:highlight w:val="none"/>
                      <w:u w:val="single"/>
                    </w:rPr>
                    <w:t>小于200mg/m³，NO</w:t>
                  </w:r>
                  <w:r>
                    <w:rPr>
                      <w:rFonts w:hint="eastAsia" w:ascii="Times New Roman" w:hAnsi="Times New Roman" w:eastAsia="Times New Roman" w:cs="Times New Roman"/>
                      <w:color w:val="auto"/>
                      <w:szCs w:val="21"/>
                      <w:highlight w:val="none"/>
                      <w:u w:val="single"/>
                      <w:vertAlign w:val="subscript"/>
                    </w:rPr>
                    <w:t>X</w:t>
                  </w:r>
                  <w:r>
                    <w:rPr>
                      <w:rFonts w:hint="eastAsia" w:ascii="Times New Roman" w:hAnsi="Times New Roman" w:eastAsia="Times New Roman" w:cs="Times New Roman"/>
                      <w:color w:val="auto"/>
                      <w:szCs w:val="21"/>
                      <w:highlight w:val="none"/>
                      <w:u w:val="single"/>
                    </w:rPr>
                    <w:t>小于240mg/m³、烟气黑度林格曼级1级））。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2.无组织排放控制要求。严格控制工业炉窑生产过程及相关物料储存、输送等无组织排放，在保障生产安全的前提下，釆取密闭、封闭等有效措施，有效提高废气收集率，产尘点及车间不得有可见烟粉尘外逸。生产工艺产尘点（装置）应釆取密闭、封闭或设置集气罩等措施。煤粉、粉煤灰、石灰、除尘灰、脱硫灰等粉状物料应密闭或封闭储存，釆用密闭皮带、封闭通廊、管状带式输送机或密闭车厢、真空罐车、气力输送等方式输送。粒状、块状物料应釆用入棚入仓或建设防风抑尘网等方式进行储存，粒状物料釆用密闭、封闭等方式输送。物料输送过程中产尘点应采取有效抑尘措施。</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宋体" w:cs="Times New Roman"/>
                      <w:color w:val="auto"/>
                      <w:szCs w:val="21"/>
                      <w:highlight w:val="none"/>
                      <w:u w:val="single"/>
                      <w:lang w:eastAsia="zh-CN"/>
                    </w:rPr>
                  </w:pPr>
                  <w:r>
                    <w:rPr>
                      <w:rFonts w:hint="eastAsia" w:ascii="Times New Roman" w:hAnsi="Times New Roman" w:eastAsia="Times New Roman" w:cs="Times New Roman"/>
                      <w:color w:val="auto"/>
                      <w:szCs w:val="21"/>
                      <w:highlight w:val="none"/>
                      <w:u w:val="single"/>
                    </w:rPr>
                    <w:t>符合。</w:t>
                  </w:r>
                  <w:r>
                    <w:rPr>
                      <w:rFonts w:hint="eastAsia" w:eastAsia="宋体" w:cs="Times New Roman"/>
                      <w:color w:val="auto"/>
                      <w:szCs w:val="21"/>
                      <w:highlight w:val="none"/>
                      <w:u w:val="single"/>
                      <w:lang w:val="en-US" w:eastAsia="zh-CN"/>
                    </w:rPr>
                    <w:t>生产在封闭式车间内进行，采用机械传输、封闭输送带进行物料输送。破碎、粉碎、筛分、制粒、烘干等工序和项目热风炉产生的废气采取管道连接设备呼吸口进行收集，收集后经“旋风+布袋”处理后经15m高排气筒（DA001）排放，</w:t>
                  </w:r>
                  <w:r>
                    <w:rPr>
                      <w:rFonts w:hint="eastAsia" w:ascii="Times New Roman" w:hAnsi="Times New Roman" w:eastAsia="Times New Roman" w:cs="Times New Roman"/>
                      <w:color w:val="auto"/>
                      <w:szCs w:val="21"/>
                      <w:highlight w:val="none"/>
                      <w:u w:val="single"/>
                    </w:rPr>
                    <w:t>确保产尘点及车间无可见烟粉尘外逸；本项目原料为湿</w:t>
                  </w:r>
                  <w:r>
                    <w:rPr>
                      <w:rFonts w:hint="eastAsia" w:eastAsia="宋体" w:cs="Times New Roman"/>
                      <w:color w:val="auto"/>
                      <w:szCs w:val="21"/>
                      <w:highlight w:val="none"/>
                      <w:u w:val="single"/>
                      <w:lang w:val="en-US" w:eastAsia="zh-CN"/>
                    </w:rPr>
                    <w:t>竹屑、木屑</w:t>
                  </w:r>
                  <w:r>
                    <w:rPr>
                      <w:rFonts w:hint="eastAsia" w:cs="Times New Roman"/>
                      <w:color w:val="auto"/>
                      <w:szCs w:val="21"/>
                      <w:highlight w:val="none"/>
                      <w:u w:val="single"/>
                      <w:lang w:val="en-US" w:eastAsia="zh-CN"/>
                    </w:rPr>
                    <w:t>、</w:t>
                  </w:r>
                  <w:r>
                    <w:rPr>
                      <w:rFonts w:hint="eastAsia" w:eastAsia="宋体" w:cs="Times New Roman"/>
                      <w:color w:val="auto"/>
                      <w:szCs w:val="21"/>
                      <w:highlight w:val="none"/>
                      <w:u w:val="single"/>
                      <w:lang w:val="en-US" w:eastAsia="zh-CN"/>
                    </w:rPr>
                    <w:t>木材边角料</w:t>
                  </w:r>
                  <w:r>
                    <w:rPr>
                      <w:rFonts w:hint="eastAsia" w:ascii="Times New Roman" w:hAnsi="Times New Roman" w:eastAsia="Times New Roman" w:cs="Times New Roman"/>
                      <w:color w:val="auto"/>
                      <w:szCs w:val="21"/>
                      <w:highlight w:val="none"/>
                      <w:u w:val="single"/>
                    </w:rPr>
                    <w:t>，含水率较高</w:t>
                  </w:r>
                  <w:r>
                    <w:rPr>
                      <w:rFonts w:hint="eastAsia" w:eastAsia="宋体" w:cs="Times New Roman"/>
                      <w:color w:val="auto"/>
                      <w:szCs w:val="21"/>
                      <w:highlight w:val="none"/>
                      <w:u w:val="single"/>
                      <w:lang w:eastAsia="zh-CN"/>
                    </w:rPr>
                    <w:t>，</w:t>
                  </w:r>
                  <w:r>
                    <w:rPr>
                      <w:rFonts w:hint="eastAsia" w:ascii="Times New Roman" w:hAnsi="Times New Roman" w:eastAsia="Times New Roman" w:cs="Times New Roman"/>
                      <w:color w:val="auto"/>
                      <w:szCs w:val="21"/>
                      <w:highlight w:val="none"/>
                      <w:u w:val="single"/>
                    </w:rPr>
                    <w:t>粉尘产生量较少，采取入仓的方式进行储存</w:t>
                  </w:r>
                  <w:r>
                    <w:rPr>
                      <w:rFonts w:hint="eastAsia" w:eastAsia="宋体" w:cs="Times New Roman"/>
                      <w:color w:val="auto"/>
                      <w:szCs w:val="21"/>
                      <w:highlight w:val="none"/>
                      <w:u w:val="singl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jc w:val="left"/>
                    <w:rPr>
                      <w:rFonts w:hint="eastAsia" w:ascii="Times New Roman" w:hAnsi="Times New Roman" w:eastAsia="Times New Roman" w:cs="Times New Roman"/>
                      <w:color w:val="auto"/>
                      <w:szCs w:val="21"/>
                      <w:highlight w:val="none"/>
                      <w:u w:val="single"/>
                    </w:rPr>
                  </w:pPr>
                  <w:r>
                    <w:rPr>
                      <w:rFonts w:hint="eastAsia" w:eastAsia="宋体" w:cs="Times New Roman"/>
                      <w:color w:val="auto"/>
                      <w:szCs w:val="21"/>
                      <w:highlight w:val="none"/>
                      <w:u w:val="single"/>
                      <w:lang w:val="en-US" w:eastAsia="zh-CN"/>
                    </w:rPr>
                    <w:t>3.</w:t>
                  </w:r>
                  <w:r>
                    <w:rPr>
                      <w:rFonts w:hint="eastAsia" w:ascii="Times New Roman" w:hAnsi="Times New Roman" w:eastAsia="Times New Roman" w:cs="Times New Roman"/>
                      <w:color w:val="auto"/>
                      <w:szCs w:val="21"/>
                      <w:highlight w:val="none"/>
                      <w:u w:val="single"/>
                    </w:rPr>
                    <w:t>提升产业高质量发展水平。严格建设项目环境准入, 新建涉及工业炉窑的建设项目，原则上要入园区，配套建设高效 环保治理设施。严格控制涉工业炉窑建设项目，严格执行钢铁、 水泥、平板玻璃等行业产能置换实施办法。</w:t>
                  </w:r>
                  <w:r>
                    <w:rPr>
                      <w:rFonts w:hint="eastAsia" w:eastAsia="宋体" w:cs="Times New Roman"/>
                      <w:color w:val="auto"/>
                      <w:szCs w:val="21"/>
                      <w:highlight w:val="none"/>
                      <w:u w:val="single"/>
                      <w:lang w:val="en-US" w:eastAsia="zh-CN"/>
                    </w:rPr>
                    <w:t>加大落</w:t>
                  </w:r>
                  <w:r>
                    <w:rPr>
                      <w:rFonts w:hint="eastAsia" w:ascii="Times New Roman" w:hAnsi="Times New Roman" w:eastAsia="Times New Roman" w:cs="Times New Roman"/>
                      <w:color w:val="auto"/>
                      <w:szCs w:val="21"/>
                      <w:highlight w:val="none"/>
                      <w:u w:val="single"/>
                    </w:rPr>
                    <w:t>后产能和不达标工业炉窑淘汰力度，分行业清理《产业结构调整指导目录》淘汰类工业炉窑。对热效率低下、敞开未封闭，装备简易落后、自动化程度低，无组织排放突出，以及无治理设施或治理设施工艺落后等严重污染环境的工业炉窑，依法责令停业关闭。</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Times New Roman" w:cs="Times New Roman"/>
                      <w:color w:val="auto"/>
                      <w:szCs w:val="21"/>
                      <w:highlight w:val="none"/>
                      <w:u w:val="single"/>
                    </w:rPr>
                    <w:t>符合。</w:t>
                  </w:r>
                  <w:bookmarkStart w:id="16" w:name="_GoBack"/>
                  <w:bookmarkEnd w:id="16"/>
                  <w:r>
                    <w:rPr>
                      <w:rFonts w:hint="eastAsia" w:eastAsia="宋体" w:cs="Times New Roman"/>
                      <w:color w:val="auto"/>
                      <w:szCs w:val="21"/>
                      <w:highlight w:val="none"/>
                      <w:u w:val="single"/>
                      <w:lang w:val="en-US" w:eastAsia="zh-CN"/>
                    </w:rPr>
                    <w:t>项目为新建项目，位于临湘市忠防镇汀畈社区七房组，为促进当地经济，盘活闲置厂区，增加附近居民就业与收入，充分利用忠防镇区域丰富的竹木业加工产生的废弃竹屑、木屑、木材边角料资源和现有厂房，进行成型生物质颗粒加工，属于废弃资源综合利用，结合临湘市自然资源局出具的国土空间规划情况说明及忠防镇人民政府出具的同意项目落户函，项目选址符合《临湘市国土空间总体总体规划（2021—2035）》和《忠防镇土地利用总体规划》要求，且项目企业为小微企业，园区不同意此类小微企业入园，项目建成后，切实落实各项环境污染防治措施，确保污染防治设施稳定运行，污染物达标排放，对环境的影响是可以接受的。</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jc w:val="left"/>
                    <w:rPr>
                      <w:rFonts w:hint="eastAsia" w:ascii="Times New Roman" w:hAnsi="Times New Roman" w:eastAsia="Times New Roman" w:cs="Times New Roman"/>
                      <w:color w:val="auto"/>
                      <w:szCs w:val="21"/>
                      <w:highlight w:val="none"/>
                      <w:u w:val="single"/>
                    </w:rPr>
                  </w:pPr>
                  <w:r>
                    <w:rPr>
                      <w:rFonts w:hint="eastAsia" w:eastAsia="宋体" w:cs="Times New Roman"/>
                      <w:color w:val="auto"/>
                      <w:szCs w:val="21"/>
                      <w:highlight w:val="none"/>
                      <w:u w:val="single"/>
                      <w:lang w:val="en-US" w:eastAsia="zh-CN"/>
                    </w:rPr>
                    <w:t>4.</w:t>
                  </w:r>
                  <w:r>
                    <w:rPr>
                      <w:rFonts w:hint="eastAsia" w:ascii="Times New Roman" w:hAnsi="Times New Roman" w:eastAsia="Times New Roman" w:cs="Times New Roman"/>
                      <w:color w:val="auto"/>
                      <w:szCs w:val="21"/>
                      <w:highlight w:val="none"/>
                      <w:u w:val="single"/>
                    </w:rPr>
                    <w:t>加快燃料清洁低碳化替代。对以煤、石油焦、渣油、重油等为燃料的工业炉窑，加快使用清洁低碳能源以及利用工厂余热、电力热力、集中供热等进行替代。加大煤气发生炉淘汰力度，原则上禁止新建燃料类煤气发生炉（园区现有企业统一建设的清洁煤制气中心除外），集中使用煤气发生炉的工业园区，暂不具备改用天然气条件的，原则上应建设统一的清洁煤制气中心。</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eastAsia="宋体" w:cs="Times New Roman"/>
                      <w:color w:val="auto"/>
                      <w:szCs w:val="21"/>
                      <w:highlight w:val="none"/>
                      <w:u w:val="single"/>
                      <w:lang w:val="en-US" w:eastAsia="zh-CN"/>
                    </w:rPr>
                  </w:pPr>
                  <w:r>
                    <w:rPr>
                      <w:rFonts w:hint="eastAsia" w:eastAsia="宋体" w:cs="Times New Roman"/>
                      <w:color w:val="auto"/>
                      <w:szCs w:val="21"/>
                      <w:highlight w:val="none"/>
                      <w:u w:val="single"/>
                      <w:lang w:val="en-US" w:eastAsia="zh-CN"/>
                    </w:rPr>
                    <w:t>符合。项目热风炉采用自产的成型生物质燃料，并配套高效除尘器进行废气处理，与加快燃料清洁低碳化替代要求不冲突</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jc w:val="left"/>
                    <w:rPr>
                      <w:rFonts w:hint="eastAsia" w:ascii="Times New Roman" w:hAnsi="Times New Roman" w:eastAsia="Times New Roman" w:cs="Times New Roman"/>
                      <w:color w:val="auto"/>
                      <w:szCs w:val="21"/>
                      <w:highlight w:val="none"/>
                      <w:u w:val="single"/>
                    </w:rPr>
                  </w:pPr>
                  <w:r>
                    <w:rPr>
                      <w:rFonts w:hint="eastAsia" w:eastAsia="宋体" w:cs="Times New Roman"/>
                      <w:color w:val="auto"/>
                      <w:szCs w:val="21"/>
                      <w:highlight w:val="none"/>
                      <w:u w:val="single"/>
                      <w:lang w:val="en-US" w:eastAsia="zh-CN"/>
                    </w:rPr>
                    <w:t>5.</w:t>
                  </w:r>
                  <w:r>
                    <w:rPr>
                      <w:rFonts w:hint="eastAsia" w:ascii="Times New Roman" w:hAnsi="Times New Roman" w:eastAsia="Times New Roman" w:cs="Times New Roman"/>
                      <w:color w:val="auto"/>
                      <w:szCs w:val="21"/>
                      <w:highlight w:val="none"/>
                      <w:u w:val="single"/>
                    </w:rPr>
                    <w:t>分行业实施污染深度治理。</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eastAsia="宋体" w:cs="Times New Roman"/>
                      <w:color w:val="auto"/>
                      <w:szCs w:val="21"/>
                      <w:highlight w:val="none"/>
                      <w:u w:val="single"/>
                      <w:lang w:val="en-US" w:eastAsia="zh-CN"/>
                    </w:rPr>
                  </w:pPr>
                  <w:r>
                    <w:rPr>
                      <w:rFonts w:hint="eastAsia" w:eastAsia="宋体" w:cs="Times New Roman"/>
                      <w:color w:val="auto"/>
                      <w:szCs w:val="21"/>
                      <w:highlight w:val="none"/>
                      <w:u w:val="single"/>
                      <w:lang w:val="en-US" w:eastAsia="zh-CN"/>
                    </w:rPr>
                    <w:t>符合。项目采用旋风+布袋除尘器高效环保设施对废气进行处理</w:t>
                  </w:r>
                </w:p>
              </w:tc>
            </w:tr>
          </w:tbl>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宋体" w:hAnsi="宋体" w:eastAsia="宋体" w:cs="宋体"/>
                <w:b/>
                <w:bCs/>
                <w:color w:val="auto"/>
                <w:kern w:val="0"/>
                <w:sz w:val="24"/>
                <w:highlight w:val="none"/>
                <w:u w:val="single"/>
                <w:lang w:val="en-US" w:eastAsia="zh-CN"/>
              </w:rPr>
            </w:pPr>
            <w:r>
              <w:rPr>
                <w:rFonts w:hint="eastAsia" w:ascii="宋体" w:hAnsi="宋体" w:cs="宋体"/>
                <w:b/>
                <w:bCs/>
                <w:color w:val="auto"/>
                <w:kern w:val="0"/>
                <w:sz w:val="24"/>
                <w:highlight w:val="none"/>
                <w:u w:val="single"/>
                <w:lang w:val="en-US" w:eastAsia="zh-CN"/>
              </w:rPr>
              <w:t>七</w:t>
            </w:r>
            <w:r>
              <w:rPr>
                <w:rFonts w:hint="eastAsia" w:ascii="宋体" w:hAnsi="宋体" w:eastAsia="宋体" w:cs="宋体"/>
                <w:b/>
                <w:bCs/>
                <w:color w:val="auto"/>
                <w:kern w:val="0"/>
                <w:sz w:val="24"/>
                <w:highlight w:val="none"/>
                <w:u w:val="single"/>
                <w:lang w:val="en-US" w:eastAsia="zh-CN"/>
              </w:rPr>
              <w:t>、与《湖南省“十三五”生物质能源发展规划》符合性分析</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color w:val="auto"/>
                <w:kern w:val="0"/>
                <w:sz w:val="24"/>
                <w:highlight w:val="none"/>
                <w:u w:val="single"/>
                <w:lang w:val="en-US" w:eastAsia="zh-CN"/>
              </w:rPr>
            </w:pPr>
            <w:r>
              <w:rPr>
                <w:rFonts w:hint="default" w:ascii="宋体" w:hAnsi="宋体" w:eastAsia="宋体" w:cs="宋体"/>
                <w:b/>
                <w:bCs/>
                <w:color w:val="auto"/>
                <w:kern w:val="0"/>
                <w:sz w:val="24"/>
                <w:highlight w:val="none"/>
                <w:u w:val="single"/>
                <w:lang w:val="en-US" w:eastAsia="zh-CN"/>
              </w:rPr>
              <w:t>表1-</w:t>
            </w:r>
            <w:r>
              <w:rPr>
                <w:rFonts w:hint="eastAsia" w:ascii="宋体" w:hAnsi="宋体" w:cs="宋体"/>
                <w:b/>
                <w:bCs/>
                <w:color w:val="auto"/>
                <w:kern w:val="0"/>
                <w:sz w:val="24"/>
                <w:highlight w:val="none"/>
                <w:u w:val="single"/>
                <w:lang w:val="en-US" w:eastAsia="zh-CN"/>
              </w:rPr>
              <w:t>4</w:t>
            </w:r>
            <w:r>
              <w:rPr>
                <w:rFonts w:hint="eastAsia" w:ascii="宋体" w:hAnsi="宋体" w:eastAsia="宋体" w:cs="宋体"/>
                <w:b/>
                <w:bCs/>
                <w:color w:val="auto"/>
                <w:kern w:val="0"/>
                <w:sz w:val="24"/>
                <w:highlight w:val="none"/>
                <w:u w:val="single"/>
                <w:lang w:val="en-US" w:eastAsia="zh-CN"/>
              </w:rPr>
              <w:t xml:space="preserve"> </w:t>
            </w:r>
            <w:r>
              <w:rPr>
                <w:rFonts w:hint="default" w:ascii="宋体" w:hAnsi="宋体" w:eastAsia="宋体" w:cs="宋体"/>
                <w:b/>
                <w:bCs/>
                <w:color w:val="auto"/>
                <w:kern w:val="0"/>
                <w:sz w:val="24"/>
                <w:highlight w:val="none"/>
                <w:u w:val="single"/>
                <w:lang w:val="en-US" w:eastAsia="zh-CN"/>
              </w:rPr>
              <w:t>《湖南省“十三五”生物质能源发展规划》</w:t>
            </w:r>
          </w:p>
          <w:tbl>
            <w:tblPr>
              <w:tblStyle w:val="23"/>
              <w:tblW w:w="4999" w:type="pct"/>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5180"/>
              <w:gridCol w:w="208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bottom w:val="single" w:color="000000" w:sz="4" w:space="0"/>
                    <w:right w:val="single" w:color="000000" w:sz="4" w:space="0"/>
                  </w:tcBorders>
                  <w:noWrap w:val="0"/>
                  <w:vAlign w:val="center"/>
                </w:tcPr>
                <w:p>
                  <w:pPr>
                    <w:jc w:val="center"/>
                    <w:rPr>
                      <w:b/>
                      <w:bCs/>
                      <w:color w:val="auto"/>
                      <w:highlight w:val="none"/>
                      <w:u w:val="single"/>
                    </w:rPr>
                  </w:pPr>
                  <w:r>
                    <w:rPr>
                      <w:b/>
                      <w:bCs/>
                      <w:color w:val="auto"/>
                      <w:highlight w:val="none"/>
                      <w:u w:val="single"/>
                    </w:rPr>
                    <w:t>要求</w:t>
                  </w:r>
                </w:p>
              </w:tc>
              <w:tc>
                <w:tcPr>
                  <w:tcW w:w="1435" w:type="pct"/>
                  <w:tcBorders>
                    <w:left w:val="single" w:color="000000" w:sz="4" w:space="0"/>
                    <w:bottom w:val="single" w:color="000000" w:sz="4" w:space="0"/>
                  </w:tcBorders>
                  <w:noWrap w:val="0"/>
                  <w:vAlign w:val="center"/>
                </w:tcPr>
                <w:p>
                  <w:pPr>
                    <w:jc w:val="center"/>
                    <w:rPr>
                      <w:b/>
                      <w:bCs/>
                      <w:color w:val="auto"/>
                      <w:highlight w:val="none"/>
                      <w:u w:val="single"/>
                    </w:rPr>
                  </w:pPr>
                  <w:r>
                    <w:rPr>
                      <w:b/>
                      <w:bCs/>
                      <w:color w:val="auto"/>
                      <w:highlight w:val="none"/>
                      <w:u w:val="single"/>
                    </w:rPr>
                    <w:t>符合性分析</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合理进行生物质能源利用项目选址，尽量避开自然保护区、风景名胜区等生态环境敏感区。对原料要求高的生物质能源利用项目建设前需严格按照国家规定，在保障生物质其他综合利用需求基础上，落实生物质原料来源。各地林业部门要加强监管，根据各地年森林采伐限额控制森林采伐量。同时，加强生态环境保护宣传教育，防止村民为经济利益乱伐山林的现象出现。</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Times New Roman" w:cs="Times New Roman"/>
                      <w:color w:val="auto"/>
                      <w:szCs w:val="21"/>
                      <w:highlight w:val="none"/>
                      <w:u w:val="single"/>
                    </w:rPr>
                    <w:t>符合。本项目选址地不涉及自然保护区、风景名胜区。</w:t>
                  </w:r>
                  <w:r>
                    <w:rPr>
                      <w:rFonts w:hint="eastAsia" w:eastAsia="宋体" w:cs="Times New Roman"/>
                      <w:color w:val="auto"/>
                      <w:szCs w:val="21"/>
                      <w:highlight w:val="none"/>
                      <w:u w:val="single"/>
                      <w:lang w:val="en-US" w:eastAsia="zh-CN"/>
                    </w:rPr>
                    <w:t>生物质原料来源于当地区域</w:t>
                  </w:r>
                  <w:r>
                    <w:rPr>
                      <w:rFonts w:hint="eastAsia" w:cs="Times New Roman"/>
                      <w:color w:val="auto"/>
                      <w:szCs w:val="21"/>
                      <w:highlight w:val="none"/>
                      <w:u w:val="single"/>
                      <w:lang w:val="en-US" w:eastAsia="zh-CN"/>
                    </w:rPr>
                    <w:t>竹木业加工</w:t>
                  </w:r>
                  <w:r>
                    <w:rPr>
                      <w:rFonts w:hint="eastAsia" w:eastAsia="宋体" w:cs="Times New Roman"/>
                      <w:color w:val="auto"/>
                      <w:szCs w:val="21"/>
                      <w:highlight w:val="none"/>
                      <w:u w:val="single"/>
                      <w:lang w:val="en-US" w:eastAsia="zh-CN"/>
                    </w:rPr>
                    <w:t>产生的废弃竹屑、木屑、木材边角料等进行生物质颗粒的制造。</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科学论证生物质能源利用项目选址，合理确定大气环境防护距离，在大气环境防护距离内不应有长期居住的人群。从源头上控制污染物，如农林发电项目采用先进的燃烧锅炉、控制燃烧温度等，减少有害物质的产生。此外，烟气排放需配套除尘净化装置，强化末端治理。垃圾卸料大厅、垃圾库、垃圾运输车辆等主要的臭气产生源，可采用捕获、隔离和去除的方法防治恶臭。</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符合。项目建设</w:t>
                  </w:r>
                  <w:r>
                    <w:rPr>
                      <w:rFonts w:hint="eastAsia" w:ascii="Times New Roman" w:hAnsi="Times New Roman" w:eastAsia="宋体" w:cs="Times New Roman"/>
                      <w:color w:val="auto"/>
                      <w:szCs w:val="21"/>
                      <w:highlight w:val="none"/>
                      <w:u w:val="single"/>
                      <w:lang w:val="en-US" w:eastAsia="zh-CN"/>
                    </w:rPr>
                    <w:t>不属于生物质能源利用项目。且周边200m内无居民</w:t>
                  </w:r>
                  <w:r>
                    <w:rPr>
                      <w:rFonts w:hint="eastAsia" w:ascii="Times New Roman" w:hAnsi="Times New Roman" w:eastAsia="Times New Roman" w:cs="Times New Roman"/>
                      <w:color w:val="auto"/>
                      <w:szCs w:val="21"/>
                      <w:highlight w:val="none"/>
                      <w:u w:val="singl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农林生物质发电产生焚烧炉渣和飞灰含有丰富的钾、镁、磷和钙等营养元素，是一种优质有机肥料，通过设置灰库储存灰渣，收集的灰渣可作农肥综合利用。</w:t>
                  </w:r>
                </w:p>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畜禽粪便沼气发电产生的残渣，除含有丰富的氮、磷、钾和大量的元素外，还含有对作物生长起重要作用的硼、铜、铁、锰、锌等微量元素，可作农肥综合利用。</w:t>
                  </w:r>
                </w:p>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生活垃圾焚烧发电产生的炉渣已经高温无害化处理，再经过磁选分离出黑色金属后排入炉渣坑内，然后外运，炉渣可用于制砖。焚烧飞灰属于危险废物，必须经过特殊的处理。根据国外的运行经验和研究成果，对于余热锅炉烟气净化系统收集的飞灰可采用水泥固化法、螯合剂固化、熔融结晶法等处理。</w:t>
                  </w:r>
                </w:p>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生物质液体燃料制备产生的裂解余料可作为有机肥外售。废油水、废活性炭、废催化剂为危险废物，须交由指定危险废物处置单位处理。无机废物送城市垃圾填埋场填埋。</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符合。</w:t>
                  </w:r>
                </w:p>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本项目</w:t>
                  </w:r>
                  <w:r>
                    <w:rPr>
                      <w:rFonts w:hint="eastAsia" w:eastAsia="宋体" w:cs="Times New Roman"/>
                      <w:color w:val="auto"/>
                      <w:szCs w:val="21"/>
                      <w:highlight w:val="none"/>
                      <w:u w:val="single"/>
                      <w:lang w:val="en-US" w:eastAsia="zh-CN"/>
                    </w:rPr>
                    <w:t>成型</w:t>
                  </w:r>
                  <w:r>
                    <w:rPr>
                      <w:rFonts w:hint="eastAsia" w:ascii="Times New Roman" w:hAnsi="Times New Roman" w:eastAsia="宋体" w:cs="Times New Roman"/>
                      <w:color w:val="auto"/>
                      <w:szCs w:val="21"/>
                      <w:highlight w:val="none"/>
                      <w:u w:val="single"/>
                      <w:lang w:val="en-US" w:eastAsia="zh-CN"/>
                    </w:rPr>
                    <w:t>生物质颗粒燃烧后的灰渣外售综合利用</w:t>
                  </w:r>
                  <w:r>
                    <w:rPr>
                      <w:rFonts w:hint="eastAsia" w:ascii="Times New Roman" w:hAnsi="Times New Roman" w:eastAsia="Times New Roman" w:cs="Times New Roman"/>
                      <w:color w:val="auto"/>
                      <w:szCs w:val="21"/>
                      <w:highlight w:val="none"/>
                      <w:u w:val="singl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pPr>
                    <w:pStyle w:val="56"/>
                    <w:spacing w:before="48" w:beforeLines="20" w:after="48" w:afterLines="20"/>
                    <w:rPr>
                      <w:rFonts w:hint="eastAsia" w:ascii="Times New Roman" w:hAnsi="Times New Roman" w:eastAsia="Times New Roman" w:cs="Times New Roman"/>
                      <w:color w:val="auto"/>
                      <w:szCs w:val="21"/>
                      <w:highlight w:val="none"/>
                      <w:u w:val="single"/>
                    </w:rPr>
                  </w:pPr>
                  <w:r>
                    <w:rPr>
                      <w:rFonts w:hint="eastAsia" w:ascii="Times New Roman" w:hAnsi="Times New Roman" w:eastAsia="Times New Roman" w:cs="Times New Roman"/>
                      <w:color w:val="auto"/>
                      <w:szCs w:val="21"/>
                      <w:highlight w:val="none"/>
                      <w:u w:val="single"/>
                    </w:rPr>
                    <w:t>项目建设废污水依照“清污分流、一水多用”的原则，首先考虑综合利用。农林生物质燃烧发电冷却塔循环水排污水为清下水，可回收用于调湿灰和厂区内绿化，其他废污水污染成分较简单，采用常规处理方法处理后可以达到相应的排放标准。畜禽粪便沼气发电、生活垃圾填埋发电和生活垃圾焚烧发电运营期产生的渗滤液可采用物理化学法、生物处理法、膜技术等方法进行处理，处理后可达到相应排放标准或回收利用。其他废污水采用常规的处理方法处理后可达到相应的排放标准。制备液体燃料产生的废水根据性质不同分质处理。</w:t>
                  </w:r>
                </w:p>
              </w:tc>
              <w:tc>
                <w:tcPr>
                  <w:tcW w:w="1435" w:type="pct"/>
                  <w:tcBorders>
                    <w:top w:val="single" w:color="000000" w:sz="4" w:space="0"/>
                    <w:left w:val="single" w:color="000000" w:sz="4" w:space="0"/>
                    <w:bottom w:val="single" w:color="000000" w:sz="4" w:space="0"/>
                  </w:tcBorders>
                  <w:noWrap w:val="0"/>
                  <w:vAlign w:val="center"/>
                </w:tcPr>
                <w:p>
                  <w:pPr>
                    <w:pStyle w:val="56"/>
                    <w:spacing w:before="48" w:beforeLines="20" w:after="48" w:afterLines="20"/>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Times New Roman" w:cs="Times New Roman"/>
                      <w:color w:val="auto"/>
                      <w:szCs w:val="21"/>
                      <w:highlight w:val="none"/>
                      <w:u w:val="single"/>
                    </w:rPr>
                    <w:t>符合。本项目生活污水经化粪池处理后用作菜地浇灌</w:t>
                  </w:r>
                  <w:r>
                    <w:rPr>
                      <w:rFonts w:hint="eastAsia" w:ascii="Times New Roman" w:hAnsi="Times New Roman" w:eastAsia="宋体" w:cs="Times New Roman"/>
                      <w:color w:val="auto"/>
                      <w:szCs w:val="21"/>
                      <w:highlight w:val="none"/>
                      <w:u w:val="single"/>
                      <w:lang w:eastAsia="zh-CN"/>
                    </w:rPr>
                    <w:t>，</w:t>
                  </w:r>
                  <w:r>
                    <w:rPr>
                      <w:rFonts w:hint="eastAsia" w:ascii="Times New Roman" w:hAnsi="Times New Roman" w:eastAsia="宋体" w:cs="Times New Roman"/>
                      <w:color w:val="auto"/>
                      <w:szCs w:val="21"/>
                      <w:highlight w:val="none"/>
                      <w:u w:val="single"/>
                      <w:lang w:val="en-US" w:eastAsia="zh-CN"/>
                    </w:rPr>
                    <w:t>不外排。</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宋体" w:hAnsi="宋体" w:eastAsia="宋体" w:cs="宋体"/>
                <w:color w:val="auto"/>
                <w:kern w:val="0"/>
                <w:sz w:val="24"/>
                <w:highlight w:val="none"/>
                <w:lang w:val="en-US" w:eastAsia="zh-CN"/>
              </w:rPr>
            </w:pPr>
          </w:p>
        </w:tc>
      </w:tr>
    </w:tbl>
    <w:p>
      <w:pPr>
        <w:spacing w:line="360" w:lineRule="auto"/>
        <w:outlineLvl w:val="9"/>
        <w:rPr>
          <w:rFonts w:eastAsia="黑体"/>
          <w:color w:val="auto"/>
          <w:sz w:val="30"/>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jc w:val="center"/>
        <w:outlineLvl w:val="0"/>
        <w:rPr>
          <w:rFonts w:ascii="黑体" w:hAnsi="黑体" w:eastAsia="黑体"/>
          <w:snapToGrid w:val="0"/>
          <w:color w:val="auto"/>
          <w:sz w:val="30"/>
          <w:szCs w:val="30"/>
          <w:highlight w:val="none"/>
        </w:rPr>
      </w:pPr>
      <w:bookmarkStart w:id="5" w:name="_Toc21080"/>
      <w:r>
        <w:rPr>
          <w:rFonts w:hint="eastAsia" w:ascii="黑体" w:hAnsi="黑体" w:eastAsia="黑体"/>
          <w:snapToGrid w:val="0"/>
          <w:color w:val="auto"/>
          <w:sz w:val="30"/>
          <w:szCs w:val="30"/>
          <w:highlight w:val="none"/>
        </w:rPr>
        <w:t>二、建设项目工程分析</w:t>
      </w:r>
      <w:bookmarkEnd w:id="5"/>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3" w:type="dxa"/>
            <w:noWrap w:val="0"/>
            <w:vAlign w:val="center"/>
          </w:tcPr>
          <w:p>
            <w:pPr>
              <w:pStyle w:val="20"/>
              <w:adjustRightInd w:val="0"/>
              <w:snapToGrid w:val="0"/>
              <w:spacing w:before="0" w:beforeAutospacing="0" w:after="0" w:afterAutospacing="0"/>
              <w:jc w:val="center"/>
              <w:rPr>
                <w:rFonts w:cs="宋体"/>
                <w:color w:val="auto"/>
                <w:szCs w:val="24"/>
                <w:highlight w:val="none"/>
                <w:lang w:val="en-US" w:eastAsia="zh-CN"/>
              </w:rPr>
            </w:pPr>
            <w:r>
              <w:rPr>
                <w:rFonts w:hint="eastAsia" w:cs="宋体"/>
                <w:color w:val="auto"/>
                <w:szCs w:val="24"/>
                <w:highlight w:val="none"/>
                <w:lang w:val="en-US" w:eastAsia="zh-CN"/>
              </w:rPr>
              <w:t>建设内容</w:t>
            </w:r>
          </w:p>
        </w:tc>
        <w:tc>
          <w:tcPr>
            <w:tcW w:w="8161" w:type="dxa"/>
            <w:noWrap w:val="0"/>
            <w:vAlign w:val="top"/>
          </w:tcPr>
          <w:p>
            <w:pPr>
              <w:numPr>
                <w:ilvl w:val="0"/>
                <w:numId w:val="5"/>
              </w:numPr>
              <w:adjustRightInd w:val="0"/>
              <w:snapToGrid w:val="0"/>
              <w:spacing w:before="120" w:beforeLines="50" w:line="360" w:lineRule="auto"/>
              <w:ind w:firstLine="482" w:firstLineChars="200"/>
              <w:jc w:val="left"/>
              <w:rPr>
                <w:b/>
                <w:color w:val="auto"/>
                <w:sz w:val="24"/>
                <w:highlight w:val="none"/>
              </w:rPr>
            </w:pPr>
            <w:r>
              <w:rPr>
                <w:b/>
                <w:color w:val="auto"/>
                <w:sz w:val="24"/>
                <w:highlight w:val="none"/>
              </w:rPr>
              <w:t>项目由来及工程概况</w:t>
            </w:r>
          </w:p>
          <w:p>
            <w:pPr>
              <w:adjustRightInd w:val="0"/>
              <w:snapToGrid w:val="0"/>
              <w:spacing w:line="360" w:lineRule="auto"/>
              <w:ind w:firstLine="480" w:firstLineChars="200"/>
              <w:jc w:val="left"/>
              <w:rPr>
                <w:rFonts w:hint="eastAsia"/>
                <w:bCs/>
                <w:color w:val="auto"/>
                <w:sz w:val="24"/>
                <w:highlight w:val="none"/>
                <w:u w:val="none"/>
              </w:rPr>
            </w:pPr>
            <w:r>
              <w:rPr>
                <w:rFonts w:hint="eastAsia"/>
                <w:bCs/>
                <w:color w:val="auto"/>
                <w:sz w:val="24"/>
                <w:highlight w:val="none"/>
                <w:u w:val="none"/>
              </w:rPr>
              <w:t>生物质颗粒主要是木屑或木材边角废料、农林废弃物等通过生物质造粒机的压力，将其挤压成棒状生物质颗粒燃料。生物质经过压缩成型后，其体积大幅减小从而更便于运输、贮存和使用，解决了生物质大规模利用的关键难题。</w:t>
            </w:r>
          </w:p>
          <w:p>
            <w:pPr>
              <w:adjustRightInd w:val="0"/>
              <w:snapToGrid w:val="0"/>
              <w:spacing w:line="360" w:lineRule="auto"/>
              <w:ind w:firstLine="480" w:firstLineChars="200"/>
              <w:jc w:val="left"/>
              <w:rPr>
                <w:rFonts w:hint="eastAsia"/>
                <w:bCs/>
                <w:color w:val="auto"/>
                <w:sz w:val="24"/>
                <w:highlight w:val="none"/>
                <w:u w:val="none"/>
              </w:rPr>
            </w:pPr>
            <w:r>
              <w:rPr>
                <w:rFonts w:hint="eastAsia"/>
                <w:bCs/>
                <w:color w:val="auto"/>
                <w:sz w:val="24"/>
                <w:highlight w:val="none"/>
                <w:u w:val="single"/>
                <w:lang w:val="en-US" w:eastAsia="zh-CN"/>
              </w:rPr>
              <w:t>临湘</w:t>
            </w:r>
            <w:r>
              <w:rPr>
                <w:rFonts w:hint="eastAsia"/>
                <w:bCs/>
                <w:color w:val="auto"/>
                <w:sz w:val="24"/>
                <w:highlight w:val="none"/>
                <w:u w:val="single"/>
              </w:rPr>
              <w:t>是“中国竹器之乡”。全</w:t>
            </w:r>
            <w:r>
              <w:rPr>
                <w:rFonts w:hint="eastAsia"/>
                <w:bCs/>
                <w:color w:val="auto"/>
                <w:sz w:val="24"/>
                <w:highlight w:val="none"/>
                <w:u w:val="single"/>
                <w:lang w:val="en-US" w:eastAsia="zh-CN"/>
              </w:rPr>
              <w:t>市</w:t>
            </w:r>
            <w:r>
              <w:rPr>
                <w:rFonts w:hint="eastAsia"/>
                <w:bCs/>
                <w:color w:val="auto"/>
                <w:sz w:val="24"/>
                <w:highlight w:val="none"/>
                <w:u w:val="single"/>
              </w:rPr>
              <w:t>年产楠竹</w:t>
            </w:r>
            <w:r>
              <w:rPr>
                <w:rFonts w:hint="eastAsia"/>
                <w:bCs/>
                <w:color w:val="auto"/>
                <w:sz w:val="24"/>
                <w:highlight w:val="none"/>
                <w:u w:val="single"/>
                <w:lang w:val="en-US" w:eastAsia="zh-CN"/>
              </w:rPr>
              <w:t>3000</w:t>
            </w:r>
            <w:r>
              <w:rPr>
                <w:rFonts w:hint="eastAsia"/>
                <w:bCs/>
                <w:color w:val="auto"/>
                <w:sz w:val="24"/>
                <w:highlight w:val="none"/>
                <w:u w:val="single"/>
              </w:rPr>
              <w:t>余万根</w:t>
            </w:r>
            <w:r>
              <w:rPr>
                <w:rFonts w:hint="eastAsia"/>
                <w:bCs/>
                <w:color w:val="auto"/>
                <w:sz w:val="24"/>
                <w:highlight w:val="none"/>
                <w:u w:val="single"/>
                <w:lang w:val="en-US" w:eastAsia="zh-CN"/>
              </w:rPr>
              <w:t>以上</w:t>
            </w:r>
            <w:r>
              <w:rPr>
                <w:rFonts w:hint="eastAsia"/>
                <w:bCs/>
                <w:color w:val="auto"/>
                <w:sz w:val="24"/>
                <w:highlight w:val="none"/>
                <w:u w:val="single"/>
              </w:rPr>
              <w:t>，有竹器加工企业600余家，加工个体户2300余户，</w:t>
            </w:r>
            <w:r>
              <w:rPr>
                <w:rFonts w:hint="eastAsia"/>
                <w:bCs/>
                <w:color w:val="auto"/>
                <w:sz w:val="24"/>
                <w:highlight w:val="none"/>
                <w:u w:val="single"/>
                <w:lang w:val="en-US" w:eastAsia="zh-CN"/>
              </w:rPr>
              <w:t>竹器加工产生的</w:t>
            </w:r>
            <w:r>
              <w:rPr>
                <w:rFonts w:hint="eastAsia"/>
                <w:bCs/>
                <w:color w:val="auto"/>
                <w:sz w:val="24"/>
                <w:highlight w:val="none"/>
                <w:u w:val="single"/>
              </w:rPr>
              <w:t>废弃竹屑、木屑</w:t>
            </w:r>
            <w:r>
              <w:rPr>
                <w:rFonts w:hint="eastAsia"/>
                <w:bCs/>
                <w:color w:val="auto"/>
                <w:sz w:val="24"/>
                <w:highlight w:val="none"/>
                <w:u w:val="single"/>
                <w:lang w:eastAsia="zh-CN"/>
              </w:rPr>
              <w:t>、</w:t>
            </w:r>
            <w:r>
              <w:rPr>
                <w:rFonts w:hint="eastAsia"/>
                <w:bCs/>
                <w:color w:val="auto"/>
                <w:sz w:val="24"/>
                <w:highlight w:val="none"/>
                <w:u w:val="single"/>
                <w:lang w:val="en-US" w:eastAsia="zh-CN"/>
              </w:rPr>
              <w:t>木材边角料</w:t>
            </w:r>
            <w:r>
              <w:rPr>
                <w:rFonts w:hint="eastAsia"/>
                <w:bCs/>
                <w:color w:val="auto"/>
                <w:sz w:val="24"/>
                <w:highlight w:val="none"/>
                <w:u w:val="single"/>
              </w:rPr>
              <w:t>是生物质颗粒的良好原材料</w:t>
            </w:r>
            <w:r>
              <w:rPr>
                <w:rFonts w:hint="eastAsia"/>
                <w:bCs/>
                <w:color w:val="auto"/>
                <w:sz w:val="24"/>
                <w:highlight w:val="none"/>
                <w:u w:val="single"/>
                <w:lang w:eastAsia="zh-CN"/>
              </w:rPr>
              <w:t>。</w:t>
            </w:r>
            <w:r>
              <w:rPr>
                <w:rFonts w:hint="eastAsia"/>
                <w:bCs/>
                <w:color w:val="auto"/>
                <w:sz w:val="24"/>
                <w:highlight w:val="none"/>
                <w:u w:val="single"/>
              </w:rPr>
              <w:t>临湘市达江生物质能源有限公司抓住市场机遇</w:t>
            </w:r>
            <w:r>
              <w:rPr>
                <w:rFonts w:hint="eastAsia"/>
                <w:bCs/>
                <w:color w:val="auto"/>
                <w:sz w:val="24"/>
                <w:highlight w:val="none"/>
                <w:u w:val="single"/>
                <w:lang w:eastAsia="zh-CN"/>
              </w:rPr>
              <w:t>，</w:t>
            </w:r>
            <w:r>
              <w:rPr>
                <w:rFonts w:hint="eastAsia"/>
                <w:bCs/>
                <w:color w:val="auto"/>
                <w:sz w:val="24"/>
                <w:highlight w:val="none"/>
                <w:u w:val="single"/>
                <w:lang w:val="en-US" w:eastAsia="zh-CN"/>
              </w:rPr>
              <w:t>为促进</w:t>
            </w:r>
            <w:r>
              <w:rPr>
                <w:rFonts w:hint="eastAsia"/>
                <w:bCs/>
                <w:color w:val="auto"/>
                <w:sz w:val="24"/>
                <w:highlight w:val="none"/>
                <w:u w:val="single"/>
                <w:lang w:eastAsia="zh-CN"/>
              </w:rPr>
              <w:t>当地经济，</w:t>
            </w:r>
            <w:r>
              <w:rPr>
                <w:rFonts w:hint="eastAsia"/>
                <w:bCs/>
                <w:color w:val="auto"/>
                <w:sz w:val="24"/>
                <w:highlight w:val="none"/>
                <w:u w:val="single"/>
                <w:lang w:val="en-US" w:eastAsia="zh-CN"/>
              </w:rPr>
              <w:t>盘活闲置厂区，</w:t>
            </w:r>
            <w:r>
              <w:rPr>
                <w:rFonts w:hint="eastAsia"/>
                <w:bCs/>
                <w:color w:val="auto"/>
                <w:sz w:val="24"/>
                <w:highlight w:val="none"/>
                <w:u w:val="single"/>
                <w:lang w:eastAsia="zh-CN"/>
              </w:rPr>
              <w:t>增加附近居民就业与收入，</w:t>
            </w:r>
            <w:r>
              <w:rPr>
                <w:rFonts w:hint="eastAsia"/>
                <w:bCs/>
                <w:color w:val="auto"/>
                <w:sz w:val="24"/>
                <w:highlight w:val="none"/>
                <w:u w:val="single"/>
                <w:lang w:val="en-US" w:eastAsia="zh-CN"/>
              </w:rPr>
              <w:t>充分</w:t>
            </w:r>
            <w:r>
              <w:rPr>
                <w:rFonts w:hint="eastAsia"/>
                <w:bCs/>
                <w:color w:val="auto"/>
                <w:sz w:val="24"/>
                <w:highlight w:val="none"/>
                <w:u w:val="single"/>
                <w:lang w:eastAsia="zh-CN"/>
              </w:rPr>
              <w:t>利用</w:t>
            </w:r>
            <w:r>
              <w:rPr>
                <w:rFonts w:hint="eastAsia"/>
                <w:bCs/>
                <w:color w:val="auto"/>
                <w:sz w:val="24"/>
                <w:highlight w:val="none"/>
                <w:u w:val="single"/>
                <w:lang w:val="en-US" w:eastAsia="zh-CN"/>
              </w:rPr>
              <w:t>忠防镇区域</w:t>
            </w:r>
            <w:r>
              <w:rPr>
                <w:rFonts w:hint="eastAsia"/>
                <w:bCs/>
                <w:color w:val="auto"/>
                <w:sz w:val="24"/>
                <w:highlight w:val="none"/>
                <w:u w:val="single"/>
                <w:lang w:eastAsia="zh-CN"/>
              </w:rPr>
              <w:t>丰富的竹木业</w:t>
            </w:r>
            <w:r>
              <w:rPr>
                <w:rFonts w:hint="eastAsia"/>
                <w:bCs/>
                <w:color w:val="auto"/>
                <w:sz w:val="24"/>
                <w:highlight w:val="none"/>
                <w:u w:val="single"/>
                <w:lang w:val="en-US" w:eastAsia="zh-CN"/>
              </w:rPr>
              <w:t>加工产生的</w:t>
            </w:r>
            <w:r>
              <w:rPr>
                <w:rFonts w:hint="eastAsia"/>
                <w:bCs/>
                <w:color w:val="auto"/>
                <w:sz w:val="24"/>
                <w:highlight w:val="none"/>
                <w:u w:val="single"/>
                <w:lang w:eastAsia="zh-CN"/>
              </w:rPr>
              <w:t>废弃竹屑、木屑、</w:t>
            </w:r>
            <w:r>
              <w:rPr>
                <w:rFonts w:hint="eastAsia"/>
                <w:bCs/>
                <w:color w:val="auto"/>
                <w:sz w:val="24"/>
                <w:highlight w:val="none"/>
                <w:u w:val="single"/>
                <w:lang w:val="en-US" w:eastAsia="zh-CN"/>
              </w:rPr>
              <w:t>木材边角料</w:t>
            </w:r>
            <w:r>
              <w:rPr>
                <w:rFonts w:hint="eastAsia"/>
                <w:bCs/>
                <w:color w:val="auto"/>
                <w:sz w:val="24"/>
                <w:highlight w:val="none"/>
                <w:u w:val="single"/>
                <w:lang w:eastAsia="zh-CN"/>
              </w:rPr>
              <w:t>资源，</w:t>
            </w:r>
            <w:r>
              <w:rPr>
                <w:rFonts w:hint="eastAsia"/>
                <w:bCs/>
                <w:color w:val="auto"/>
                <w:sz w:val="24"/>
                <w:highlight w:val="none"/>
                <w:u w:val="none"/>
              </w:rPr>
              <w:t>选址于临湘市忠防镇汀畈社区七房组，依托原</w:t>
            </w:r>
            <w:r>
              <w:rPr>
                <w:rFonts w:hint="eastAsia"/>
                <w:bCs/>
                <w:color w:val="auto"/>
                <w:sz w:val="24"/>
                <w:highlight w:val="none"/>
                <w:u w:val="none"/>
                <w:lang w:val="en-US" w:eastAsia="zh-CN"/>
              </w:rPr>
              <w:t>七房</w:t>
            </w:r>
            <w:r>
              <w:rPr>
                <w:rFonts w:hint="eastAsia"/>
                <w:bCs/>
                <w:color w:val="auto"/>
                <w:sz w:val="24"/>
                <w:highlight w:val="none"/>
                <w:u w:val="none"/>
              </w:rPr>
              <w:t>花炮厂闲置厂房用地（厂房内无原辅料存在），进行“湖南达江生物质能源有限公司年产3万吨生物质颗粒加工建设项目”建设（以下简称“本项目”），项目占地</w:t>
            </w:r>
            <w:r>
              <w:rPr>
                <w:rFonts w:hint="eastAsia"/>
                <w:bCs/>
                <w:color w:val="auto"/>
                <w:sz w:val="24"/>
                <w:highlight w:val="none"/>
                <w:u w:val="none"/>
                <w:lang w:val="en-US" w:eastAsia="zh-CN"/>
              </w:rPr>
              <w:t>13333m</w:t>
            </w:r>
            <w:r>
              <w:rPr>
                <w:rFonts w:hint="eastAsia"/>
                <w:bCs/>
                <w:color w:val="auto"/>
                <w:sz w:val="24"/>
                <w:highlight w:val="none"/>
                <w:u w:val="none"/>
                <w:vertAlign w:val="superscript"/>
                <w:lang w:val="en-US" w:eastAsia="zh-CN"/>
              </w:rPr>
              <w:t>2</w:t>
            </w:r>
            <w:r>
              <w:rPr>
                <w:rFonts w:hint="eastAsia"/>
                <w:bCs/>
                <w:color w:val="auto"/>
                <w:sz w:val="24"/>
                <w:highlight w:val="none"/>
                <w:u w:val="none"/>
              </w:rPr>
              <w:t>，总投资</w:t>
            </w:r>
            <w:r>
              <w:rPr>
                <w:rFonts w:hint="eastAsia"/>
                <w:bCs/>
                <w:color w:val="auto"/>
                <w:sz w:val="24"/>
                <w:highlight w:val="none"/>
                <w:u w:val="none"/>
                <w:lang w:val="en-US" w:eastAsia="zh-CN"/>
              </w:rPr>
              <w:t>580</w:t>
            </w:r>
            <w:r>
              <w:rPr>
                <w:rFonts w:hint="eastAsia"/>
                <w:bCs/>
                <w:color w:val="auto"/>
                <w:sz w:val="24"/>
                <w:highlight w:val="none"/>
                <w:u w:val="none"/>
              </w:rPr>
              <w:t>万元，其中环保投资</w:t>
            </w:r>
            <w:r>
              <w:rPr>
                <w:rFonts w:hint="eastAsia"/>
                <w:bCs/>
                <w:color w:val="auto"/>
                <w:sz w:val="24"/>
                <w:highlight w:val="none"/>
                <w:u w:val="none"/>
                <w:lang w:val="en-US" w:eastAsia="zh-CN"/>
              </w:rPr>
              <w:t>48</w:t>
            </w:r>
            <w:r>
              <w:rPr>
                <w:rFonts w:hint="eastAsia"/>
                <w:bCs/>
                <w:color w:val="auto"/>
                <w:sz w:val="24"/>
                <w:highlight w:val="none"/>
                <w:u w:val="none"/>
              </w:rPr>
              <w:t>万元。项目主要从事生物质</w:t>
            </w:r>
            <w:r>
              <w:rPr>
                <w:rFonts w:hint="eastAsia"/>
                <w:bCs/>
                <w:color w:val="auto"/>
                <w:sz w:val="24"/>
                <w:highlight w:val="none"/>
                <w:u w:val="none"/>
                <w:lang w:val="en-US" w:eastAsia="zh-CN"/>
              </w:rPr>
              <w:t>颗粒</w:t>
            </w:r>
            <w:r>
              <w:rPr>
                <w:rFonts w:hint="eastAsia"/>
                <w:bCs/>
                <w:color w:val="auto"/>
                <w:sz w:val="24"/>
                <w:highlight w:val="none"/>
                <w:u w:val="none"/>
              </w:rPr>
              <w:t>的生产及销售，设计年生产</w:t>
            </w:r>
            <w:r>
              <w:rPr>
                <w:rFonts w:hint="eastAsia"/>
                <w:bCs/>
                <w:color w:val="auto"/>
                <w:sz w:val="24"/>
                <w:highlight w:val="none"/>
                <w:u w:val="none"/>
                <w:lang w:val="en-US" w:eastAsia="zh-CN"/>
              </w:rPr>
              <w:t>生</w:t>
            </w:r>
            <w:r>
              <w:rPr>
                <w:rFonts w:hint="eastAsia"/>
                <w:bCs/>
                <w:color w:val="auto"/>
                <w:sz w:val="24"/>
                <w:highlight w:val="none"/>
                <w:u w:val="none"/>
              </w:rPr>
              <w:t>物质颗粒</w:t>
            </w:r>
            <w:r>
              <w:rPr>
                <w:rFonts w:hint="eastAsia"/>
                <w:bCs/>
                <w:color w:val="auto"/>
                <w:sz w:val="24"/>
                <w:highlight w:val="none"/>
                <w:u w:val="none"/>
                <w:lang w:val="en-US" w:eastAsia="zh-CN"/>
              </w:rPr>
              <w:t>30</w:t>
            </w:r>
            <w:r>
              <w:rPr>
                <w:rFonts w:hint="eastAsia"/>
                <w:bCs/>
                <w:color w:val="auto"/>
                <w:sz w:val="24"/>
                <w:highlight w:val="none"/>
                <w:u w:val="none"/>
              </w:rPr>
              <w:t>000吨，建设内容主要包括安装生物质颗粒生产设备以及配套附属设施。</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rPr>
              <w:t>根据《中华人民共和国环境影响评价法》、《建设项目环境保护管理条例》及《建设项目环境影响评价分类管理名录》（中华人民共和国生态环境部令第44号）等法律法规文件的要求，项目属于《建设项目环境影响评价分类管理名录》（中华人民共和国生态环境部令第44号，2021年版）中规定的“二十二、石油、煤炭及其他燃料加工业25”中的“43生物质燃料加工254---生物质致密成型燃料加工”类别</w:t>
            </w:r>
            <w:r>
              <w:rPr>
                <w:rFonts w:hint="eastAsia"/>
                <w:bCs/>
                <w:color w:val="auto"/>
                <w:sz w:val="24"/>
                <w:highlight w:val="none"/>
                <w:lang w:eastAsia="zh-CN"/>
              </w:rPr>
              <w:t>，</w:t>
            </w:r>
            <w:r>
              <w:rPr>
                <w:rFonts w:hint="eastAsia"/>
                <w:bCs/>
                <w:color w:val="auto"/>
                <w:sz w:val="24"/>
                <w:highlight w:val="none"/>
              </w:rPr>
              <w:t>本项目需编制环境影响报告表。建设单位特委托我司进行环境影响评价工作，并编制本项目环境影响报告表。</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rPr>
              <w:t>接受委托后，我司立即开展了详细的现场踏勘、类比调查、收集相关资料，在此基础上，按照国家对建设项目环境影响评价的有关环保政策、技术规范以及《建设项目环境影响报告表编制技术指南（污染影响类）（试行）》的要求编制环境影响报告表</w:t>
            </w:r>
            <w:r>
              <w:rPr>
                <w:color w:val="auto"/>
                <w:sz w:val="24"/>
                <w:highlight w:val="none"/>
              </w:rPr>
              <w:t>。</w:t>
            </w:r>
          </w:p>
          <w:p>
            <w:pPr>
              <w:adjustRightInd w:val="0"/>
              <w:snapToGrid w:val="0"/>
              <w:spacing w:line="360" w:lineRule="auto"/>
              <w:ind w:firstLine="480" w:firstLineChars="200"/>
              <w:jc w:val="left"/>
              <w:rPr>
                <w:bCs/>
                <w:color w:val="auto"/>
                <w:sz w:val="24"/>
                <w:highlight w:val="none"/>
              </w:rPr>
            </w:pPr>
            <w:r>
              <w:rPr>
                <w:rFonts w:hint="eastAsia"/>
                <w:bCs/>
                <w:color w:val="auto"/>
                <w:sz w:val="24"/>
                <w:highlight w:val="none"/>
              </w:rPr>
              <w:t>本次</w:t>
            </w:r>
            <w:r>
              <w:rPr>
                <w:rFonts w:hint="eastAsia"/>
                <w:b w:val="0"/>
                <w:bCs/>
                <w:color w:val="auto"/>
                <w:sz w:val="24"/>
                <w:highlight w:val="none"/>
                <w:lang w:val="en-US" w:eastAsia="zh-CN"/>
              </w:rPr>
              <w:t>建设</w:t>
            </w:r>
            <w:r>
              <w:rPr>
                <w:rFonts w:hint="eastAsia"/>
                <w:bCs/>
                <w:color w:val="auto"/>
                <w:sz w:val="24"/>
                <w:highlight w:val="none"/>
              </w:rPr>
              <w:t>项目具体工程内容见表2-1。</w:t>
            </w:r>
          </w:p>
          <w:p>
            <w:pPr>
              <w:adjustRightInd w:val="0"/>
              <w:snapToGrid w:val="0"/>
              <w:spacing w:line="360" w:lineRule="auto"/>
              <w:jc w:val="center"/>
              <w:rPr>
                <w:b/>
                <w:color w:val="auto"/>
                <w:sz w:val="24"/>
                <w:highlight w:val="none"/>
              </w:rPr>
            </w:pPr>
            <w:r>
              <w:rPr>
                <w:rFonts w:hint="eastAsia"/>
                <w:b/>
                <w:color w:val="auto"/>
                <w:sz w:val="24"/>
                <w:highlight w:val="none"/>
              </w:rPr>
              <w:t xml:space="preserve">表2-1 </w:t>
            </w:r>
            <w:r>
              <w:rPr>
                <w:rFonts w:hint="eastAsia"/>
                <w:b/>
                <w:color w:val="auto"/>
                <w:sz w:val="24"/>
                <w:highlight w:val="none"/>
                <w:lang w:val="en-US" w:eastAsia="zh-CN"/>
              </w:rPr>
              <w:t>建设</w:t>
            </w:r>
            <w:r>
              <w:rPr>
                <w:rFonts w:hint="eastAsia"/>
                <w:b/>
                <w:color w:val="auto"/>
                <w:sz w:val="24"/>
                <w:highlight w:val="none"/>
              </w:rPr>
              <w:t>项目工程内容一览表</w:t>
            </w:r>
          </w:p>
          <w:tbl>
            <w:tblPr>
              <w:tblStyle w:val="23"/>
              <w:tblW w:w="79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85"/>
              <w:gridCol w:w="5203"/>
              <w:gridCol w:w="1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noWrap w:val="0"/>
                  <w:vAlign w:val="center"/>
                </w:tcPr>
                <w:p>
                  <w:pPr>
                    <w:adjustRightInd w:val="0"/>
                    <w:snapToGrid w:val="0"/>
                    <w:spacing w:before="48" w:beforeLines="20" w:after="48" w:afterLines="20"/>
                    <w:jc w:val="center"/>
                    <w:rPr>
                      <w:b/>
                      <w:color w:val="auto"/>
                      <w:szCs w:val="21"/>
                      <w:highlight w:val="none"/>
                    </w:rPr>
                  </w:pPr>
                  <w:r>
                    <w:rPr>
                      <w:rFonts w:hint="eastAsia"/>
                      <w:b/>
                      <w:color w:val="auto"/>
                      <w:szCs w:val="21"/>
                      <w:highlight w:val="none"/>
                    </w:rPr>
                    <w:t>工程类别</w:t>
                  </w:r>
                </w:p>
              </w:tc>
              <w:tc>
                <w:tcPr>
                  <w:tcW w:w="985" w:type="dxa"/>
                  <w:noWrap w:val="0"/>
                  <w:vAlign w:val="center"/>
                </w:tcPr>
                <w:p>
                  <w:pPr>
                    <w:adjustRightInd w:val="0"/>
                    <w:snapToGrid w:val="0"/>
                    <w:spacing w:before="48" w:beforeLines="20" w:after="48" w:afterLines="20"/>
                    <w:jc w:val="center"/>
                    <w:rPr>
                      <w:b/>
                      <w:color w:val="auto"/>
                      <w:szCs w:val="21"/>
                      <w:highlight w:val="none"/>
                    </w:rPr>
                  </w:pPr>
                  <w:r>
                    <w:rPr>
                      <w:rFonts w:hint="eastAsia"/>
                      <w:b/>
                      <w:color w:val="auto"/>
                      <w:szCs w:val="21"/>
                      <w:highlight w:val="none"/>
                    </w:rPr>
                    <w:t>建设内容</w:t>
                  </w:r>
                </w:p>
              </w:tc>
              <w:tc>
                <w:tcPr>
                  <w:tcW w:w="5203" w:type="dxa"/>
                  <w:noWrap w:val="0"/>
                  <w:vAlign w:val="center"/>
                </w:tcPr>
                <w:p>
                  <w:pPr>
                    <w:adjustRightInd w:val="0"/>
                    <w:snapToGrid w:val="0"/>
                    <w:spacing w:before="48" w:beforeLines="20" w:after="48" w:afterLines="20"/>
                    <w:jc w:val="center"/>
                    <w:rPr>
                      <w:b/>
                      <w:color w:val="auto"/>
                      <w:szCs w:val="21"/>
                      <w:highlight w:val="none"/>
                    </w:rPr>
                  </w:pPr>
                  <w:r>
                    <w:rPr>
                      <w:rFonts w:hint="eastAsia"/>
                      <w:b/>
                      <w:color w:val="auto"/>
                      <w:szCs w:val="21"/>
                      <w:highlight w:val="none"/>
                    </w:rPr>
                    <w:t>规模</w:t>
                  </w:r>
                </w:p>
              </w:tc>
              <w:tc>
                <w:tcPr>
                  <w:tcW w:w="1091" w:type="dxa"/>
                  <w:noWrap w:val="0"/>
                  <w:vAlign w:val="center"/>
                </w:tcPr>
                <w:p>
                  <w:pPr>
                    <w:adjustRightInd w:val="0"/>
                    <w:snapToGrid w:val="0"/>
                    <w:spacing w:before="48" w:beforeLines="20" w:after="48" w:afterLines="20"/>
                    <w:jc w:val="center"/>
                    <w:rPr>
                      <w:rFonts w:hint="eastAsia" w:eastAsia="宋体"/>
                      <w:b/>
                      <w:color w:val="auto"/>
                      <w:szCs w:val="21"/>
                      <w:highlight w:val="none"/>
                      <w:u w:val="single"/>
                      <w:lang w:val="en-US" w:eastAsia="zh-CN"/>
                    </w:rPr>
                  </w:pPr>
                  <w:r>
                    <w:rPr>
                      <w:rFonts w:hint="eastAsia"/>
                      <w:b/>
                      <w:color w:val="auto"/>
                      <w:szCs w:val="21"/>
                      <w:highlight w:val="none"/>
                      <w:u w:val="none"/>
                      <w:lang w:val="en-US" w:eastAsia="zh-CN"/>
                    </w:rPr>
                    <w:t>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98" w:type="dxa"/>
                  <w:vMerge w:val="restart"/>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主体工程</w:t>
                  </w:r>
                </w:p>
              </w:tc>
              <w:tc>
                <w:tcPr>
                  <w:tcW w:w="985" w:type="dxa"/>
                  <w:noWrap w:val="0"/>
                  <w:vAlign w:val="center"/>
                </w:tcPr>
                <w:p>
                  <w:pPr>
                    <w:adjustRightInd w:val="0"/>
                    <w:snapToGrid w:val="0"/>
                    <w:spacing w:before="48" w:beforeLines="20" w:after="48" w:afterLines="20"/>
                    <w:jc w:val="center"/>
                    <w:rPr>
                      <w:rFonts w:hint="default"/>
                      <w:bCs/>
                      <w:color w:val="auto"/>
                      <w:szCs w:val="21"/>
                      <w:highlight w:val="none"/>
                      <w:u w:val="none"/>
                      <w:lang w:val="en-US" w:eastAsia="zh-CN"/>
                    </w:rPr>
                  </w:pPr>
                  <w:r>
                    <w:rPr>
                      <w:rFonts w:hint="eastAsia"/>
                      <w:bCs/>
                      <w:color w:val="auto"/>
                      <w:szCs w:val="21"/>
                      <w:highlight w:val="none"/>
                      <w:u w:val="none"/>
                      <w:lang w:val="en-US" w:eastAsia="zh-CN"/>
                    </w:rPr>
                    <w:t>破碎、粉碎筛分车间</w:t>
                  </w:r>
                </w:p>
              </w:tc>
              <w:tc>
                <w:tcPr>
                  <w:tcW w:w="5203" w:type="dxa"/>
                  <w:noWrap w:val="0"/>
                  <w:vAlign w:val="center"/>
                </w:tcPr>
                <w:p>
                  <w:pPr>
                    <w:adjustRightInd w:val="0"/>
                    <w:snapToGrid w:val="0"/>
                    <w:spacing w:before="48" w:beforeLines="20" w:after="48" w:afterLines="20"/>
                    <w:jc w:val="center"/>
                    <w:rPr>
                      <w:rFonts w:hint="eastAsia" w:eastAsia="宋体"/>
                      <w:bCs/>
                      <w:color w:val="auto"/>
                      <w:szCs w:val="21"/>
                      <w:highlight w:val="none"/>
                      <w:u w:val="none"/>
                      <w:lang w:eastAsia="zh-CN"/>
                    </w:rPr>
                  </w:pPr>
                  <w:r>
                    <w:rPr>
                      <w:rFonts w:hint="eastAsia"/>
                      <w:bCs/>
                      <w:color w:val="auto"/>
                      <w:szCs w:val="21"/>
                      <w:highlight w:val="none"/>
                      <w:u w:val="none"/>
                      <w:lang w:val="en-US" w:eastAsia="zh-CN"/>
                    </w:rPr>
                    <w:t>建筑</w:t>
                  </w:r>
                  <w:r>
                    <w:rPr>
                      <w:rFonts w:hint="eastAsia"/>
                      <w:bCs/>
                      <w:color w:val="auto"/>
                      <w:szCs w:val="21"/>
                      <w:highlight w:val="none"/>
                      <w:u w:val="none"/>
                    </w:rPr>
                    <w:t>面积</w:t>
                  </w:r>
                  <w:r>
                    <w:rPr>
                      <w:rFonts w:hint="eastAsia"/>
                      <w:bCs/>
                      <w:color w:val="auto"/>
                      <w:szCs w:val="21"/>
                      <w:highlight w:val="none"/>
                      <w:u w:val="none"/>
                      <w:lang w:val="en-US" w:eastAsia="zh-CN"/>
                    </w:rPr>
                    <w:t>500</w:t>
                  </w:r>
                  <w:r>
                    <w:rPr>
                      <w:rFonts w:hint="eastAsia"/>
                      <w:bCs/>
                      <w:color w:val="auto"/>
                      <w:szCs w:val="21"/>
                      <w:highlight w:val="none"/>
                      <w:u w:val="none"/>
                    </w:rPr>
                    <w:t>m</w:t>
                  </w:r>
                  <w:r>
                    <w:rPr>
                      <w:rFonts w:hint="eastAsia"/>
                      <w:bCs/>
                      <w:color w:val="auto"/>
                      <w:szCs w:val="21"/>
                      <w:highlight w:val="none"/>
                      <w:u w:val="none"/>
                      <w:vertAlign w:val="superscript"/>
                    </w:rPr>
                    <w:t>2</w:t>
                  </w:r>
                  <w:r>
                    <w:rPr>
                      <w:rFonts w:hint="eastAsia"/>
                      <w:bCs/>
                      <w:color w:val="auto"/>
                      <w:szCs w:val="21"/>
                      <w:highlight w:val="none"/>
                      <w:u w:val="none"/>
                    </w:rPr>
                    <w:t>，从事</w:t>
                  </w:r>
                  <w:r>
                    <w:rPr>
                      <w:rFonts w:hint="eastAsia"/>
                      <w:bCs/>
                      <w:color w:val="auto"/>
                      <w:szCs w:val="21"/>
                      <w:highlight w:val="none"/>
                      <w:u w:val="none"/>
                      <w:lang w:val="en-US" w:eastAsia="zh-CN"/>
                    </w:rPr>
                    <w:t>原料破碎、粉碎筛分</w:t>
                  </w:r>
                  <w:r>
                    <w:rPr>
                      <w:rFonts w:hint="eastAsia"/>
                      <w:bCs/>
                      <w:color w:val="auto"/>
                      <w:szCs w:val="21"/>
                      <w:highlight w:val="none"/>
                      <w:u w:val="none"/>
                    </w:rPr>
                    <w:t>生产</w:t>
                  </w:r>
                  <w:r>
                    <w:rPr>
                      <w:rFonts w:hint="eastAsia"/>
                      <w:bCs/>
                      <w:color w:val="auto"/>
                      <w:szCs w:val="21"/>
                      <w:highlight w:val="none"/>
                      <w:u w:val="none"/>
                      <w:lang w:eastAsia="zh-CN"/>
                    </w:rPr>
                    <w:t>，</w:t>
                  </w:r>
                  <w:r>
                    <w:rPr>
                      <w:rFonts w:hint="eastAsia"/>
                      <w:bCs/>
                      <w:color w:val="auto"/>
                      <w:szCs w:val="21"/>
                      <w:highlight w:val="none"/>
                      <w:u w:val="none"/>
                      <w:lang w:val="en-US" w:eastAsia="zh-CN"/>
                    </w:rPr>
                    <w:t>设置有2条破碎、粉碎筛分生产线</w:t>
                  </w:r>
                  <w:r>
                    <w:rPr>
                      <w:rFonts w:hint="eastAsia"/>
                      <w:bCs/>
                      <w:color w:val="auto"/>
                      <w:szCs w:val="21"/>
                      <w:highlight w:val="none"/>
                      <w:u w:val="none"/>
                      <w:lang w:eastAsia="zh-CN"/>
                    </w:rPr>
                    <w:t>。</w:t>
                  </w:r>
                </w:p>
              </w:tc>
              <w:tc>
                <w:tcPr>
                  <w:tcW w:w="1091" w:type="dxa"/>
                  <w:vMerge w:val="restart"/>
                  <w:noWrap w:val="0"/>
                  <w:vAlign w:val="center"/>
                </w:tcPr>
                <w:p>
                  <w:pPr>
                    <w:adjustRightInd w:val="0"/>
                    <w:snapToGrid w:val="0"/>
                    <w:spacing w:before="48" w:beforeLines="20" w:after="48" w:afterLines="20"/>
                    <w:jc w:val="center"/>
                    <w:rPr>
                      <w:rFonts w:hint="default" w:eastAsia="宋体"/>
                      <w:bCs/>
                      <w:color w:val="auto"/>
                      <w:szCs w:val="21"/>
                      <w:highlight w:val="none"/>
                      <w:u w:val="single"/>
                      <w:lang w:val="en-US" w:eastAsia="zh-CN"/>
                    </w:rPr>
                  </w:pPr>
                  <w:r>
                    <w:rPr>
                      <w:rFonts w:hint="eastAsia"/>
                      <w:bCs/>
                      <w:color w:val="auto"/>
                      <w:szCs w:val="21"/>
                      <w:highlight w:val="none"/>
                      <w:u w:val="single"/>
                      <w:lang w:val="en-US" w:eastAsia="zh-CN"/>
                    </w:rPr>
                    <w:t>依托现有厂房，将厂房改造成封闭式厂房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98"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985" w:type="dxa"/>
                  <w:noWrap w:val="0"/>
                  <w:vAlign w:val="center"/>
                </w:tcPr>
                <w:p>
                  <w:pPr>
                    <w:adjustRightInd w:val="0"/>
                    <w:snapToGrid w:val="0"/>
                    <w:spacing w:before="48" w:beforeLines="20" w:after="48" w:afterLines="20"/>
                    <w:jc w:val="center"/>
                    <w:rPr>
                      <w:rFonts w:hint="eastAsia"/>
                      <w:bCs/>
                      <w:color w:val="auto"/>
                      <w:szCs w:val="21"/>
                      <w:highlight w:val="none"/>
                      <w:u w:val="none"/>
                      <w:lang w:val="en-US" w:eastAsia="zh-CN"/>
                    </w:rPr>
                  </w:pPr>
                  <w:r>
                    <w:rPr>
                      <w:rFonts w:hint="eastAsia"/>
                      <w:bCs/>
                      <w:color w:val="auto"/>
                      <w:szCs w:val="21"/>
                      <w:highlight w:val="none"/>
                      <w:u w:val="none"/>
                      <w:lang w:val="en-US" w:eastAsia="zh-CN"/>
                    </w:rPr>
                    <w:t>烘干</w:t>
                  </w:r>
                </w:p>
                <w:p>
                  <w:pPr>
                    <w:adjustRightInd w:val="0"/>
                    <w:snapToGrid w:val="0"/>
                    <w:spacing w:before="48" w:beforeLines="20" w:after="48" w:afterLines="20"/>
                    <w:jc w:val="center"/>
                    <w:rPr>
                      <w:rFonts w:hint="default"/>
                      <w:bCs/>
                      <w:color w:val="auto"/>
                      <w:szCs w:val="21"/>
                      <w:highlight w:val="none"/>
                      <w:u w:val="none"/>
                      <w:lang w:val="en-US" w:eastAsia="zh-CN"/>
                    </w:rPr>
                  </w:pPr>
                  <w:r>
                    <w:rPr>
                      <w:rFonts w:hint="eastAsia"/>
                      <w:bCs/>
                      <w:color w:val="auto"/>
                      <w:szCs w:val="21"/>
                      <w:highlight w:val="none"/>
                      <w:u w:val="none"/>
                      <w:lang w:val="en-US" w:eastAsia="zh-CN"/>
                    </w:rPr>
                    <w:t>车间</w:t>
                  </w:r>
                </w:p>
              </w:tc>
              <w:tc>
                <w:tcPr>
                  <w:tcW w:w="5203"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建筑面积1000</w:t>
                  </w:r>
                  <w:r>
                    <w:rPr>
                      <w:rFonts w:hint="eastAsia"/>
                      <w:bCs/>
                      <w:color w:val="auto"/>
                      <w:szCs w:val="21"/>
                      <w:highlight w:val="none"/>
                      <w:u w:val="none"/>
                    </w:rPr>
                    <w:t>m</w:t>
                  </w:r>
                  <w:r>
                    <w:rPr>
                      <w:rFonts w:hint="eastAsia"/>
                      <w:bCs/>
                      <w:color w:val="auto"/>
                      <w:szCs w:val="21"/>
                      <w:highlight w:val="none"/>
                      <w:u w:val="none"/>
                      <w:vertAlign w:val="superscript"/>
                    </w:rPr>
                    <w:t>2</w:t>
                  </w:r>
                  <w:r>
                    <w:rPr>
                      <w:rFonts w:hint="eastAsia"/>
                      <w:bCs/>
                      <w:color w:val="auto"/>
                      <w:szCs w:val="21"/>
                      <w:highlight w:val="none"/>
                      <w:u w:val="none"/>
                    </w:rPr>
                    <w:t>，从事</w:t>
                  </w:r>
                  <w:r>
                    <w:rPr>
                      <w:rFonts w:hint="eastAsia"/>
                      <w:bCs/>
                      <w:color w:val="auto"/>
                      <w:szCs w:val="21"/>
                      <w:highlight w:val="none"/>
                      <w:u w:val="none"/>
                      <w:lang w:val="en-US" w:eastAsia="zh-CN"/>
                    </w:rPr>
                    <w:t>原料烘干</w:t>
                  </w:r>
                  <w:r>
                    <w:rPr>
                      <w:rFonts w:hint="eastAsia"/>
                      <w:bCs/>
                      <w:color w:val="auto"/>
                      <w:szCs w:val="21"/>
                      <w:highlight w:val="none"/>
                      <w:u w:val="none"/>
                    </w:rPr>
                    <w:t>生产</w:t>
                  </w:r>
                  <w:r>
                    <w:rPr>
                      <w:rFonts w:hint="eastAsia"/>
                      <w:bCs/>
                      <w:color w:val="auto"/>
                      <w:szCs w:val="21"/>
                      <w:highlight w:val="none"/>
                      <w:u w:val="none"/>
                      <w:lang w:eastAsia="zh-CN"/>
                    </w:rPr>
                    <w:t>，</w:t>
                  </w:r>
                  <w:r>
                    <w:rPr>
                      <w:rFonts w:hint="eastAsia"/>
                      <w:bCs/>
                      <w:color w:val="auto"/>
                      <w:szCs w:val="21"/>
                      <w:highlight w:val="none"/>
                      <w:u w:val="none"/>
                      <w:lang w:val="en-US" w:eastAsia="zh-CN"/>
                    </w:rPr>
                    <w:t>设置有1条烘干生产线</w:t>
                  </w:r>
                  <w:r>
                    <w:rPr>
                      <w:rFonts w:hint="eastAsia"/>
                      <w:bCs/>
                      <w:color w:val="auto"/>
                      <w:szCs w:val="21"/>
                      <w:highlight w:val="none"/>
                      <w:u w:val="none"/>
                      <w:lang w:eastAsia="zh-CN"/>
                    </w:rPr>
                    <w:t>。</w:t>
                  </w:r>
                </w:p>
              </w:tc>
              <w:tc>
                <w:tcPr>
                  <w:tcW w:w="1091" w:type="dxa"/>
                  <w:vMerge w:val="continue"/>
                  <w:noWrap w:val="0"/>
                  <w:vAlign w:val="center"/>
                </w:tcPr>
                <w:p>
                  <w:pPr>
                    <w:adjustRightInd w:val="0"/>
                    <w:snapToGrid w:val="0"/>
                    <w:spacing w:before="48" w:beforeLines="20" w:after="48" w:afterLines="20"/>
                    <w:jc w:val="center"/>
                    <w:rPr>
                      <w:rFonts w:hint="eastAsia"/>
                      <w:bCs/>
                      <w:color w:val="auto"/>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98"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985" w:type="dxa"/>
                  <w:noWrap w:val="0"/>
                  <w:vAlign w:val="center"/>
                </w:tcPr>
                <w:p>
                  <w:pPr>
                    <w:adjustRightInd w:val="0"/>
                    <w:snapToGrid w:val="0"/>
                    <w:spacing w:before="48" w:beforeLines="20" w:after="48" w:afterLines="20"/>
                    <w:jc w:val="center"/>
                    <w:rPr>
                      <w:rFonts w:hint="eastAsia"/>
                      <w:bCs/>
                      <w:color w:val="auto"/>
                      <w:szCs w:val="21"/>
                      <w:highlight w:val="none"/>
                      <w:u w:val="none"/>
                      <w:lang w:val="en-US" w:eastAsia="zh-CN"/>
                    </w:rPr>
                  </w:pPr>
                  <w:r>
                    <w:rPr>
                      <w:rFonts w:hint="eastAsia"/>
                      <w:bCs/>
                      <w:color w:val="auto"/>
                      <w:szCs w:val="21"/>
                      <w:highlight w:val="none"/>
                      <w:u w:val="none"/>
                      <w:lang w:val="en-US" w:eastAsia="zh-CN"/>
                    </w:rPr>
                    <w:t>制粒</w:t>
                  </w:r>
                </w:p>
                <w:p>
                  <w:pPr>
                    <w:adjustRightInd w:val="0"/>
                    <w:snapToGrid w:val="0"/>
                    <w:spacing w:before="48" w:beforeLines="20" w:after="48" w:afterLines="20"/>
                    <w:jc w:val="center"/>
                    <w:rPr>
                      <w:rFonts w:hint="default"/>
                      <w:bCs/>
                      <w:color w:val="auto"/>
                      <w:szCs w:val="21"/>
                      <w:highlight w:val="none"/>
                      <w:u w:val="none"/>
                      <w:lang w:val="en-US" w:eastAsia="zh-CN"/>
                    </w:rPr>
                  </w:pPr>
                  <w:r>
                    <w:rPr>
                      <w:rFonts w:hint="eastAsia"/>
                      <w:bCs/>
                      <w:color w:val="auto"/>
                      <w:szCs w:val="21"/>
                      <w:highlight w:val="none"/>
                      <w:u w:val="none"/>
                      <w:lang w:val="en-US" w:eastAsia="zh-CN"/>
                    </w:rPr>
                    <w:t>车间</w:t>
                  </w:r>
                </w:p>
              </w:tc>
              <w:tc>
                <w:tcPr>
                  <w:tcW w:w="5203" w:type="dxa"/>
                  <w:noWrap w:val="0"/>
                  <w:vAlign w:val="center"/>
                </w:tcPr>
                <w:p>
                  <w:pPr>
                    <w:adjustRightInd w:val="0"/>
                    <w:snapToGrid w:val="0"/>
                    <w:spacing w:before="48" w:beforeLines="20" w:after="48" w:afterLines="20"/>
                    <w:jc w:val="center"/>
                    <w:rPr>
                      <w:rFonts w:hint="eastAsia"/>
                      <w:bCs/>
                      <w:color w:val="auto"/>
                      <w:szCs w:val="21"/>
                      <w:highlight w:val="none"/>
                      <w:u w:val="none"/>
                    </w:rPr>
                  </w:pPr>
                  <w:r>
                    <w:rPr>
                      <w:rFonts w:hint="eastAsia"/>
                      <w:bCs/>
                      <w:color w:val="auto"/>
                      <w:szCs w:val="21"/>
                      <w:highlight w:val="none"/>
                      <w:u w:val="none"/>
                      <w:lang w:val="en-US" w:eastAsia="zh-CN"/>
                    </w:rPr>
                    <w:t>建筑面积500</w:t>
                  </w:r>
                  <w:r>
                    <w:rPr>
                      <w:rFonts w:hint="eastAsia"/>
                      <w:bCs/>
                      <w:color w:val="auto"/>
                      <w:szCs w:val="21"/>
                      <w:highlight w:val="none"/>
                      <w:u w:val="none"/>
                    </w:rPr>
                    <w:t>m</w:t>
                  </w:r>
                  <w:r>
                    <w:rPr>
                      <w:rFonts w:hint="eastAsia"/>
                      <w:bCs/>
                      <w:color w:val="auto"/>
                      <w:szCs w:val="21"/>
                      <w:highlight w:val="none"/>
                      <w:u w:val="none"/>
                      <w:vertAlign w:val="superscript"/>
                    </w:rPr>
                    <w:t>2</w:t>
                  </w:r>
                  <w:r>
                    <w:rPr>
                      <w:rFonts w:hint="eastAsia"/>
                      <w:bCs/>
                      <w:color w:val="auto"/>
                      <w:szCs w:val="21"/>
                      <w:highlight w:val="none"/>
                      <w:u w:val="none"/>
                    </w:rPr>
                    <w:t>，从事</w:t>
                  </w:r>
                  <w:r>
                    <w:rPr>
                      <w:rFonts w:hint="eastAsia"/>
                      <w:bCs/>
                      <w:color w:val="auto"/>
                      <w:szCs w:val="21"/>
                      <w:highlight w:val="none"/>
                      <w:u w:val="none"/>
                      <w:lang w:val="en-US" w:eastAsia="zh-CN"/>
                    </w:rPr>
                    <w:t>成型生物质颗粒制粒</w:t>
                  </w:r>
                  <w:r>
                    <w:rPr>
                      <w:rFonts w:hint="eastAsia"/>
                      <w:bCs/>
                      <w:color w:val="auto"/>
                      <w:szCs w:val="21"/>
                      <w:highlight w:val="none"/>
                      <w:u w:val="none"/>
                    </w:rPr>
                    <w:t>生产</w:t>
                  </w:r>
                  <w:r>
                    <w:rPr>
                      <w:rFonts w:hint="eastAsia"/>
                      <w:bCs/>
                      <w:color w:val="auto"/>
                      <w:szCs w:val="21"/>
                      <w:highlight w:val="none"/>
                      <w:u w:val="none"/>
                      <w:lang w:eastAsia="zh-CN"/>
                    </w:rPr>
                    <w:t>，</w:t>
                  </w:r>
                  <w:r>
                    <w:rPr>
                      <w:rFonts w:hint="eastAsia"/>
                      <w:bCs/>
                      <w:color w:val="auto"/>
                      <w:szCs w:val="21"/>
                      <w:highlight w:val="none"/>
                      <w:u w:val="none"/>
                      <w:lang w:val="en-US" w:eastAsia="zh-CN"/>
                    </w:rPr>
                    <w:t>设置有2条制粒生产线</w:t>
                  </w:r>
                  <w:r>
                    <w:rPr>
                      <w:rFonts w:hint="eastAsia"/>
                      <w:bCs/>
                      <w:color w:val="auto"/>
                      <w:szCs w:val="21"/>
                      <w:highlight w:val="none"/>
                      <w:u w:val="none"/>
                      <w:lang w:eastAsia="zh-CN"/>
                    </w:rPr>
                    <w:t>。</w:t>
                  </w:r>
                </w:p>
              </w:tc>
              <w:tc>
                <w:tcPr>
                  <w:tcW w:w="1091" w:type="dxa"/>
                  <w:vMerge w:val="continue"/>
                  <w:noWrap w:val="0"/>
                  <w:vAlign w:val="center"/>
                </w:tcPr>
                <w:p>
                  <w:pPr>
                    <w:adjustRightInd w:val="0"/>
                    <w:snapToGrid w:val="0"/>
                    <w:spacing w:before="48" w:beforeLines="20" w:after="48" w:afterLines="20"/>
                    <w:jc w:val="center"/>
                    <w:rPr>
                      <w:rFonts w:hint="eastAsia"/>
                      <w:bCs/>
                      <w:color w:val="auto"/>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8" w:type="dxa"/>
                  <w:vMerge w:val="restart"/>
                  <w:noWrap w:val="0"/>
                  <w:vAlign w:val="center"/>
                </w:tcPr>
                <w:p>
                  <w:pPr>
                    <w:adjustRightInd w:val="0"/>
                    <w:snapToGrid w:val="0"/>
                    <w:spacing w:before="48" w:beforeLines="20" w:after="48" w:afterLines="20"/>
                    <w:jc w:val="center"/>
                    <w:rPr>
                      <w:rFonts w:hint="eastAsia"/>
                      <w:bCs/>
                      <w:color w:val="auto"/>
                      <w:szCs w:val="21"/>
                      <w:highlight w:val="none"/>
                      <w:u w:val="none"/>
                    </w:rPr>
                  </w:pPr>
                  <w:r>
                    <w:rPr>
                      <w:rFonts w:hint="eastAsia"/>
                      <w:bCs/>
                      <w:color w:val="auto"/>
                      <w:szCs w:val="21"/>
                      <w:highlight w:val="none"/>
                      <w:u w:val="none"/>
                    </w:rPr>
                    <w:t>储运</w:t>
                  </w:r>
                </w:p>
                <w:p>
                  <w:pPr>
                    <w:adjustRightInd w:val="0"/>
                    <w:snapToGrid w:val="0"/>
                    <w:spacing w:before="48" w:beforeLines="20" w:after="48" w:afterLines="20"/>
                    <w:jc w:val="center"/>
                    <w:rPr>
                      <w:rFonts w:hint="eastAsia"/>
                      <w:bCs/>
                      <w:color w:val="auto"/>
                      <w:szCs w:val="21"/>
                      <w:highlight w:val="none"/>
                      <w:u w:val="none"/>
                    </w:rPr>
                  </w:pPr>
                  <w:r>
                    <w:rPr>
                      <w:rFonts w:hint="eastAsia"/>
                      <w:bCs/>
                      <w:color w:val="auto"/>
                      <w:szCs w:val="21"/>
                      <w:highlight w:val="none"/>
                      <w:u w:val="none"/>
                    </w:rPr>
                    <w:t>工程</w:t>
                  </w:r>
                </w:p>
              </w:tc>
              <w:tc>
                <w:tcPr>
                  <w:tcW w:w="985" w:type="dxa"/>
                  <w:noWrap w:val="0"/>
                  <w:vAlign w:val="center"/>
                </w:tcPr>
                <w:p>
                  <w:pPr>
                    <w:adjustRightInd w:val="0"/>
                    <w:snapToGrid w:val="0"/>
                    <w:spacing w:before="48" w:beforeLines="20" w:after="48" w:afterLines="20"/>
                    <w:jc w:val="center"/>
                    <w:rPr>
                      <w:rFonts w:hint="eastAsia"/>
                      <w:bCs/>
                      <w:color w:val="auto"/>
                      <w:szCs w:val="21"/>
                      <w:highlight w:val="none"/>
                      <w:u w:val="none"/>
                      <w:lang w:val="en-US" w:eastAsia="zh-CN"/>
                    </w:rPr>
                  </w:pPr>
                  <w:r>
                    <w:rPr>
                      <w:rFonts w:hint="eastAsia"/>
                      <w:bCs/>
                      <w:color w:val="auto"/>
                      <w:szCs w:val="21"/>
                      <w:highlight w:val="none"/>
                      <w:u w:val="none"/>
                      <w:lang w:val="en-US" w:eastAsia="zh-CN"/>
                    </w:rPr>
                    <w:t>原料</w:t>
                  </w:r>
                </w:p>
                <w:p>
                  <w:pPr>
                    <w:adjustRightInd w:val="0"/>
                    <w:snapToGrid w:val="0"/>
                    <w:spacing w:before="48" w:beforeLines="20" w:after="48" w:afterLines="20"/>
                    <w:jc w:val="center"/>
                    <w:rPr>
                      <w:rFonts w:hint="default"/>
                      <w:bCs/>
                      <w:color w:val="auto"/>
                      <w:szCs w:val="21"/>
                      <w:highlight w:val="none"/>
                      <w:u w:val="none"/>
                      <w:lang w:val="en-US" w:eastAsia="zh-CN"/>
                    </w:rPr>
                  </w:pPr>
                  <w:r>
                    <w:rPr>
                      <w:rFonts w:hint="eastAsia"/>
                      <w:bCs/>
                      <w:color w:val="auto"/>
                      <w:szCs w:val="21"/>
                      <w:highlight w:val="none"/>
                      <w:u w:val="none"/>
                      <w:lang w:val="en-US" w:eastAsia="zh-CN"/>
                    </w:rPr>
                    <w:t>仓库</w:t>
                  </w:r>
                </w:p>
              </w:tc>
              <w:tc>
                <w:tcPr>
                  <w:tcW w:w="5203" w:type="dxa"/>
                  <w:noWrap w:val="0"/>
                  <w:vAlign w:val="center"/>
                </w:tcPr>
                <w:p>
                  <w:pPr>
                    <w:adjustRightInd w:val="0"/>
                    <w:snapToGrid w:val="0"/>
                    <w:spacing w:before="48" w:beforeLines="20" w:after="48" w:afterLines="20"/>
                    <w:jc w:val="center"/>
                    <w:rPr>
                      <w:rFonts w:hint="eastAsia"/>
                      <w:bCs/>
                      <w:color w:val="auto"/>
                      <w:szCs w:val="21"/>
                      <w:highlight w:val="none"/>
                      <w:u w:val="none"/>
                      <w:lang w:val="en-US" w:eastAsia="zh-CN"/>
                    </w:rPr>
                  </w:pPr>
                  <w:r>
                    <w:rPr>
                      <w:rFonts w:hint="eastAsia"/>
                      <w:bCs/>
                      <w:color w:val="auto"/>
                      <w:szCs w:val="21"/>
                      <w:highlight w:val="none"/>
                      <w:u w:val="none"/>
                      <w:lang w:val="en-US" w:eastAsia="zh-CN"/>
                    </w:rPr>
                    <w:t>建筑面积2000m</w:t>
                  </w:r>
                  <w:r>
                    <w:rPr>
                      <w:rFonts w:hint="eastAsia"/>
                      <w:bCs/>
                      <w:color w:val="auto"/>
                      <w:szCs w:val="21"/>
                      <w:highlight w:val="none"/>
                      <w:u w:val="none"/>
                      <w:vertAlign w:val="superscript"/>
                      <w:lang w:val="en-US" w:eastAsia="zh-CN"/>
                    </w:rPr>
                    <w:t>2</w:t>
                  </w:r>
                  <w:r>
                    <w:rPr>
                      <w:rFonts w:hint="eastAsia"/>
                      <w:bCs/>
                      <w:color w:val="auto"/>
                      <w:szCs w:val="21"/>
                      <w:highlight w:val="none"/>
                      <w:u w:val="none"/>
                      <w:lang w:val="en-US" w:eastAsia="zh-CN"/>
                    </w:rPr>
                    <w:t>，用于原料储存，防风、防雨的封闭式堆场</w:t>
                  </w:r>
                </w:p>
              </w:tc>
              <w:tc>
                <w:tcPr>
                  <w:tcW w:w="1091" w:type="dxa"/>
                  <w:vMerge w:val="restart"/>
                  <w:noWrap w:val="0"/>
                  <w:vAlign w:val="center"/>
                </w:tcPr>
                <w:p>
                  <w:pPr>
                    <w:adjustRightInd w:val="0"/>
                    <w:snapToGrid w:val="0"/>
                    <w:spacing w:before="48" w:beforeLines="20" w:after="48" w:afterLines="20"/>
                    <w:jc w:val="center"/>
                    <w:rPr>
                      <w:rFonts w:hint="default"/>
                      <w:bCs/>
                      <w:color w:val="auto"/>
                      <w:szCs w:val="21"/>
                      <w:highlight w:val="none"/>
                      <w:u w:val="single"/>
                      <w:lang w:val="en-US" w:eastAsia="zh-CN"/>
                    </w:rPr>
                  </w:pPr>
                  <w:r>
                    <w:rPr>
                      <w:rFonts w:hint="eastAsia"/>
                      <w:bCs/>
                      <w:color w:val="auto"/>
                      <w:szCs w:val="21"/>
                      <w:highlight w:val="none"/>
                      <w:u w:val="single"/>
                      <w:lang w:val="en-US" w:eastAsia="zh-CN"/>
                    </w:rPr>
                    <w:t>依托现有厂房，将厂房改造成封闭式仓库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8" w:type="dxa"/>
                  <w:vMerge w:val="continue"/>
                  <w:noWrap w:val="0"/>
                  <w:vAlign w:val="center"/>
                </w:tcPr>
                <w:p>
                  <w:pPr>
                    <w:adjustRightInd w:val="0"/>
                    <w:snapToGrid w:val="0"/>
                    <w:spacing w:before="48" w:beforeLines="20" w:after="48" w:afterLines="20"/>
                    <w:jc w:val="center"/>
                    <w:rPr>
                      <w:color w:val="auto"/>
                      <w:highlight w:val="none"/>
                      <w:u w:val="none"/>
                    </w:rPr>
                  </w:pPr>
                </w:p>
              </w:tc>
              <w:tc>
                <w:tcPr>
                  <w:tcW w:w="985" w:type="dxa"/>
                  <w:noWrap w:val="0"/>
                  <w:vAlign w:val="center"/>
                </w:tcPr>
                <w:p>
                  <w:pPr>
                    <w:adjustRightInd w:val="0"/>
                    <w:snapToGrid w:val="0"/>
                    <w:spacing w:before="48" w:beforeLines="20" w:after="48" w:afterLines="20"/>
                    <w:jc w:val="center"/>
                    <w:rPr>
                      <w:rFonts w:hint="eastAsia"/>
                      <w:color w:val="auto"/>
                      <w:highlight w:val="none"/>
                      <w:u w:val="none"/>
                      <w:lang w:val="en-US" w:eastAsia="zh-CN"/>
                    </w:rPr>
                  </w:pPr>
                  <w:r>
                    <w:rPr>
                      <w:rFonts w:hint="eastAsia"/>
                      <w:color w:val="auto"/>
                      <w:highlight w:val="none"/>
                      <w:u w:val="none"/>
                      <w:lang w:val="en-US" w:eastAsia="zh-CN"/>
                    </w:rPr>
                    <w:t>产品</w:t>
                  </w:r>
                </w:p>
                <w:p>
                  <w:pPr>
                    <w:adjustRightInd w:val="0"/>
                    <w:snapToGrid w:val="0"/>
                    <w:spacing w:before="48" w:beforeLines="20" w:after="48" w:afterLines="20"/>
                    <w:jc w:val="center"/>
                    <w:rPr>
                      <w:rFonts w:hint="default" w:eastAsia="宋体"/>
                      <w:color w:val="auto"/>
                      <w:highlight w:val="none"/>
                      <w:u w:val="none"/>
                      <w:lang w:val="en-US" w:eastAsia="zh-CN"/>
                    </w:rPr>
                  </w:pPr>
                  <w:r>
                    <w:rPr>
                      <w:rFonts w:hint="eastAsia"/>
                      <w:color w:val="auto"/>
                      <w:highlight w:val="none"/>
                      <w:u w:val="none"/>
                      <w:lang w:val="en-US" w:eastAsia="zh-CN"/>
                    </w:rPr>
                    <w:t>仓库</w:t>
                  </w:r>
                </w:p>
              </w:tc>
              <w:tc>
                <w:tcPr>
                  <w:tcW w:w="5203" w:type="dxa"/>
                  <w:noWrap w:val="0"/>
                  <w:vAlign w:val="center"/>
                </w:tcPr>
                <w:p>
                  <w:pPr>
                    <w:adjustRightInd w:val="0"/>
                    <w:snapToGrid w:val="0"/>
                    <w:spacing w:before="48" w:beforeLines="20" w:after="48" w:afterLines="20"/>
                    <w:jc w:val="center"/>
                    <w:rPr>
                      <w:color w:val="auto"/>
                      <w:highlight w:val="none"/>
                      <w:u w:val="none"/>
                    </w:rPr>
                  </w:pPr>
                  <w:r>
                    <w:rPr>
                      <w:rFonts w:hint="eastAsia"/>
                      <w:color w:val="auto"/>
                      <w:highlight w:val="none"/>
                      <w:u w:val="none"/>
                      <w:lang w:val="en-US" w:eastAsia="zh-CN"/>
                    </w:rPr>
                    <w:t>建筑</w:t>
                  </w:r>
                  <w:r>
                    <w:rPr>
                      <w:rFonts w:hint="eastAsia"/>
                      <w:color w:val="auto"/>
                      <w:highlight w:val="none"/>
                      <w:u w:val="none"/>
                    </w:rPr>
                    <w:t>面积</w:t>
                  </w:r>
                  <w:r>
                    <w:rPr>
                      <w:rFonts w:hint="eastAsia"/>
                      <w:color w:val="auto"/>
                      <w:highlight w:val="none"/>
                      <w:u w:val="none"/>
                      <w:lang w:val="en-US" w:eastAsia="zh-CN"/>
                    </w:rPr>
                    <w:t>3600</w:t>
                  </w:r>
                  <w:r>
                    <w:rPr>
                      <w:rFonts w:hint="eastAsia"/>
                      <w:color w:val="auto"/>
                      <w:highlight w:val="none"/>
                      <w:u w:val="none"/>
                    </w:rPr>
                    <w:t>m</w:t>
                  </w:r>
                  <w:r>
                    <w:rPr>
                      <w:rFonts w:hint="eastAsia"/>
                      <w:color w:val="auto"/>
                      <w:highlight w:val="none"/>
                      <w:u w:val="none"/>
                      <w:vertAlign w:val="superscript"/>
                    </w:rPr>
                    <w:t>2</w:t>
                  </w:r>
                  <w:r>
                    <w:rPr>
                      <w:rFonts w:hint="eastAsia"/>
                      <w:color w:val="auto"/>
                      <w:highlight w:val="none"/>
                      <w:u w:val="none"/>
                    </w:rPr>
                    <w:t>，用于产品储存，防风、防雨的封闭式堆场</w:t>
                  </w:r>
                </w:p>
              </w:tc>
              <w:tc>
                <w:tcPr>
                  <w:tcW w:w="1091" w:type="dxa"/>
                  <w:vMerge w:val="continue"/>
                  <w:noWrap w:val="0"/>
                  <w:vAlign w:val="center"/>
                </w:tcPr>
                <w:p>
                  <w:pPr>
                    <w:adjustRightInd w:val="0"/>
                    <w:snapToGrid w:val="0"/>
                    <w:spacing w:before="48" w:beforeLines="20" w:after="48" w:afterLines="20"/>
                    <w:jc w:val="center"/>
                    <w:rPr>
                      <w:rFonts w:hint="default"/>
                      <w:bCs/>
                      <w:color w:val="auto"/>
                      <w:szCs w:val="21"/>
                      <w:highlight w:val="none"/>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辅助工程</w:t>
                  </w:r>
                </w:p>
              </w:tc>
              <w:tc>
                <w:tcPr>
                  <w:tcW w:w="985"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eastAsia="宋体"/>
                      <w:bCs/>
                      <w:color w:val="auto"/>
                      <w:szCs w:val="21"/>
                      <w:highlight w:val="none"/>
                      <w:u w:val="none"/>
                      <w:lang w:val="en-US" w:eastAsia="zh-CN"/>
                    </w:rPr>
                    <w:t>办公生活区</w:t>
                  </w:r>
                </w:p>
              </w:tc>
              <w:tc>
                <w:tcPr>
                  <w:tcW w:w="5203" w:type="dxa"/>
                  <w:noWrap w:val="0"/>
                  <w:vAlign w:val="center"/>
                </w:tcPr>
                <w:p>
                  <w:pPr>
                    <w:adjustRightInd w:val="0"/>
                    <w:snapToGrid w:val="0"/>
                    <w:spacing w:before="48" w:beforeLines="20" w:after="48" w:afterLines="20"/>
                    <w:jc w:val="center"/>
                    <w:rPr>
                      <w:rFonts w:hint="eastAsia" w:eastAsia="宋体"/>
                      <w:bCs/>
                      <w:color w:val="auto"/>
                      <w:szCs w:val="21"/>
                      <w:highlight w:val="none"/>
                      <w:u w:val="none"/>
                      <w:lang w:eastAsia="zh-CN"/>
                    </w:rPr>
                  </w:pPr>
                  <w:r>
                    <w:rPr>
                      <w:rFonts w:hint="eastAsia" w:eastAsia="宋体"/>
                      <w:bCs/>
                      <w:color w:val="auto"/>
                      <w:szCs w:val="21"/>
                      <w:highlight w:val="none"/>
                      <w:u w:val="none"/>
                      <w:lang w:eastAsia="zh-CN"/>
                    </w:rPr>
                    <w:t>建筑面积</w:t>
                  </w:r>
                  <w:r>
                    <w:rPr>
                      <w:rFonts w:hint="eastAsia" w:eastAsia="宋体"/>
                      <w:bCs/>
                      <w:color w:val="auto"/>
                      <w:szCs w:val="21"/>
                      <w:highlight w:val="none"/>
                      <w:u w:val="none"/>
                      <w:lang w:val="en-US" w:eastAsia="zh-CN"/>
                    </w:rPr>
                    <w:t>400</w:t>
                  </w:r>
                  <w:r>
                    <w:rPr>
                      <w:rFonts w:hint="eastAsia"/>
                      <w:bCs/>
                      <w:color w:val="auto"/>
                      <w:szCs w:val="21"/>
                      <w:highlight w:val="none"/>
                      <w:u w:val="none"/>
                    </w:rPr>
                    <w:t>m</w:t>
                  </w:r>
                  <w:r>
                    <w:rPr>
                      <w:rFonts w:hint="eastAsia"/>
                      <w:bCs/>
                      <w:color w:val="auto"/>
                      <w:szCs w:val="21"/>
                      <w:highlight w:val="none"/>
                      <w:u w:val="none"/>
                      <w:vertAlign w:val="superscript"/>
                    </w:rPr>
                    <w:t>2</w:t>
                  </w:r>
                  <w:r>
                    <w:rPr>
                      <w:rFonts w:hint="eastAsia" w:eastAsia="宋体"/>
                      <w:bCs/>
                      <w:color w:val="auto"/>
                      <w:szCs w:val="21"/>
                      <w:highlight w:val="none"/>
                      <w:u w:val="none"/>
                      <w:lang w:eastAsia="zh-CN"/>
                    </w:rPr>
                    <w:t>；主要为人员办公。</w:t>
                  </w:r>
                </w:p>
              </w:tc>
              <w:tc>
                <w:tcPr>
                  <w:tcW w:w="1091"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restart"/>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公用工程</w:t>
                  </w:r>
                </w:p>
              </w:tc>
              <w:tc>
                <w:tcPr>
                  <w:tcW w:w="985" w:type="dxa"/>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给水</w:t>
                  </w:r>
                </w:p>
              </w:tc>
              <w:tc>
                <w:tcPr>
                  <w:tcW w:w="5203"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bCs/>
                      <w:color w:val="auto"/>
                      <w:szCs w:val="21"/>
                      <w:highlight w:val="none"/>
                      <w:u w:val="none"/>
                    </w:rPr>
                    <w:t>依托厂区内已有的</w:t>
                  </w:r>
                  <w:r>
                    <w:rPr>
                      <w:rFonts w:hint="eastAsia"/>
                      <w:bCs/>
                      <w:color w:val="auto"/>
                      <w:szCs w:val="21"/>
                      <w:highlight w:val="none"/>
                      <w:u w:val="none"/>
                      <w:lang w:val="en-US" w:eastAsia="zh-CN"/>
                    </w:rPr>
                    <w:t>市政自来水</w:t>
                  </w:r>
                </w:p>
              </w:tc>
              <w:tc>
                <w:tcPr>
                  <w:tcW w:w="1091"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985" w:type="dxa"/>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供电</w:t>
                  </w:r>
                </w:p>
              </w:tc>
              <w:tc>
                <w:tcPr>
                  <w:tcW w:w="5203" w:type="dxa"/>
                  <w:noWrap w:val="0"/>
                  <w:vAlign w:val="center"/>
                </w:tcPr>
                <w:p>
                  <w:pPr>
                    <w:adjustRightInd w:val="0"/>
                    <w:snapToGrid w:val="0"/>
                    <w:spacing w:before="48" w:beforeLines="20" w:after="48" w:afterLines="20"/>
                    <w:jc w:val="center"/>
                    <w:rPr>
                      <w:rFonts w:hint="eastAsia"/>
                      <w:bCs/>
                      <w:color w:val="auto"/>
                      <w:szCs w:val="21"/>
                      <w:highlight w:val="none"/>
                      <w:u w:val="none"/>
                    </w:rPr>
                  </w:pPr>
                  <w:r>
                    <w:rPr>
                      <w:rFonts w:hint="eastAsia"/>
                      <w:bCs/>
                      <w:color w:val="auto"/>
                      <w:szCs w:val="21"/>
                      <w:highlight w:val="none"/>
                      <w:u w:val="none"/>
                    </w:rPr>
                    <w:t>项目用电主要依托当地电网</w:t>
                  </w:r>
                </w:p>
              </w:tc>
              <w:tc>
                <w:tcPr>
                  <w:tcW w:w="1091" w:type="dxa"/>
                  <w:noWrap w:val="0"/>
                  <w:vAlign w:val="center"/>
                </w:tcPr>
                <w:p>
                  <w:pPr>
                    <w:adjustRightInd w:val="0"/>
                    <w:snapToGrid w:val="0"/>
                    <w:spacing w:before="48" w:beforeLines="20" w:after="48" w:afterLines="20"/>
                    <w:jc w:val="center"/>
                    <w:rPr>
                      <w:rFonts w:hint="eastAsia"/>
                      <w:bCs/>
                      <w:color w:val="auto"/>
                      <w:szCs w:val="21"/>
                      <w:highlight w:val="none"/>
                      <w:u w:val="none"/>
                    </w:rPr>
                  </w:pPr>
                  <w:r>
                    <w:rPr>
                      <w:rFonts w:hint="eastAsia"/>
                      <w:bCs/>
                      <w:color w:val="auto"/>
                      <w:szCs w:val="21"/>
                      <w:highlight w:val="none"/>
                      <w:u w:val="non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restart"/>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环保工程</w:t>
                  </w:r>
                </w:p>
              </w:tc>
              <w:tc>
                <w:tcPr>
                  <w:tcW w:w="985" w:type="dxa"/>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废水</w:t>
                  </w:r>
                </w:p>
              </w:tc>
              <w:tc>
                <w:tcPr>
                  <w:tcW w:w="5203" w:type="dxa"/>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lang w:val="en-US" w:eastAsia="zh-CN"/>
                    </w:rPr>
                    <w:t>项目无生产废水产生，主要是</w:t>
                  </w:r>
                  <w:r>
                    <w:rPr>
                      <w:rFonts w:hint="eastAsia"/>
                      <w:bCs/>
                      <w:color w:val="auto"/>
                      <w:szCs w:val="21"/>
                      <w:highlight w:val="none"/>
                      <w:u w:val="none"/>
                    </w:rPr>
                    <w:t>生活污水</w:t>
                  </w:r>
                  <w:r>
                    <w:rPr>
                      <w:rFonts w:hint="eastAsia"/>
                      <w:bCs/>
                      <w:color w:val="auto"/>
                      <w:szCs w:val="21"/>
                      <w:highlight w:val="none"/>
                      <w:u w:val="none"/>
                      <w:lang w:eastAsia="zh-CN"/>
                    </w:rPr>
                    <w:t>，</w:t>
                  </w:r>
                  <w:r>
                    <w:rPr>
                      <w:rFonts w:hint="eastAsia"/>
                      <w:bCs/>
                      <w:color w:val="auto"/>
                      <w:szCs w:val="21"/>
                      <w:highlight w:val="none"/>
                      <w:u w:val="none"/>
                    </w:rPr>
                    <w:t>经化粪池处理达标后用于周边</w:t>
                  </w:r>
                  <w:r>
                    <w:rPr>
                      <w:rFonts w:hint="eastAsia"/>
                      <w:bCs/>
                      <w:color w:val="auto"/>
                      <w:szCs w:val="21"/>
                      <w:highlight w:val="none"/>
                      <w:u w:val="none"/>
                      <w:lang w:val="en-US" w:eastAsia="zh-CN"/>
                    </w:rPr>
                    <w:t>菜地浇灌</w:t>
                  </w:r>
                  <w:r>
                    <w:rPr>
                      <w:rFonts w:hint="eastAsia"/>
                      <w:bCs/>
                      <w:color w:val="auto"/>
                      <w:szCs w:val="21"/>
                      <w:highlight w:val="none"/>
                      <w:u w:val="none"/>
                    </w:rPr>
                    <w:t>，不外排</w:t>
                  </w:r>
                </w:p>
              </w:tc>
              <w:tc>
                <w:tcPr>
                  <w:tcW w:w="1091" w:type="dxa"/>
                  <w:noWrap w:val="0"/>
                  <w:vAlign w:val="center"/>
                </w:tcPr>
                <w:p>
                  <w:pPr>
                    <w:adjustRightInd w:val="0"/>
                    <w:snapToGrid w:val="0"/>
                    <w:spacing w:before="48" w:beforeLines="20" w:after="48" w:afterLines="20"/>
                    <w:jc w:val="center"/>
                    <w:rPr>
                      <w:rFonts w:hint="eastAsia"/>
                      <w:bCs/>
                      <w:color w:val="auto"/>
                      <w:szCs w:val="21"/>
                      <w:highlight w:val="none"/>
                      <w:u w:val="none"/>
                      <w:lang w:val="en-US" w:eastAsia="zh-CN"/>
                    </w:rPr>
                  </w:pPr>
                  <w:r>
                    <w:rPr>
                      <w:rFonts w:hint="eastAsia"/>
                      <w:bCs/>
                      <w:color w:val="auto"/>
                      <w:szCs w:val="21"/>
                      <w:highlight w:val="none"/>
                      <w:u w:val="non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985" w:type="dxa"/>
                  <w:noWrap w:val="0"/>
                  <w:vAlign w:val="center"/>
                </w:tcPr>
                <w:p>
                  <w:pPr>
                    <w:adjustRightInd w:val="0"/>
                    <w:snapToGrid w:val="0"/>
                    <w:spacing w:before="48" w:beforeLines="20" w:after="48" w:afterLines="20"/>
                    <w:jc w:val="center"/>
                    <w:rPr>
                      <w:bCs/>
                      <w:color w:val="auto"/>
                      <w:szCs w:val="21"/>
                      <w:highlight w:val="none"/>
                      <w:u w:val="none"/>
                    </w:rPr>
                  </w:pPr>
                  <w:r>
                    <w:rPr>
                      <w:bCs/>
                      <w:color w:val="auto"/>
                      <w:szCs w:val="21"/>
                      <w:highlight w:val="none"/>
                      <w:u w:val="none"/>
                    </w:rPr>
                    <w:t>废气</w:t>
                  </w:r>
                </w:p>
              </w:tc>
              <w:tc>
                <w:tcPr>
                  <w:tcW w:w="5203"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生产在封闭式车间内进行，采用机械传输、封闭输送带进行物料输送。破碎、粉碎、筛分、制粒、烘干等工序和项目热风炉产生的废气采取管道连接设备呼吸口进行收集，收集后经“旋风+布袋”处理后经15m高排气筒（DA001）排放。</w:t>
                  </w:r>
                </w:p>
              </w:tc>
              <w:tc>
                <w:tcPr>
                  <w:tcW w:w="1091"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985" w:type="dxa"/>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噪声</w:t>
                  </w:r>
                </w:p>
              </w:tc>
              <w:tc>
                <w:tcPr>
                  <w:tcW w:w="5203" w:type="dxa"/>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选用低噪声生产设备，采取隔声间、减振、隔声等治理措施</w:t>
                  </w:r>
                </w:p>
              </w:tc>
              <w:tc>
                <w:tcPr>
                  <w:tcW w:w="1091" w:type="dxa"/>
                  <w:noWrap w:val="0"/>
                  <w:vAlign w:val="center"/>
                </w:tcPr>
                <w:p>
                  <w:pPr>
                    <w:adjustRightInd w:val="0"/>
                    <w:snapToGrid w:val="0"/>
                    <w:spacing w:before="48" w:beforeLines="20" w:after="48" w:afterLines="20"/>
                    <w:jc w:val="center"/>
                    <w:rPr>
                      <w:rFonts w:hint="eastAsia" w:eastAsia="宋体"/>
                      <w:bCs/>
                      <w:color w:val="auto"/>
                      <w:szCs w:val="21"/>
                      <w:highlight w:val="none"/>
                      <w:u w:val="none"/>
                      <w:lang w:val="en-US" w:eastAsia="zh-CN"/>
                    </w:rPr>
                  </w:pPr>
                  <w:r>
                    <w:rPr>
                      <w:rFonts w:hint="eastAsia"/>
                      <w:bCs/>
                      <w:color w:val="auto"/>
                      <w:szCs w:val="21"/>
                      <w:highlight w:val="none"/>
                      <w:u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985" w:type="dxa"/>
                  <w:vMerge w:val="restart"/>
                  <w:noWrap w:val="0"/>
                  <w:vAlign w:val="center"/>
                </w:tcPr>
                <w:p>
                  <w:pPr>
                    <w:adjustRightInd w:val="0"/>
                    <w:snapToGrid w:val="0"/>
                    <w:spacing w:before="48" w:beforeLines="20" w:after="48" w:afterLines="20"/>
                    <w:jc w:val="center"/>
                    <w:rPr>
                      <w:bCs/>
                      <w:color w:val="auto"/>
                      <w:szCs w:val="21"/>
                      <w:highlight w:val="none"/>
                      <w:u w:val="none"/>
                    </w:rPr>
                  </w:pPr>
                  <w:r>
                    <w:rPr>
                      <w:rFonts w:hint="eastAsia"/>
                      <w:bCs/>
                      <w:color w:val="auto"/>
                      <w:szCs w:val="21"/>
                      <w:highlight w:val="none"/>
                      <w:u w:val="none"/>
                    </w:rPr>
                    <w:t>固废</w:t>
                  </w:r>
                </w:p>
              </w:tc>
              <w:tc>
                <w:tcPr>
                  <w:tcW w:w="5203"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bCs/>
                      <w:color w:val="auto"/>
                      <w:szCs w:val="21"/>
                      <w:highlight w:val="none"/>
                      <w:u w:val="none"/>
                    </w:rPr>
                  </w:pPr>
                  <w:r>
                    <w:rPr>
                      <w:rFonts w:hint="eastAsia"/>
                      <w:bCs/>
                      <w:color w:val="auto"/>
                      <w:szCs w:val="21"/>
                      <w:highlight w:val="none"/>
                      <w:u w:val="none"/>
                      <w:lang w:val="en-US" w:eastAsia="zh-CN"/>
                    </w:rPr>
                    <w:t>厂区南侧</w:t>
                  </w:r>
                  <w:r>
                    <w:rPr>
                      <w:rFonts w:hint="eastAsia"/>
                      <w:bCs/>
                      <w:color w:val="auto"/>
                      <w:szCs w:val="21"/>
                      <w:highlight w:val="none"/>
                      <w:u w:val="none"/>
                    </w:rPr>
                    <w:t>设一般固体废物储存间</w:t>
                  </w:r>
                  <w:r>
                    <w:rPr>
                      <w:rFonts w:hint="eastAsia" w:ascii="Times New Roman" w:hAnsi="Times New Roman" w:eastAsia="宋体" w:cs="Times New Roman"/>
                      <w:bCs/>
                      <w:color w:val="auto"/>
                      <w:kern w:val="2"/>
                      <w:sz w:val="21"/>
                      <w:szCs w:val="21"/>
                      <w:highlight w:val="none"/>
                      <w:u w:val="none"/>
                      <w:lang w:val="en-US" w:eastAsia="zh-CN" w:bidi="ar-SA"/>
                    </w:rPr>
                    <w:t>5m</w:t>
                  </w:r>
                  <w:r>
                    <w:rPr>
                      <w:rFonts w:hint="eastAsia" w:ascii="Times New Roman" w:hAnsi="Times New Roman" w:eastAsia="宋体" w:cs="Times New Roman"/>
                      <w:bCs/>
                      <w:color w:val="auto"/>
                      <w:kern w:val="2"/>
                      <w:sz w:val="21"/>
                      <w:szCs w:val="21"/>
                      <w:highlight w:val="none"/>
                      <w:u w:val="none"/>
                      <w:vertAlign w:val="superscript"/>
                      <w:lang w:val="en-US" w:eastAsia="zh-CN" w:bidi="ar-SA"/>
                    </w:rPr>
                    <w:t>2</w:t>
                  </w:r>
                  <w:r>
                    <w:rPr>
                      <w:rFonts w:hint="eastAsia"/>
                      <w:bCs/>
                      <w:color w:val="auto"/>
                      <w:szCs w:val="21"/>
                      <w:highlight w:val="none"/>
                      <w:u w:val="none"/>
                    </w:rPr>
                    <w:t>临时存放，加强管理、实行分类收集，分类处理措施，及时交由有一般固废处理能力单位处理</w:t>
                  </w:r>
                </w:p>
              </w:tc>
              <w:tc>
                <w:tcPr>
                  <w:tcW w:w="1091"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eastAsia="宋体"/>
                      <w:bCs/>
                      <w:color w:val="auto"/>
                      <w:szCs w:val="21"/>
                      <w:highlight w:val="none"/>
                      <w:u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985" w:type="dxa"/>
                  <w:vMerge w:val="continue"/>
                  <w:noWrap w:val="0"/>
                  <w:vAlign w:val="center"/>
                </w:tcPr>
                <w:p>
                  <w:pPr>
                    <w:adjustRightInd w:val="0"/>
                    <w:snapToGrid w:val="0"/>
                    <w:spacing w:before="48" w:beforeLines="20" w:after="48" w:afterLines="20"/>
                    <w:jc w:val="center"/>
                    <w:rPr>
                      <w:rFonts w:hint="eastAsia"/>
                      <w:bCs/>
                      <w:color w:val="auto"/>
                      <w:szCs w:val="21"/>
                      <w:highlight w:val="none"/>
                      <w:u w:val="none"/>
                    </w:rPr>
                  </w:pPr>
                </w:p>
              </w:tc>
              <w:tc>
                <w:tcPr>
                  <w:tcW w:w="5203"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bCs/>
                      <w:color w:val="auto"/>
                      <w:szCs w:val="21"/>
                      <w:highlight w:val="none"/>
                      <w:u w:val="none"/>
                    </w:rPr>
                  </w:pPr>
                  <w:r>
                    <w:rPr>
                      <w:rFonts w:hint="eastAsia"/>
                      <w:bCs/>
                      <w:color w:val="auto"/>
                      <w:szCs w:val="21"/>
                      <w:highlight w:val="none"/>
                      <w:u w:val="none"/>
                      <w:lang w:val="en-US" w:eastAsia="zh-CN"/>
                    </w:rPr>
                    <w:t>厂区南侧</w:t>
                  </w:r>
                  <w:r>
                    <w:rPr>
                      <w:rFonts w:hint="eastAsia"/>
                      <w:bCs/>
                      <w:color w:val="auto"/>
                      <w:szCs w:val="21"/>
                      <w:highlight w:val="none"/>
                      <w:u w:val="none"/>
                    </w:rPr>
                    <w:t>设</w:t>
                  </w:r>
                  <w:r>
                    <w:rPr>
                      <w:rFonts w:hint="eastAsia"/>
                      <w:bCs/>
                      <w:color w:val="auto"/>
                      <w:szCs w:val="21"/>
                      <w:highlight w:val="none"/>
                      <w:u w:val="none"/>
                      <w:lang w:val="en-US" w:eastAsia="zh-CN"/>
                    </w:rPr>
                    <w:t>危险</w:t>
                  </w:r>
                  <w:r>
                    <w:rPr>
                      <w:rFonts w:hint="eastAsia"/>
                      <w:bCs/>
                      <w:color w:val="auto"/>
                      <w:szCs w:val="21"/>
                      <w:highlight w:val="none"/>
                      <w:u w:val="none"/>
                    </w:rPr>
                    <w:t>固体废物暂存间</w:t>
                  </w:r>
                  <w:r>
                    <w:rPr>
                      <w:rFonts w:hint="eastAsia" w:ascii="Times New Roman" w:hAnsi="Times New Roman" w:eastAsia="宋体" w:cs="Times New Roman"/>
                      <w:bCs/>
                      <w:color w:val="auto"/>
                      <w:kern w:val="2"/>
                      <w:sz w:val="21"/>
                      <w:szCs w:val="21"/>
                      <w:highlight w:val="none"/>
                      <w:u w:val="none"/>
                      <w:lang w:val="en-US" w:eastAsia="zh-CN" w:bidi="ar-SA"/>
                    </w:rPr>
                    <w:t>2m</w:t>
                  </w:r>
                  <w:r>
                    <w:rPr>
                      <w:rFonts w:hint="eastAsia" w:ascii="Times New Roman" w:hAnsi="Times New Roman" w:eastAsia="宋体" w:cs="Times New Roman"/>
                      <w:bCs/>
                      <w:color w:val="auto"/>
                      <w:kern w:val="2"/>
                      <w:sz w:val="21"/>
                      <w:szCs w:val="21"/>
                      <w:highlight w:val="none"/>
                      <w:u w:val="none"/>
                      <w:vertAlign w:val="superscript"/>
                      <w:lang w:val="en-US" w:eastAsia="zh-CN" w:bidi="ar-SA"/>
                    </w:rPr>
                    <w:t>2</w:t>
                  </w:r>
                  <w:r>
                    <w:rPr>
                      <w:rFonts w:hint="eastAsia"/>
                      <w:bCs/>
                      <w:color w:val="auto"/>
                      <w:szCs w:val="21"/>
                      <w:highlight w:val="none"/>
                      <w:u w:val="none"/>
                      <w:lang w:eastAsia="zh-CN"/>
                    </w:rPr>
                    <w:t>，</w:t>
                  </w:r>
                  <w:r>
                    <w:rPr>
                      <w:rFonts w:hint="eastAsia"/>
                      <w:bCs/>
                      <w:color w:val="auto"/>
                      <w:szCs w:val="21"/>
                      <w:highlight w:val="none"/>
                      <w:u w:val="none"/>
                    </w:rPr>
                    <w:t>危险废物在厂区内危废暂存间内</w:t>
                  </w:r>
                  <w:r>
                    <w:rPr>
                      <w:rFonts w:hint="eastAsia"/>
                      <w:bCs/>
                      <w:color w:val="auto"/>
                      <w:szCs w:val="21"/>
                      <w:highlight w:val="none"/>
                      <w:u w:val="none"/>
                      <w:lang w:val="en-US" w:eastAsia="zh-CN"/>
                    </w:rPr>
                    <w:t>临时存放</w:t>
                  </w:r>
                  <w:r>
                    <w:rPr>
                      <w:rFonts w:hint="eastAsia"/>
                      <w:bCs/>
                      <w:color w:val="auto"/>
                      <w:szCs w:val="21"/>
                      <w:highlight w:val="none"/>
                      <w:u w:val="none"/>
                    </w:rPr>
                    <w:t>，统一交有资质单位回收</w:t>
                  </w:r>
                </w:p>
              </w:tc>
              <w:tc>
                <w:tcPr>
                  <w:tcW w:w="1091" w:type="dxa"/>
                  <w:noWrap w:val="0"/>
                  <w:vAlign w:val="center"/>
                </w:tcPr>
                <w:p>
                  <w:pPr>
                    <w:adjustRightInd w:val="0"/>
                    <w:snapToGrid w:val="0"/>
                    <w:spacing w:before="48" w:beforeLines="20" w:after="48" w:afterLines="20"/>
                    <w:jc w:val="center"/>
                    <w:rPr>
                      <w:rFonts w:hint="default" w:eastAsia="宋体"/>
                      <w:bCs/>
                      <w:color w:val="auto"/>
                      <w:szCs w:val="21"/>
                      <w:highlight w:val="none"/>
                      <w:u w:val="none"/>
                      <w:lang w:val="en-US" w:eastAsia="zh-CN"/>
                    </w:rPr>
                  </w:pPr>
                  <w:r>
                    <w:rPr>
                      <w:rFonts w:hint="eastAsia" w:eastAsia="宋体"/>
                      <w:bCs/>
                      <w:color w:val="auto"/>
                      <w:szCs w:val="21"/>
                      <w:highlight w:val="none"/>
                      <w:u w:val="none"/>
                      <w:lang w:val="en-US" w:eastAsia="zh-CN"/>
                    </w:rPr>
                    <w:t>新建</w:t>
                  </w:r>
                </w:p>
              </w:tc>
            </w:tr>
          </w:tbl>
          <w:p>
            <w:pPr>
              <w:adjustRightInd w:val="0"/>
              <w:snapToGrid w:val="0"/>
              <w:spacing w:before="120" w:beforeLines="50" w:line="360" w:lineRule="auto"/>
              <w:ind w:firstLine="482" w:firstLineChars="200"/>
              <w:jc w:val="left"/>
              <w:rPr>
                <w:b/>
                <w:color w:val="auto"/>
                <w:sz w:val="24"/>
                <w:highlight w:val="none"/>
              </w:rPr>
            </w:pPr>
            <w:r>
              <w:rPr>
                <w:rFonts w:hint="eastAsia"/>
                <w:b/>
                <w:color w:val="auto"/>
                <w:sz w:val="24"/>
                <w:highlight w:val="none"/>
              </w:rPr>
              <w:t>2、</w:t>
            </w:r>
            <w:r>
              <w:rPr>
                <w:rFonts w:hint="eastAsia"/>
                <w:b/>
                <w:color w:val="auto"/>
                <w:sz w:val="24"/>
                <w:highlight w:val="none"/>
                <w:lang w:val="en-US" w:eastAsia="zh-CN"/>
              </w:rPr>
              <w:t>建设</w:t>
            </w:r>
            <w:r>
              <w:rPr>
                <w:rFonts w:hint="eastAsia"/>
                <w:b/>
                <w:color w:val="auto"/>
                <w:sz w:val="24"/>
                <w:highlight w:val="none"/>
              </w:rPr>
              <w:t>项目主要生产设备</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lang w:val="en-US" w:eastAsia="zh-CN"/>
              </w:rPr>
              <w:t>建设</w:t>
            </w:r>
            <w:r>
              <w:rPr>
                <w:rFonts w:hint="eastAsia"/>
                <w:bCs/>
                <w:color w:val="auto"/>
                <w:sz w:val="24"/>
                <w:highlight w:val="none"/>
              </w:rPr>
              <w:t>项目主要生产设备详见下表。</w:t>
            </w:r>
          </w:p>
          <w:p>
            <w:pPr>
              <w:adjustRightInd w:val="0"/>
              <w:snapToGrid w:val="0"/>
              <w:spacing w:line="360" w:lineRule="auto"/>
              <w:jc w:val="center"/>
              <w:rPr>
                <w:rFonts w:hint="eastAsia"/>
                <w:b/>
                <w:color w:val="auto"/>
                <w:sz w:val="24"/>
                <w:highlight w:val="none"/>
                <w:u w:val="none"/>
              </w:rPr>
            </w:pPr>
          </w:p>
          <w:p>
            <w:pPr>
              <w:adjustRightInd w:val="0"/>
              <w:snapToGrid w:val="0"/>
              <w:spacing w:line="360" w:lineRule="auto"/>
              <w:jc w:val="center"/>
              <w:rPr>
                <w:rFonts w:hint="default" w:eastAsia="宋体"/>
                <w:b/>
                <w:color w:val="auto"/>
                <w:sz w:val="24"/>
                <w:highlight w:val="none"/>
                <w:u w:val="none"/>
                <w:lang w:val="en-US" w:eastAsia="zh-CN"/>
              </w:rPr>
            </w:pPr>
            <w:r>
              <w:rPr>
                <w:rFonts w:hint="eastAsia"/>
                <w:b/>
                <w:color w:val="auto"/>
                <w:sz w:val="24"/>
                <w:highlight w:val="none"/>
                <w:u w:val="none"/>
              </w:rPr>
              <w:t xml:space="preserve">表2-2 </w:t>
            </w:r>
            <w:r>
              <w:rPr>
                <w:rFonts w:hint="eastAsia"/>
                <w:b/>
                <w:color w:val="auto"/>
                <w:sz w:val="24"/>
                <w:highlight w:val="none"/>
                <w:u w:val="none"/>
                <w:lang w:val="en-US" w:eastAsia="zh-CN"/>
              </w:rPr>
              <w:t>建设</w:t>
            </w:r>
            <w:r>
              <w:rPr>
                <w:rFonts w:hint="eastAsia"/>
                <w:b/>
                <w:color w:val="auto"/>
                <w:sz w:val="24"/>
                <w:highlight w:val="none"/>
                <w:u w:val="none"/>
              </w:rPr>
              <w:t>项目主要生产设备</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2045"/>
              <w:gridCol w:w="1490"/>
              <w:gridCol w:w="1316"/>
              <w:gridCol w:w="1203"/>
              <w:gridCol w:w="12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b/>
                      <w:bCs/>
                      <w:color w:val="auto"/>
                      <w:sz w:val="21"/>
                      <w:szCs w:val="21"/>
                      <w:highlight w:val="none"/>
                      <w:u w:val="none"/>
                      <w:lang w:eastAsia="zh-CN"/>
                    </w:rPr>
                  </w:pPr>
                  <w:r>
                    <w:rPr>
                      <w:rFonts w:hint="eastAsia" w:ascii="Times New Roman" w:hAnsi="Times New Roman" w:cs="Times New Roman"/>
                      <w:b/>
                      <w:bCs/>
                      <w:color w:val="auto"/>
                      <w:sz w:val="21"/>
                      <w:szCs w:val="21"/>
                      <w:highlight w:val="none"/>
                      <w:u w:val="none"/>
                      <w:lang w:val="en-US" w:eastAsia="zh-CN"/>
                    </w:rPr>
                    <w:t>序号</w:t>
                  </w:r>
                </w:p>
              </w:tc>
              <w:tc>
                <w:tcPr>
                  <w:tcW w:w="2045" w:type="dxa"/>
                  <w:shd w:val="solid" w:color="FFFFFF" w:fill="auto"/>
                  <w:noWrap w:val="0"/>
                  <w:vAlign w:val="top"/>
                </w:tcPr>
                <w:p>
                  <w:pPr>
                    <w:pStyle w:val="49"/>
                    <w:tabs>
                      <w:tab w:val="left" w:pos="752"/>
                      <w:tab w:val="center" w:pos="1104"/>
                    </w:tabs>
                    <w:spacing w:before="120" w:line="240" w:lineRule="auto"/>
                    <w:ind w:left="0" w:leftChars="0" w:firstLine="0" w:firstLineChars="0"/>
                    <w:jc w:val="center"/>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名称</w:t>
                  </w:r>
                </w:p>
              </w:tc>
              <w:tc>
                <w:tcPr>
                  <w:tcW w:w="1490"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型号</w:t>
                  </w:r>
                </w:p>
              </w:tc>
              <w:tc>
                <w:tcPr>
                  <w:tcW w:w="1316"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数量</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单位</w:t>
                  </w:r>
                </w:p>
              </w:tc>
              <w:tc>
                <w:tcPr>
                  <w:tcW w:w="1209"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用途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1</w:t>
                  </w:r>
                </w:p>
              </w:tc>
              <w:tc>
                <w:tcPr>
                  <w:tcW w:w="2045"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eastAsia" w:ascii="Times New Roman" w:hAnsi="Times New Roman" w:cs="Times New Roman"/>
                      <w:color w:val="auto"/>
                      <w:sz w:val="21"/>
                      <w:szCs w:val="21"/>
                      <w:highlight w:val="none"/>
                      <w:u w:val="none"/>
                      <w:lang w:val="en-US" w:eastAsia="zh-CN"/>
                    </w:rPr>
                    <w:t>制粒</w:t>
                  </w:r>
                  <w:r>
                    <w:rPr>
                      <w:rFonts w:hint="default" w:ascii="Times New Roman" w:hAnsi="Times New Roman" w:cs="Times New Roman"/>
                      <w:color w:val="auto"/>
                      <w:sz w:val="21"/>
                      <w:szCs w:val="21"/>
                      <w:highlight w:val="none"/>
                      <w:u w:val="none"/>
                    </w:rPr>
                    <w:t>机</w:t>
                  </w:r>
                </w:p>
              </w:tc>
              <w:tc>
                <w:tcPr>
                  <w:tcW w:w="1490"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ZLJ-6</w:t>
                  </w:r>
                </w:p>
              </w:tc>
              <w:tc>
                <w:tcPr>
                  <w:tcW w:w="1316"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2</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制粒工序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2</w:t>
                  </w:r>
                </w:p>
              </w:tc>
              <w:tc>
                <w:tcPr>
                  <w:tcW w:w="2045"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破碎机</w:t>
                  </w:r>
                </w:p>
              </w:tc>
              <w:tc>
                <w:tcPr>
                  <w:tcW w:w="1490"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60型</w:t>
                  </w:r>
                </w:p>
              </w:tc>
              <w:tc>
                <w:tcPr>
                  <w:tcW w:w="1316"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2</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color w:val="auto"/>
                      <w:sz w:val="21"/>
                      <w:szCs w:val="21"/>
                      <w:highlight w:val="none"/>
                      <w:u w:val="single"/>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破碎工序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3</w:t>
                  </w:r>
                </w:p>
              </w:tc>
              <w:tc>
                <w:tcPr>
                  <w:tcW w:w="2045"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粉碎机</w:t>
                  </w:r>
                </w:p>
              </w:tc>
              <w:tc>
                <w:tcPr>
                  <w:tcW w:w="1490"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YE2-225M</w:t>
                  </w:r>
                </w:p>
              </w:tc>
              <w:tc>
                <w:tcPr>
                  <w:tcW w:w="1316"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2</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粉碎工序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711" w:type="dxa"/>
                  <w:shd w:val="solid" w:color="FFFFFF" w:fill="auto"/>
                  <w:noWrap w:val="0"/>
                  <w:vAlign w:val="center"/>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4</w:t>
                  </w:r>
                </w:p>
              </w:tc>
              <w:tc>
                <w:tcPr>
                  <w:tcW w:w="2045" w:type="dxa"/>
                  <w:shd w:val="solid" w:color="FFFFFF" w:fill="auto"/>
                  <w:noWrap w:val="0"/>
                  <w:vAlign w:val="center"/>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皮带输送机</w:t>
                  </w:r>
                </w:p>
              </w:tc>
              <w:tc>
                <w:tcPr>
                  <w:tcW w:w="1490" w:type="dxa"/>
                  <w:shd w:val="solid" w:color="FFFFFF" w:fill="auto"/>
                  <w:noWrap w:val="0"/>
                  <w:vAlign w:val="center"/>
                </w:tcPr>
                <w:p>
                  <w:pPr>
                    <w:pStyle w:val="49"/>
                    <w:spacing w:before="120"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w:t>
                  </w:r>
                </w:p>
              </w:tc>
              <w:tc>
                <w:tcPr>
                  <w:tcW w:w="1316" w:type="dxa"/>
                  <w:shd w:val="solid" w:color="FFFFFF" w:fill="auto"/>
                  <w:noWrap w:val="0"/>
                  <w:vAlign w:val="center"/>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8</w:t>
                  </w:r>
                </w:p>
              </w:tc>
              <w:tc>
                <w:tcPr>
                  <w:tcW w:w="1203" w:type="dxa"/>
                  <w:shd w:val="solid" w:color="FFFFFF" w:fill="auto"/>
                  <w:noWrap w:val="0"/>
                  <w:vAlign w:val="center"/>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条</w:t>
                  </w:r>
                </w:p>
              </w:tc>
              <w:tc>
                <w:tcPr>
                  <w:tcW w:w="1209" w:type="dxa"/>
                  <w:vMerge w:val="restart"/>
                  <w:shd w:val="solid" w:color="FFFFFF" w:fill="auto"/>
                  <w:noWrap w:val="0"/>
                  <w:vAlign w:val="center"/>
                </w:tcPr>
                <w:p>
                  <w:pPr>
                    <w:pStyle w:val="49"/>
                    <w:spacing w:before="120" w:line="240" w:lineRule="auto"/>
                    <w:ind w:left="0" w:leftChars="0" w:firstLine="0" w:firstLineChars="0"/>
                    <w:jc w:val="center"/>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原料、运输输送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711" w:type="dxa"/>
                  <w:shd w:val="solid" w:color="FFFFFF" w:fill="auto"/>
                  <w:noWrap w:val="0"/>
                  <w:vAlign w:val="center"/>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5</w:t>
                  </w:r>
                </w:p>
              </w:tc>
              <w:tc>
                <w:tcPr>
                  <w:tcW w:w="2045" w:type="dxa"/>
                  <w:shd w:val="solid" w:color="FFFFFF" w:fill="auto"/>
                  <w:noWrap w:val="0"/>
                  <w:vAlign w:val="center"/>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螺旋输送机</w:t>
                  </w:r>
                </w:p>
              </w:tc>
              <w:tc>
                <w:tcPr>
                  <w:tcW w:w="1490" w:type="dxa"/>
                  <w:shd w:val="solid" w:color="FFFFFF" w:fill="auto"/>
                  <w:noWrap w:val="0"/>
                  <w:vAlign w:val="center"/>
                </w:tcPr>
                <w:p>
                  <w:pPr>
                    <w:pStyle w:val="49"/>
                    <w:spacing w:before="120"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w:t>
                  </w:r>
                </w:p>
              </w:tc>
              <w:tc>
                <w:tcPr>
                  <w:tcW w:w="1316" w:type="dxa"/>
                  <w:shd w:val="solid" w:color="FFFFFF" w:fill="auto"/>
                  <w:noWrap w:val="0"/>
                  <w:vAlign w:val="center"/>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2</w:t>
                  </w:r>
                </w:p>
              </w:tc>
              <w:tc>
                <w:tcPr>
                  <w:tcW w:w="1203" w:type="dxa"/>
                  <w:shd w:val="solid" w:color="FFFFFF" w:fill="auto"/>
                  <w:noWrap w:val="0"/>
                  <w:vAlign w:val="center"/>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台</w:t>
                  </w:r>
                </w:p>
              </w:tc>
              <w:tc>
                <w:tcPr>
                  <w:tcW w:w="1209" w:type="dxa"/>
                  <w:vMerge w:val="continue"/>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cs="Times New Roman"/>
                      <w:color w:val="auto"/>
                      <w:sz w:val="21"/>
                      <w:szCs w:val="21"/>
                      <w:highlight w:val="none"/>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6</w:t>
                  </w:r>
                </w:p>
              </w:tc>
              <w:tc>
                <w:tcPr>
                  <w:tcW w:w="2045"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振动筛</w:t>
                  </w:r>
                </w:p>
              </w:tc>
              <w:tc>
                <w:tcPr>
                  <w:tcW w:w="1490" w:type="dxa"/>
                  <w:shd w:val="solid" w:color="FFFFFF" w:fill="auto"/>
                  <w:noWrap w:val="0"/>
                  <w:vAlign w:val="top"/>
                </w:tcPr>
                <w:p>
                  <w:pPr>
                    <w:pStyle w:val="49"/>
                    <w:spacing w:before="120"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w:t>
                  </w:r>
                </w:p>
              </w:tc>
              <w:tc>
                <w:tcPr>
                  <w:tcW w:w="1316"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2</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筛分工序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7</w:t>
                  </w:r>
                </w:p>
              </w:tc>
              <w:tc>
                <w:tcPr>
                  <w:tcW w:w="2045"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烘干筒</w:t>
                  </w:r>
                </w:p>
              </w:tc>
              <w:tc>
                <w:tcPr>
                  <w:tcW w:w="1490"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7.5*2.5*2.6</w:t>
                  </w:r>
                  <w:r>
                    <w:rPr>
                      <w:rFonts w:hint="eastAsia" w:ascii="Times New Roman" w:hAnsi="Times New Roman" w:cs="Times New Roman"/>
                      <w:color w:val="auto"/>
                      <w:sz w:val="21"/>
                      <w:szCs w:val="21"/>
                      <w:highlight w:val="none"/>
                      <w:u w:val="none"/>
                      <w:lang w:val="en-US" w:eastAsia="zh-CN"/>
                    </w:rPr>
                    <w:t>m</w:t>
                  </w:r>
                </w:p>
              </w:tc>
              <w:tc>
                <w:tcPr>
                  <w:tcW w:w="1316"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1</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烘干工序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8</w:t>
                  </w:r>
                </w:p>
              </w:tc>
              <w:tc>
                <w:tcPr>
                  <w:tcW w:w="2045"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热风炉</w:t>
                  </w:r>
                </w:p>
              </w:tc>
              <w:tc>
                <w:tcPr>
                  <w:tcW w:w="1490"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5LS-60型</w:t>
                  </w:r>
                </w:p>
              </w:tc>
              <w:tc>
                <w:tcPr>
                  <w:tcW w:w="1316"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w:t>
                  </w:r>
                </w:p>
              </w:tc>
              <w:tc>
                <w:tcPr>
                  <w:tcW w:w="1203"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加热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9</w:t>
                  </w:r>
                </w:p>
              </w:tc>
              <w:tc>
                <w:tcPr>
                  <w:tcW w:w="2045"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旋风除尘</w:t>
                  </w:r>
                </w:p>
              </w:tc>
              <w:tc>
                <w:tcPr>
                  <w:tcW w:w="1490" w:type="dxa"/>
                  <w:shd w:val="solid" w:color="FFFFFF" w:fill="auto"/>
                  <w:noWrap w:val="0"/>
                  <w:vAlign w:val="top"/>
                </w:tcPr>
                <w:p>
                  <w:pPr>
                    <w:pStyle w:val="49"/>
                    <w:spacing w:before="120" w:line="240" w:lineRule="auto"/>
                    <w:ind w:left="0" w:leftChars="0" w:firstLine="0" w:firstLineChars="0"/>
                    <w:jc w:val="both"/>
                    <w:rPr>
                      <w:rFonts w:hint="default" w:ascii="Times New Roman" w:hAnsi="Times New Roman" w:cs="Times New Roman"/>
                      <w:color w:val="auto"/>
                      <w:sz w:val="21"/>
                      <w:szCs w:val="21"/>
                      <w:highlight w:val="none"/>
                      <w:u w:val="none"/>
                    </w:rPr>
                  </w:pPr>
                </w:p>
              </w:tc>
              <w:tc>
                <w:tcPr>
                  <w:tcW w:w="1316"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3</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除尘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shd w:val="solid" w:color="FFFFFF" w:fill="auto"/>
                  <w:noWrap w:val="0"/>
                  <w:vAlign w:val="top"/>
                </w:tcPr>
                <w:p>
                  <w:pPr>
                    <w:pStyle w:val="49"/>
                    <w:tabs>
                      <w:tab w:val="left" w:pos="419"/>
                    </w:tabs>
                    <w:spacing w:before="120" w:line="240" w:lineRule="auto"/>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10</w:t>
                  </w:r>
                </w:p>
              </w:tc>
              <w:tc>
                <w:tcPr>
                  <w:tcW w:w="2045"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布袋除尘器</w:t>
                  </w:r>
                </w:p>
              </w:tc>
              <w:tc>
                <w:tcPr>
                  <w:tcW w:w="1490" w:type="dxa"/>
                  <w:shd w:val="solid" w:color="FFFFFF" w:fill="auto"/>
                  <w:noWrap w:val="0"/>
                  <w:vAlign w:val="top"/>
                </w:tcPr>
                <w:p>
                  <w:pPr>
                    <w:pStyle w:val="49"/>
                    <w:spacing w:before="120"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w:t>
                  </w:r>
                </w:p>
              </w:tc>
              <w:tc>
                <w:tcPr>
                  <w:tcW w:w="1316"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val="en-US" w:eastAsia="zh-CN"/>
                    </w:rPr>
                    <w:t>1</w:t>
                  </w:r>
                </w:p>
              </w:tc>
              <w:tc>
                <w:tcPr>
                  <w:tcW w:w="1203"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套</w:t>
                  </w:r>
                </w:p>
              </w:tc>
              <w:tc>
                <w:tcPr>
                  <w:tcW w:w="1209"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除尘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11" w:type="dxa"/>
                  <w:shd w:val="solid" w:color="FFFFFF" w:fill="auto"/>
                  <w:noWrap w:val="0"/>
                  <w:vAlign w:val="top"/>
                </w:tcPr>
                <w:p>
                  <w:pPr>
                    <w:pStyle w:val="49"/>
                    <w:tabs>
                      <w:tab w:val="left" w:pos="419"/>
                    </w:tabs>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11</w:t>
                  </w:r>
                </w:p>
              </w:tc>
              <w:tc>
                <w:tcPr>
                  <w:tcW w:w="2045"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铲车</w:t>
                  </w:r>
                </w:p>
              </w:tc>
              <w:tc>
                <w:tcPr>
                  <w:tcW w:w="1490" w:type="dxa"/>
                  <w:shd w:val="solid" w:color="FFFFFF" w:fill="auto"/>
                  <w:noWrap w:val="0"/>
                  <w:vAlign w:val="top"/>
                </w:tcPr>
                <w:p>
                  <w:pPr>
                    <w:pStyle w:val="49"/>
                    <w:spacing w:before="120" w:line="240" w:lineRule="auto"/>
                    <w:jc w:val="center"/>
                    <w:rPr>
                      <w:rFonts w:hint="default" w:ascii="Times New Roman" w:hAnsi="Times New Roman" w:cs="Times New Roman"/>
                      <w:color w:val="auto"/>
                      <w:sz w:val="21"/>
                      <w:szCs w:val="21"/>
                      <w:highlight w:val="none"/>
                      <w:u w:val="none"/>
                    </w:rPr>
                  </w:pPr>
                </w:p>
              </w:tc>
              <w:tc>
                <w:tcPr>
                  <w:tcW w:w="1316"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w:t>
                  </w:r>
                </w:p>
              </w:tc>
              <w:tc>
                <w:tcPr>
                  <w:tcW w:w="1203"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原料上料卸料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11" w:type="dxa"/>
                  <w:shd w:val="solid" w:color="FFFFFF" w:fill="auto"/>
                  <w:noWrap w:val="0"/>
                  <w:vAlign w:val="top"/>
                </w:tcPr>
                <w:p>
                  <w:pPr>
                    <w:pStyle w:val="49"/>
                    <w:tabs>
                      <w:tab w:val="left" w:pos="419"/>
                    </w:tabs>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12</w:t>
                  </w:r>
                </w:p>
              </w:tc>
              <w:tc>
                <w:tcPr>
                  <w:tcW w:w="2045"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叉车</w:t>
                  </w:r>
                </w:p>
              </w:tc>
              <w:tc>
                <w:tcPr>
                  <w:tcW w:w="1490" w:type="dxa"/>
                  <w:shd w:val="solid" w:color="FFFFFF" w:fill="auto"/>
                  <w:noWrap w:val="0"/>
                  <w:vAlign w:val="top"/>
                </w:tcPr>
                <w:p>
                  <w:pPr>
                    <w:pStyle w:val="49"/>
                    <w:spacing w:before="120" w:line="240" w:lineRule="auto"/>
                    <w:jc w:val="center"/>
                    <w:rPr>
                      <w:rFonts w:hint="default" w:ascii="Times New Roman" w:hAnsi="Times New Roman" w:cs="Times New Roman"/>
                      <w:color w:val="auto"/>
                      <w:sz w:val="21"/>
                      <w:szCs w:val="21"/>
                      <w:highlight w:val="none"/>
                      <w:u w:val="none"/>
                    </w:rPr>
                  </w:pPr>
                </w:p>
              </w:tc>
              <w:tc>
                <w:tcPr>
                  <w:tcW w:w="1316"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w:t>
                  </w:r>
                </w:p>
              </w:tc>
              <w:tc>
                <w:tcPr>
                  <w:tcW w:w="1203" w:type="dxa"/>
                  <w:shd w:val="solid" w:color="FFFFFF" w:fill="auto"/>
                  <w:noWrap w:val="0"/>
                  <w:vAlign w:val="top"/>
                </w:tcPr>
                <w:p>
                  <w:pPr>
                    <w:pStyle w:val="49"/>
                    <w:spacing w:before="120" w:line="240" w:lineRule="auto"/>
                    <w:ind w:left="0" w:leftChars="0" w:firstLine="0" w:firstLine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台</w:t>
                  </w:r>
                </w:p>
              </w:tc>
              <w:tc>
                <w:tcPr>
                  <w:tcW w:w="1209" w:type="dxa"/>
                  <w:shd w:val="solid" w:color="FFFFFF" w:fill="auto"/>
                  <w:noWrap w:val="0"/>
                  <w:vAlign w:val="top"/>
                </w:tcPr>
                <w:p>
                  <w:pPr>
                    <w:pStyle w:val="49"/>
                    <w:spacing w:before="120" w:line="240" w:lineRule="auto"/>
                    <w:ind w:left="0" w:leftChars="0" w:firstLine="0" w:firstLineChars="0"/>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产品场内运输</w:t>
                  </w:r>
                </w:p>
              </w:tc>
            </w:tr>
          </w:tbl>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jc w:val="left"/>
              <w:textAlignment w:val="auto"/>
              <w:rPr>
                <w:rFonts w:hint="eastAsia"/>
                <w:b w:val="0"/>
                <w:bCs/>
                <w:color w:val="auto"/>
                <w:sz w:val="24"/>
                <w:highlight w:val="none"/>
                <w:u w:val="single"/>
                <w:lang w:val="en-US" w:eastAsia="zh-CN"/>
              </w:rPr>
            </w:pPr>
            <w:r>
              <w:rPr>
                <w:rFonts w:hint="eastAsia"/>
                <w:b w:val="0"/>
                <w:bCs/>
                <w:color w:val="auto"/>
                <w:sz w:val="24"/>
                <w:highlight w:val="none"/>
                <w:u w:val="single"/>
                <w:lang w:val="en-US" w:eastAsia="zh-CN"/>
              </w:rPr>
              <w:t>根据《产业政策调整指导目录（2024年本）》和《限期淘汰产生严重污染环境的工业固体废物的落后生产工艺设备名录》（2022年）可知，本项目不涉及淘汰落后设备。</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jc w:val="left"/>
              <w:textAlignment w:val="auto"/>
              <w:rPr>
                <w:rFonts w:hint="default"/>
                <w:b w:val="0"/>
                <w:bCs/>
                <w:color w:val="auto"/>
                <w:sz w:val="24"/>
                <w:highlight w:val="none"/>
                <w:u w:val="none"/>
                <w:lang w:val="en-US" w:eastAsia="zh-CN"/>
              </w:rPr>
            </w:pPr>
            <w:r>
              <w:rPr>
                <w:rFonts w:hint="eastAsia"/>
                <w:b w:val="0"/>
                <w:bCs/>
                <w:color w:val="auto"/>
                <w:sz w:val="24"/>
                <w:highlight w:val="none"/>
                <w:u w:val="none"/>
                <w:lang w:val="en-US" w:eastAsia="zh-CN"/>
              </w:rPr>
              <w:t>本项目1台制粒机最大产能为6t/h，则本项目最大生产能力为2</w:t>
            </w:r>
            <w:r>
              <w:rPr>
                <w:rFonts w:hint="default" w:ascii="Times New Roman" w:hAnsi="Times New Roman" w:cs="Times New Roman"/>
                <w:b w:val="0"/>
                <w:bCs/>
                <w:color w:val="auto"/>
                <w:sz w:val="24"/>
                <w:highlight w:val="none"/>
                <w:u w:val="none"/>
                <w:lang w:val="en-US" w:eastAsia="zh-CN"/>
              </w:rPr>
              <w:t>×</w:t>
            </w:r>
            <w:r>
              <w:rPr>
                <w:rFonts w:hint="eastAsia"/>
                <w:b w:val="0"/>
                <w:bCs/>
                <w:color w:val="auto"/>
                <w:sz w:val="24"/>
                <w:highlight w:val="none"/>
                <w:u w:val="none"/>
                <w:lang w:val="en-US" w:eastAsia="zh-CN"/>
              </w:rPr>
              <w:t>6</w:t>
            </w:r>
            <w:r>
              <w:rPr>
                <w:rFonts w:hint="default" w:ascii="Times New Roman" w:hAnsi="Times New Roman" w:cs="Times New Roman"/>
                <w:b w:val="0"/>
                <w:bCs/>
                <w:color w:val="auto"/>
                <w:sz w:val="24"/>
                <w:highlight w:val="none"/>
                <w:u w:val="none"/>
                <w:lang w:val="en-US" w:eastAsia="zh-CN"/>
              </w:rPr>
              <w:t>×</w:t>
            </w:r>
            <w:r>
              <w:rPr>
                <w:rFonts w:hint="eastAsia"/>
                <w:b w:val="0"/>
                <w:bCs/>
                <w:color w:val="auto"/>
                <w:sz w:val="24"/>
                <w:highlight w:val="none"/>
                <w:u w:val="none"/>
                <w:lang w:val="en-US" w:eastAsia="zh-CN"/>
              </w:rPr>
              <w:t>3000=36000吨/年；</w:t>
            </w:r>
            <w:r>
              <w:rPr>
                <w:rFonts w:hint="eastAsia"/>
                <w:b w:val="0"/>
                <w:bCs/>
                <w:color w:val="auto"/>
                <w:sz w:val="24"/>
                <w:highlight w:val="none"/>
                <w:u w:val="none"/>
                <w:lang w:val="en-US" w:eastAsia="zh-CN"/>
              </w:rPr>
              <w:t>本项目</w:t>
            </w:r>
            <w:r>
              <w:rPr>
                <w:rFonts w:hint="eastAsia"/>
                <w:b w:val="0"/>
                <w:bCs/>
                <w:color w:val="auto"/>
                <w:sz w:val="24"/>
                <w:highlight w:val="none"/>
                <w:u w:val="none"/>
                <w:lang w:val="en-US" w:eastAsia="zh-CN"/>
              </w:rPr>
              <w:t>主要设备产能核算与设计产能相符。</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2" w:firstLineChars="200"/>
              <w:jc w:val="left"/>
              <w:textAlignment w:val="auto"/>
              <w:rPr>
                <w:bCs/>
                <w:color w:val="auto"/>
                <w:sz w:val="24"/>
                <w:highlight w:val="none"/>
              </w:rPr>
            </w:pPr>
            <w:r>
              <w:rPr>
                <w:rFonts w:hint="eastAsia"/>
                <w:b/>
                <w:color w:val="auto"/>
                <w:sz w:val="24"/>
                <w:highlight w:val="none"/>
                <w:lang w:val="en-US" w:eastAsia="zh-CN"/>
              </w:rPr>
              <w:t>3</w:t>
            </w:r>
            <w:r>
              <w:rPr>
                <w:rFonts w:hint="eastAsia"/>
                <w:b/>
                <w:color w:val="auto"/>
                <w:sz w:val="24"/>
                <w:highlight w:val="none"/>
              </w:rPr>
              <w:t>、</w:t>
            </w:r>
            <w:r>
              <w:rPr>
                <w:rFonts w:hint="eastAsia"/>
                <w:b/>
                <w:color w:val="auto"/>
                <w:sz w:val="24"/>
                <w:highlight w:val="none"/>
                <w:lang w:val="en-US" w:eastAsia="zh-CN"/>
              </w:rPr>
              <w:t>建设</w:t>
            </w:r>
            <w:r>
              <w:rPr>
                <w:rFonts w:hint="eastAsia"/>
                <w:b/>
                <w:color w:val="auto"/>
                <w:sz w:val="24"/>
                <w:highlight w:val="none"/>
              </w:rPr>
              <w:t>项目原辅材料及能源消耗</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jc w:val="left"/>
              <w:textAlignment w:val="auto"/>
              <w:rPr>
                <w:rFonts w:hint="default" w:ascii="Times New Roman" w:hAnsi="Times New Roman" w:eastAsia="宋体" w:cs="Times New Roman"/>
                <w:b w:val="0"/>
                <w:bCs/>
                <w:color w:val="auto"/>
                <w:sz w:val="24"/>
                <w:highlight w:val="none"/>
                <w:u w:val="single"/>
                <w:lang w:val="en-US" w:eastAsia="zh-CN"/>
              </w:rPr>
            </w:pPr>
            <w:r>
              <w:rPr>
                <w:rFonts w:hint="eastAsia" w:ascii="Times New Roman" w:hAnsi="Times New Roman" w:eastAsia="宋体" w:cs="Times New Roman"/>
                <w:b w:val="0"/>
                <w:bCs/>
                <w:color w:val="auto"/>
                <w:sz w:val="24"/>
                <w:highlight w:val="none"/>
                <w:u w:val="single"/>
                <w:lang w:val="en-US" w:eastAsia="zh-CN"/>
              </w:rPr>
              <w:t>业主介绍本项目主要收集当地区域</w:t>
            </w:r>
            <w:r>
              <w:rPr>
                <w:rFonts w:hint="eastAsia" w:cs="Times New Roman"/>
                <w:b w:val="0"/>
                <w:bCs/>
                <w:color w:val="auto"/>
                <w:sz w:val="24"/>
                <w:highlight w:val="none"/>
                <w:u w:val="single"/>
                <w:lang w:val="en-US" w:eastAsia="zh-CN"/>
              </w:rPr>
              <w:t>竹木业</w:t>
            </w:r>
            <w:r>
              <w:rPr>
                <w:rFonts w:hint="eastAsia" w:ascii="Times New Roman" w:hAnsi="Times New Roman" w:eastAsia="宋体" w:cs="Times New Roman"/>
                <w:b w:val="0"/>
                <w:bCs/>
                <w:color w:val="auto"/>
                <w:sz w:val="24"/>
                <w:highlight w:val="none"/>
                <w:u w:val="single"/>
                <w:lang w:val="en-US" w:eastAsia="zh-CN"/>
              </w:rPr>
              <w:t>加工</w:t>
            </w:r>
            <w:r>
              <w:rPr>
                <w:rFonts w:hint="eastAsia" w:cs="Times New Roman"/>
                <w:b w:val="0"/>
                <w:bCs/>
                <w:color w:val="auto"/>
                <w:sz w:val="24"/>
                <w:highlight w:val="none"/>
                <w:u w:val="single"/>
                <w:lang w:val="en-US" w:eastAsia="zh-CN"/>
              </w:rPr>
              <w:t>产生</w:t>
            </w:r>
            <w:r>
              <w:rPr>
                <w:rFonts w:hint="eastAsia" w:ascii="Times New Roman" w:hAnsi="Times New Roman" w:eastAsia="宋体" w:cs="Times New Roman"/>
                <w:b w:val="0"/>
                <w:bCs/>
                <w:color w:val="auto"/>
                <w:sz w:val="24"/>
                <w:highlight w:val="none"/>
                <w:u w:val="single"/>
                <w:lang w:val="en-US" w:eastAsia="zh-CN"/>
              </w:rPr>
              <w:t>的</w:t>
            </w:r>
            <w:r>
              <w:rPr>
                <w:rFonts w:hint="eastAsia" w:cs="Times New Roman"/>
                <w:b w:val="0"/>
                <w:bCs/>
                <w:color w:val="auto"/>
                <w:sz w:val="24"/>
                <w:highlight w:val="none"/>
                <w:u w:val="single"/>
                <w:lang w:val="en-US" w:eastAsia="zh-CN"/>
              </w:rPr>
              <w:t>废弃</w:t>
            </w:r>
            <w:r>
              <w:rPr>
                <w:rFonts w:hint="eastAsia" w:ascii="Times New Roman" w:hAnsi="Times New Roman" w:eastAsia="宋体" w:cs="Times New Roman"/>
                <w:b w:val="0"/>
                <w:bCs/>
                <w:color w:val="auto"/>
                <w:sz w:val="24"/>
                <w:highlight w:val="none"/>
                <w:u w:val="single"/>
                <w:lang w:val="en-US" w:eastAsia="zh-CN"/>
              </w:rPr>
              <w:t>竹屑</w:t>
            </w:r>
            <w:r>
              <w:rPr>
                <w:rFonts w:hint="eastAsia" w:ascii="Times New Roman" w:hAnsi="Times New Roman" w:eastAsia="宋体" w:cs="Times New Roman"/>
                <w:b w:val="0"/>
                <w:bCs/>
                <w:color w:val="auto"/>
                <w:sz w:val="24"/>
                <w:highlight w:val="none"/>
                <w:u w:val="single"/>
                <w:lang w:val="en-US" w:eastAsia="zh-CN"/>
              </w:rPr>
              <w:t>、木屑、木材边角料等进行生物质颗粒的制造，原料中不含泥沙等杂物，无需进行分选。</w:t>
            </w:r>
          </w:p>
          <w:p>
            <w:pPr>
              <w:adjustRightInd w:val="0"/>
              <w:snapToGrid w:val="0"/>
              <w:spacing w:line="360" w:lineRule="auto"/>
              <w:jc w:val="center"/>
              <w:rPr>
                <w:rFonts w:hint="eastAsia"/>
                <w:b/>
                <w:color w:val="auto"/>
                <w:sz w:val="24"/>
                <w:highlight w:val="none"/>
              </w:rPr>
            </w:pPr>
          </w:p>
          <w:p>
            <w:pPr>
              <w:adjustRightInd w:val="0"/>
              <w:snapToGrid w:val="0"/>
              <w:spacing w:line="360" w:lineRule="auto"/>
              <w:jc w:val="center"/>
              <w:rPr>
                <w:rFonts w:hint="eastAsia"/>
                <w:b/>
                <w:color w:val="auto"/>
                <w:sz w:val="24"/>
                <w:highlight w:val="none"/>
              </w:rPr>
            </w:pPr>
          </w:p>
          <w:p>
            <w:pPr>
              <w:adjustRightInd w:val="0"/>
              <w:snapToGrid w:val="0"/>
              <w:spacing w:line="360" w:lineRule="auto"/>
              <w:jc w:val="center"/>
              <w:rPr>
                <w:rFonts w:hint="eastAsia"/>
                <w:b/>
                <w:color w:val="auto"/>
                <w:sz w:val="24"/>
                <w:highlight w:val="none"/>
              </w:rPr>
            </w:pPr>
            <w:r>
              <w:rPr>
                <w:rFonts w:hint="eastAsia"/>
                <w:b/>
                <w:color w:val="auto"/>
                <w:sz w:val="24"/>
                <w:highlight w:val="none"/>
              </w:rPr>
              <w:t>表2-</w:t>
            </w:r>
            <w:r>
              <w:rPr>
                <w:rFonts w:hint="eastAsia"/>
                <w:b/>
                <w:color w:val="auto"/>
                <w:sz w:val="24"/>
                <w:highlight w:val="none"/>
                <w:lang w:val="en-US" w:eastAsia="zh-CN"/>
              </w:rPr>
              <w:t>3</w:t>
            </w:r>
            <w:r>
              <w:rPr>
                <w:rFonts w:hint="eastAsia"/>
                <w:b/>
                <w:color w:val="auto"/>
                <w:sz w:val="24"/>
                <w:highlight w:val="none"/>
              </w:rPr>
              <w:t xml:space="preserve">  </w:t>
            </w:r>
            <w:r>
              <w:rPr>
                <w:rFonts w:hint="eastAsia"/>
                <w:b/>
                <w:color w:val="auto"/>
                <w:sz w:val="24"/>
                <w:highlight w:val="none"/>
                <w:lang w:val="en-US" w:eastAsia="zh-CN"/>
              </w:rPr>
              <w:t>建设项目</w:t>
            </w:r>
            <w:r>
              <w:rPr>
                <w:rFonts w:hint="eastAsia"/>
                <w:b/>
                <w:color w:val="auto"/>
                <w:sz w:val="24"/>
                <w:highlight w:val="none"/>
              </w:rPr>
              <w:t>主要原辅材料及能源消耗用量一览表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097"/>
              <w:gridCol w:w="911"/>
              <w:gridCol w:w="989"/>
              <w:gridCol w:w="1155"/>
              <w:gridCol w:w="3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9" w:type="pct"/>
                  <w:noWrap w:val="0"/>
                  <w:vAlign w:val="center"/>
                </w:tcPr>
                <w:p>
                  <w:pPr>
                    <w:adjustRightInd w:val="0"/>
                    <w:snapToGrid w:val="0"/>
                    <w:spacing w:before="48" w:beforeLines="20" w:line="288" w:lineRule="auto"/>
                    <w:jc w:val="center"/>
                    <w:rPr>
                      <w:b/>
                      <w:color w:val="auto"/>
                      <w:szCs w:val="21"/>
                      <w:highlight w:val="none"/>
                      <w:u w:val="none"/>
                    </w:rPr>
                  </w:pPr>
                  <w:r>
                    <w:rPr>
                      <w:rFonts w:hint="eastAsia"/>
                      <w:b/>
                      <w:color w:val="auto"/>
                      <w:szCs w:val="21"/>
                      <w:highlight w:val="none"/>
                      <w:u w:val="none"/>
                    </w:rPr>
                    <w:t>序号</w:t>
                  </w:r>
                </w:p>
              </w:tc>
              <w:tc>
                <w:tcPr>
                  <w:tcW w:w="688" w:type="pct"/>
                  <w:noWrap w:val="0"/>
                  <w:vAlign w:val="center"/>
                </w:tcPr>
                <w:p>
                  <w:pPr>
                    <w:adjustRightInd w:val="0"/>
                    <w:snapToGrid w:val="0"/>
                    <w:spacing w:before="48" w:beforeLines="20" w:line="288" w:lineRule="auto"/>
                    <w:jc w:val="center"/>
                    <w:rPr>
                      <w:b/>
                      <w:color w:val="auto"/>
                      <w:szCs w:val="21"/>
                      <w:highlight w:val="none"/>
                      <w:u w:val="none"/>
                    </w:rPr>
                  </w:pPr>
                  <w:r>
                    <w:rPr>
                      <w:rFonts w:hint="eastAsia"/>
                      <w:b/>
                      <w:color w:val="auto"/>
                      <w:szCs w:val="21"/>
                      <w:highlight w:val="none"/>
                      <w:u w:val="none"/>
                    </w:rPr>
                    <w:t>名称</w:t>
                  </w:r>
                </w:p>
              </w:tc>
              <w:tc>
                <w:tcPr>
                  <w:tcW w:w="571" w:type="pct"/>
                  <w:noWrap w:val="0"/>
                  <w:vAlign w:val="center"/>
                </w:tcPr>
                <w:p>
                  <w:pPr>
                    <w:adjustRightInd w:val="0"/>
                    <w:snapToGrid w:val="0"/>
                    <w:spacing w:before="48" w:beforeLines="20" w:line="288" w:lineRule="auto"/>
                    <w:jc w:val="center"/>
                    <w:rPr>
                      <w:rFonts w:hint="eastAsia" w:eastAsia="宋体"/>
                      <w:b/>
                      <w:color w:val="auto"/>
                      <w:szCs w:val="21"/>
                      <w:highlight w:val="none"/>
                      <w:u w:val="none"/>
                      <w:lang w:val="en-US" w:eastAsia="zh-CN"/>
                    </w:rPr>
                  </w:pPr>
                  <w:r>
                    <w:rPr>
                      <w:rFonts w:hint="eastAsia"/>
                      <w:b/>
                      <w:color w:val="auto"/>
                      <w:szCs w:val="21"/>
                      <w:highlight w:val="none"/>
                      <w:u w:val="none"/>
                      <w:lang w:val="en-US" w:eastAsia="zh-CN"/>
                    </w:rPr>
                    <w:t>单位</w:t>
                  </w:r>
                </w:p>
              </w:tc>
              <w:tc>
                <w:tcPr>
                  <w:tcW w:w="620" w:type="pct"/>
                  <w:noWrap w:val="0"/>
                  <w:vAlign w:val="center"/>
                </w:tcPr>
                <w:p>
                  <w:pPr>
                    <w:adjustRightInd w:val="0"/>
                    <w:snapToGrid w:val="0"/>
                    <w:spacing w:before="48" w:beforeLines="20" w:line="288" w:lineRule="auto"/>
                    <w:jc w:val="center"/>
                    <w:rPr>
                      <w:b/>
                      <w:color w:val="auto"/>
                      <w:szCs w:val="21"/>
                      <w:highlight w:val="none"/>
                      <w:u w:val="none"/>
                    </w:rPr>
                  </w:pPr>
                  <w:r>
                    <w:rPr>
                      <w:rFonts w:hint="eastAsia"/>
                      <w:b/>
                      <w:color w:val="auto"/>
                      <w:szCs w:val="21"/>
                      <w:highlight w:val="none"/>
                      <w:u w:val="none"/>
                    </w:rPr>
                    <w:t>年</w:t>
                  </w:r>
                  <w:r>
                    <w:rPr>
                      <w:rFonts w:hint="eastAsia"/>
                      <w:b/>
                      <w:color w:val="auto"/>
                      <w:szCs w:val="21"/>
                      <w:highlight w:val="none"/>
                      <w:u w:val="none"/>
                      <w:lang w:val="en-US" w:eastAsia="zh-CN"/>
                    </w:rPr>
                    <w:t>消</w:t>
                  </w:r>
                  <w:r>
                    <w:rPr>
                      <w:rFonts w:hint="eastAsia"/>
                      <w:b/>
                      <w:color w:val="auto"/>
                      <w:szCs w:val="21"/>
                      <w:highlight w:val="none"/>
                      <w:u w:val="none"/>
                    </w:rPr>
                    <w:t>耗量</w:t>
                  </w:r>
                </w:p>
              </w:tc>
              <w:tc>
                <w:tcPr>
                  <w:tcW w:w="724" w:type="pct"/>
                  <w:noWrap w:val="0"/>
                  <w:vAlign w:val="center"/>
                </w:tcPr>
                <w:p>
                  <w:pPr>
                    <w:adjustRightInd w:val="0"/>
                    <w:snapToGrid w:val="0"/>
                    <w:spacing w:before="48" w:beforeLines="20" w:line="288" w:lineRule="auto"/>
                    <w:jc w:val="center"/>
                    <w:rPr>
                      <w:rFonts w:hint="default" w:eastAsia="宋体"/>
                      <w:b/>
                      <w:color w:val="auto"/>
                      <w:szCs w:val="21"/>
                      <w:highlight w:val="none"/>
                      <w:u w:val="none"/>
                      <w:lang w:val="en-US" w:eastAsia="zh-CN"/>
                    </w:rPr>
                  </w:pPr>
                  <w:r>
                    <w:rPr>
                      <w:rFonts w:hint="eastAsia"/>
                      <w:b/>
                      <w:color w:val="auto"/>
                      <w:szCs w:val="21"/>
                      <w:highlight w:val="none"/>
                      <w:u w:val="none"/>
                      <w:lang w:val="en-US" w:eastAsia="zh-CN"/>
                    </w:rPr>
                    <w:t>最大储存量</w:t>
                  </w:r>
                </w:p>
              </w:tc>
              <w:tc>
                <w:tcPr>
                  <w:tcW w:w="2116" w:type="pct"/>
                  <w:noWrap w:val="0"/>
                  <w:vAlign w:val="center"/>
                </w:tcPr>
                <w:p>
                  <w:pPr>
                    <w:adjustRightInd w:val="0"/>
                    <w:snapToGrid w:val="0"/>
                    <w:spacing w:before="48" w:beforeLines="20" w:line="288" w:lineRule="auto"/>
                    <w:jc w:val="center"/>
                    <w:rPr>
                      <w:rFonts w:hint="default"/>
                      <w:b/>
                      <w:color w:val="auto"/>
                      <w:szCs w:val="21"/>
                      <w:highlight w:val="none"/>
                      <w:u w:val="none"/>
                      <w:lang w:val="en-US" w:eastAsia="zh-CN"/>
                    </w:rPr>
                  </w:pPr>
                  <w:r>
                    <w:rPr>
                      <w:rFonts w:hint="eastAsia"/>
                      <w:b/>
                      <w:color w:val="auto"/>
                      <w:szCs w:val="21"/>
                      <w:highlight w:val="none"/>
                      <w:u w:val="none"/>
                      <w:lang w:val="en-US" w:eastAsia="zh-CN"/>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9" w:type="pct"/>
                  <w:noWrap w:val="0"/>
                  <w:vAlign w:val="center"/>
                </w:tcPr>
                <w:p>
                  <w:pPr>
                    <w:adjustRightInd w:val="0"/>
                    <w:snapToGrid w:val="0"/>
                    <w:spacing w:before="48" w:beforeLines="20" w:line="288" w:lineRule="auto"/>
                    <w:jc w:val="center"/>
                    <w:rPr>
                      <w:rFonts w:hint="eastAsia" w:eastAsia="宋体"/>
                      <w:bCs/>
                      <w:color w:val="auto"/>
                      <w:szCs w:val="21"/>
                      <w:highlight w:val="none"/>
                      <w:u w:val="single"/>
                      <w:lang w:eastAsia="zh-CN"/>
                    </w:rPr>
                  </w:pPr>
                  <w:r>
                    <w:rPr>
                      <w:rFonts w:hint="eastAsia"/>
                      <w:bCs/>
                      <w:color w:val="auto"/>
                      <w:szCs w:val="21"/>
                      <w:highlight w:val="none"/>
                      <w:u w:val="single"/>
                      <w:lang w:val="en-US" w:eastAsia="zh-CN"/>
                    </w:rPr>
                    <w:t>1</w:t>
                  </w:r>
                </w:p>
              </w:tc>
              <w:tc>
                <w:tcPr>
                  <w:tcW w:w="688" w:type="pct"/>
                  <w:noWrap w:val="0"/>
                  <w:vAlign w:val="center"/>
                </w:tcPr>
                <w:p>
                  <w:pPr>
                    <w:adjustRightInd w:val="0"/>
                    <w:snapToGrid w:val="0"/>
                    <w:spacing w:before="48" w:beforeLines="20" w:line="288" w:lineRule="auto"/>
                    <w:jc w:val="center"/>
                    <w:rPr>
                      <w:rFonts w:hint="default" w:eastAsia="宋体"/>
                      <w:bCs/>
                      <w:color w:val="auto"/>
                      <w:szCs w:val="21"/>
                      <w:highlight w:val="none"/>
                      <w:u w:val="single"/>
                      <w:lang w:val="en-US" w:eastAsia="zh-CN"/>
                    </w:rPr>
                  </w:pPr>
                  <w:r>
                    <w:rPr>
                      <w:rFonts w:hint="eastAsia"/>
                      <w:bCs/>
                      <w:color w:val="auto"/>
                      <w:szCs w:val="21"/>
                      <w:highlight w:val="none"/>
                      <w:u w:val="single"/>
                      <w:lang w:val="en-US" w:eastAsia="zh-CN"/>
                    </w:rPr>
                    <w:t>废竹屑、木屑、木材边角料</w:t>
                  </w:r>
                </w:p>
              </w:tc>
              <w:tc>
                <w:tcPr>
                  <w:tcW w:w="571" w:type="pct"/>
                  <w:noWrap w:val="0"/>
                  <w:vAlign w:val="center"/>
                </w:tcPr>
                <w:p>
                  <w:pPr>
                    <w:adjustRightInd w:val="0"/>
                    <w:snapToGrid w:val="0"/>
                    <w:spacing w:before="48" w:beforeLines="20" w:line="288" w:lineRule="auto"/>
                    <w:jc w:val="center"/>
                    <w:rPr>
                      <w:bCs/>
                      <w:color w:val="auto"/>
                      <w:szCs w:val="21"/>
                      <w:highlight w:val="none"/>
                      <w:u w:val="single"/>
                    </w:rPr>
                  </w:pPr>
                  <w:r>
                    <w:rPr>
                      <w:rFonts w:hint="eastAsia"/>
                      <w:b w:val="0"/>
                      <w:bCs/>
                      <w:color w:val="auto"/>
                      <w:szCs w:val="21"/>
                      <w:highlight w:val="none"/>
                      <w:u w:val="single"/>
                    </w:rPr>
                    <w:t>t/a</w:t>
                  </w:r>
                </w:p>
              </w:tc>
              <w:tc>
                <w:tcPr>
                  <w:tcW w:w="620" w:type="pct"/>
                  <w:noWrap w:val="0"/>
                  <w:vAlign w:val="center"/>
                </w:tcPr>
                <w:p>
                  <w:pPr>
                    <w:adjustRightInd w:val="0"/>
                    <w:snapToGrid w:val="0"/>
                    <w:spacing w:before="48" w:beforeLines="20" w:line="288" w:lineRule="auto"/>
                    <w:jc w:val="center"/>
                    <w:rPr>
                      <w:rFonts w:hint="default" w:eastAsia="宋体"/>
                      <w:bCs/>
                      <w:color w:val="auto"/>
                      <w:szCs w:val="21"/>
                      <w:highlight w:val="none"/>
                      <w:u w:val="single"/>
                      <w:lang w:val="en-US" w:eastAsia="zh-CN"/>
                    </w:rPr>
                  </w:pPr>
                  <w:r>
                    <w:rPr>
                      <w:rFonts w:hint="eastAsia"/>
                      <w:bCs/>
                      <w:color w:val="auto"/>
                      <w:szCs w:val="21"/>
                      <w:highlight w:val="none"/>
                      <w:u w:val="single"/>
                      <w:lang w:val="en-US" w:eastAsia="zh-CN"/>
                    </w:rPr>
                    <w:t>35000</w:t>
                  </w:r>
                </w:p>
              </w:tc>
              <w:tc>
                <w:tcPr>
                  <w:tcW w:w="724" w:type="pct"/>
                  <w:noWrap w:val="0"/>
                  <w:vAlign w:val="center"/>
                </w:tcPr>
                <w:p>
                  <w:pPr>
                    <w:adjustRightInd w:val="0"/>
                    <w:snapToGrid w:val="0"/>
                    <w:spacing w:before="48" w:beforeLines="20" w:line="288" w:lineRule="auto"/>
                    <w:jc w:val="center"/>
                    <w:rPr>
                      <w:rFonts w:hint="default" w:eastAsia="宋体"/>
                      <w:bCs/>
                      <w:color w:val="auto"/>
                      <w:szCs w:val="21"/>
                      <w:highlight w:val="none"/>
                      <w:u w:val="single"/>
                      <w:lang w:val="en-US" w:eastAsia="zh-CN"/>
                    </w:rPr>
                  </w:pPr>
                  <w:r>
                    <w:rPr>
                      <w:rFonts w:hint="eastAsia"/>
                      <w:bCs/>
                      <w:color w:val="auto"/>
                      <w:szCs w:val="21"/>
                      <w:highlight w:val="none"/>
                      <w:u w:val="single"/>
                      <w:lang w:val="en-US" w:eastAsia="zh-CN"/>
                    </w:rPr>
                    <w:t>500</w:t>
                  </w:r>
                </w:p>
              </w:tc>
              <w:tc>
                <w:tcPr>
                  <w:tcW w:w="2116" w:type="pct"/>
                  <w:noWrap w:val="0"/>
                  <w:vAlign w:val="center"/>
                </w:tcPr>
                <w:p>
                  <w:pPr>
                    <w:adjustRightInd w:val="0"/>
                    <w:snapToGrid w:val="0"/>
                    <w:spacing w:before="48" w:beforeLines="20" w:line="288" w:lineRule="auto"/>
                    <w:jc w:val="center"/>
                    <w:rPr>
                      <w:rFonts w:hint="default"/>
                      <w:bCs/>
                      <w:color w:val="auto"/>
                      <w:szCs w:val="21"/>
                      <w:highlight w:val="none"/>
                      <w:u w:val="single"/>
                      <w:lang w:val="en-US" w:eastAsia="zh-CN"/>
                    </w:rPr>
                  </w:pPr>
                  <w:r>
                    <w:rPr>
                      <w:rFonts w:hint="eastAsia"/>
                      <w:bCs/>
                      <w:color w:val="auto"/>
                      <w:szCs w:val="21"/>
                      <w:highlight w:val="none"/>
                      <w:u w:val="single"/>
                      <w:lang w:val="en-US" w:eastAsia="zh-CN"/>
                    </w:rPr>
                    <w:t>周边区域竹木业加工产生的废弃竹、木屑（粒径小于15mm），木材边角料，含水率约30%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bCs/>
                      <w:color w:val="auto"/>
                      <w:szCs w:val="21"/>
                      <w:highlight w:val="none"/>
                      <w:u w:val="none"/>
                      <w:lang w:val="en-US" w:eastAsia="zh-CN"/>
                    </w:rPr>
                    <w:t>2</w:t>
                  </w:r>
                </w:p>
              </w:tc>
              <w:tc>
                <w:tcPr>
                  <w:tcW w:w="688"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bCs/>
                      <w:color w:val="auto"/>
                      <w:szCs w:val="21"/>
                      <w:highlight w:val="none"/>
                      <w:u w:val="none"/>
                      <w:lang w:val="en-US" w:eastAsia="zh-CN"/>
                    </w:rPr>
                    <w:t>成型生物质颗粒</w:t>
                  </w:r>
                </w:p>
              </w:tc>
              <w:tc>
                <w:tcPr>
                  <w:tcW w:w="571" w:type="pct"/>
                  <w:noWrap w:val="0"/>
                  <w:vAlign w:val="center"/>
                </w:tcPr>
                <w:p>
                  <w:pPr>
                    <w:adjustRightInd w:val="0"/>
                    <w:snapToGrid w:val="0"/>
                    <w:spacing w:before="48" w:beforeLines="20" w:line="288" w:lineRule="auto"/>
                    <w:jc w:val="center"/>
                    <w:rPr>
                      <w:rFonts w:hint="eastAsia"/>
                      <w:bCs/>
                      <w:color w:val="auto"/>
                      <w:szCs w:val="21"/>
                      <w:highlight w:val="none"/>
                      <w:u w:val="none"/>
                    </w:rPr>
                  </w:pPr>
                  <w:r>
                    <w:rPr>
                      <w:rFonts w:hint="eastAsia"/>
                      <w:b w:val="0"/>
                      <w:bCs/>
                      <w:color w:val="auto"/>
                      <w:szCs w:val="21"/>
                      <w:highlight w:val="none"/>
                      <w:u w:val="none"/>
                    </w:rPr>
                    <w:t>t/a</w:t>
                  </w:r>
                </w:p>
              </w:tc>
              <w:tc>
                <w:tcPr>
                  <w:tcW w:w="620"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bCs/>
                      <w:color w:val="auto"/>
                      <w:szCs w:val="21"/>
                      <w:highlight w:val="none"/>
                      <w:u w:val="none"/>
                      <w:lang w:val="en-US" w:eastAsia="zh-CN"/>
                    </w:rPr>
                    <w:t>300</w:t>
                  </w:r>
                </w:p>
              </w:tc>
              <w:tc>
                <w:tcPr>
                  <w:tcW w:w="724" w:type="pct"/>
                  <w:noWrap w:val="0"/>
                  <w:vAlign w:val="center"/>
                </w:tcPr>
                <w:p>
                  <w:pPr>
                    <w:adjustRightInd w:val="0"/>
                    <w:snapToGrid w:val="0"/>
                    <w:spacing w:before="48" w:beforeLines="20" w:line="288" w:lineRule="auto"/>
                    <w:jc w:val="center"/>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100</w:t>
                  </w:r>
                </w:p>
              </w:tc>
              <w:tc>
                <w:tcPr>
                  <w:tcW w:w="2116" w:type="pct"/>
                  <w:noWrap w:val="0"/>
                  <w:vAlign w:val="center"/>
                </w:tcPr>
                <w:p>
                  <w:pPr>
                    <w:adjustRightInd w:val="0"/>
                    <w:snapToGrid w:val="0"/>
                    <w:spacing w:before="48" w:beforeLines="20" w:line="288" w:lineRule="auto"/>
                    <w:jc w:val="center"/>
                    <w:rPr>
                      <w:rFonts w:hint="eastAsia"/>
                      <w:bCs/>
                      <w:color w:val="auto"/>
                      <w:szCs w:val="21"/>
                      <w:highlight w:val="none"/>
                      <w:u w:val="none"/>
                      <w:lang w:val="en-US" w:eastAsia="zh-CN"/>
                    </w:rPr>
                  </w:pPr>
                  <w:r>
                    <w:rPr>
                      <w:rFonts w:hint="eastAsia"/>
                      <w:bCs/>
                      <w:color w:val="auto"/>
                      <w:szCs w:val="21"/>
                      <w:highlight w:val="none"/>
                      <w:u w:val="none"/>
                      <w:lang w:val="en-US" w:eastAsia="zh-CN"/>
                    </w:rPr>
                    <w:t>为项目生产的产品，作为项目热风炉燃料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bCs/>
                      <w:color w:val="auto"/>
                      <w:szCs w:val="21"/>
                      <w:highlight w:val="none"/>
                      <w:u w:val="none"/>
                      <w:lang w:val="en-US" w:eastAsia="zh-CN"/>
                    </w:rPr>
                    <w:t>3</w:t>
                  </w:r>
                </w:p>
              </w:tc>
              <w:tc>
                <w:tcPr>
                  <w:tcW w:w="688"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bCs/>
                      <w:color w:val="auto"/>
                      <w:szCs w:val="21"/>
                      <w:highlight w:val="none"/>
                      <w:u w:val="none"/>
                      <w:lang w:val="en-US" w:eastAsia="zh-CN"/>
                    </w:rPr>
                    <w:t>润滑油</w:t>
                  </w:r>
                </w:p>
              </w:tc>
              <w:tc>
                <w:tcPr>
                  <w:tcW w:w="571" w:type="pct"/>
                  <w:noWrap w:val="0"/>
                  <w:vAlign w:val="center"/>
                </w:tcPr>
                <w:p>
                  <w:pPr>
                    <w:adjustRightInd w:val="0"/>
                    <w:snapToGrid w:val="0"/>
                    <w:spacing w:before="48" w:beforeLines="20" w:line="288" w:lineRule="auto"/>
                    <w:jc w:val="center"/>
                    <w:rPr>
                      <w:rFonts w:hint="eastAsia"/>
                      <w:b w:val="0"/>
                      <w:bCs/>
                      <w:color w:val="auto"/>
                      <w:szCs w:val="21"/>
                      <w:highlight w:val="none"/>
                      <w:u w:val="none"/>
                    </w:rPr>
                  </w:pPr>
                  <w:r>
                    <w:rPr>
                      <w:rFonts w:hint="eastAsia"/>
                      <w:b w:val="0"/>
                      <w:bCs/>
                      <w:color w:val="auto"/>
                      <w:szCs w:val="21"/>
                      <w:highlight w:val="none"/>
                      <w:u w:val="none"/>
                    </w:rPr>
                    <w:t>t/a</w:t>
                  </w:r>
                </w:p>
              </w:tc>
              <w:tc>
                <w:tcPr>
                  <w:tcW w:w="620"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bCs/>
                      <w:color w:val="auto"/>
                      <w:szCs w:val="21"/>
                      <w:highlight w:val="none"/>
                      <w:u w:val="none"/>
                      <w:lang w:val="en-US" w:eastAsia="zh-CN"/>
                    </w:rPr>
                    <w:t>0.05</w:t>
                  </w:r>
                </w:p>
              </w:tc>
              <w:tc>
                <w:tcPr>
                  <w:tcW w:w="724"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bCs/>
                      <w:color w:val="auto"/>
                      <w:szCs w:val="21"/>
                      <w:highlight w:val="none"/>
                      <w:u w:val="none"/>
                      <w:lang w:val="en-US" w:eastAsia="zh-CN"/>
                    </w:rPr>
                    <w:t>0.05</w:t>
                  </w:r>
                </w:p>
              </w:tc>
              <w:tc>
                <w:tcPr>
                  <w:tcW w:w="2116" w:type="pct"/>
                  <w:noWrap w:val="0"/>
                  <w:vAlign w:val="center"/>
                </w:tcPr>
                <w:p>
                  <w:pPr>
                    <w:adjustRightInd w:val="0"/>
                    <w:snapToGrid w:val="0"/>
                    <w:spacing w:before="48" w:beforeLines="20" w:line="288" w:lineRule="auto"/>
                    <w:jc w:val="center"/>
                    <w:rPr>
                      <w:rFonts w:hint="default"/>
                      <w:bCs/>
                      <w:color w:val="auto"/>
                      <w:szCs w:val="21"/>
                      <w:highlight w:val="none"/>
                      <w:u w:val="none"/>
                      <w:lang w:val="en-US" w:eastAsia="zh-CN"/>
                    </w:rPr>
                  </w:pPr>
                  <w:r>
                    <w:rPr>
                      <w:rFonts w:hint="eastAsia" w:ascii="Times New Roman" w:hAnsi="Times New Roman" w:eastAsia="宋体" w:cs="Times New Roman"/>
                      <w:color w:val="auto"/>
                      <w:sz w:val="21"/>
                      <w:szCs w:val="21"/>
                      <w:highlight w:val="none"/>
                      <w:lang w:val="en-US" w:eastAsia="zh-CN"/>
                    </w:rPr>
                    <w:t>设备维修维护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9" w:type="pct"/>
                  <w:noWrap w:val="0"/>
                  <w:vAlign w:val="center"/>
                </w:tcPr>
                <w:p>
                  <w:pPr>
                    <w:adjustRightInd w:val="0"/>
                    <w:snapToGrid w:val="0"/>
                    <w:spacing w:before="48" w:beforeLines="20" w:line="288" w:lineRule="auto"/>
                    <w:jc w:val="center"/>
                    <w:rPr>
                      <w:rFonts w:hint="eastAsia" w:eastAsia="宋体"/>
                      <w:bCs/>
                      <w:color w:val="auto"/>
                      <w:szCs w:val="21"/>
                      <w:highlight w:val="none"/>
                      <w:u w:val="none"/>
                      <w:lang w:eastAsia="zh-CN"/>
                    </w:rPr>
                  </w:pPr>
                  <w:r>
                    <w:rPr>
                      <w:rFonts w:hint="eastAsia"/>
                      <w:bCs/>
                      <w:color w:val="auto"/>
                      <w:szCs w:val="21"/>
                      <w:highlight w:val="none"/>
                      <w:u w:val="none"/>
                      <w:lang w:val="en-US" w:eastAsia="zh-CN"/>
                    </w:rPr>
                    <w:t>4</w:t>
                  </w:r>
                </w:p>
              </w:tc>
              <w:tc>
                <w:tcPr>
                  <w:tcW w:w="688" w:type="pct"/>
                  <w:noWrap w:val="0"/>
                  <w:vAlign w:val="center"/>
                </w:tcPr>
                <w:p>
                  <w:pPr>
                    <w:adjustRightInd w:val="0"/>
                    <w:snapToGrid w:val="0"/>
                    <w:spacing w:before="48" w:beforeLines="20" w:line="288" w:lineRule="auto"/>
                    <w:jc w:val="center"/>
                    <w:rPr>
                      <w:bCs/>
                      <w:color w:val="auto"/>
                      <w:szCs w:val="21"/>
                      <w:highlight w:val="none"/>
                      <w:u w:val="none"/>
                    </w:rPr>
                  </w:pPr>
                  <w:r>
                    <w:rPr>
                      <w:rFonts w:hint="eastAsia"/>
                      <w:bCs/>
                      <w:color w:val="auto"/>
                      <w:szCs w:val="21"/>
                      <w:highlight w:val="none"/>
                      <w:u w:val="none"/>
                    </w:rPr>
                    <w:t>电</w:t>
                  </w:r>
                </w:p>
              </w:tc>
              <w:tc>
                <w:tcPr>
                  <w:tcW w:w="571" w:type="pct"/>
                  <w:noWrap w:val="0"/>
                  <w:vAlign w:val="center"/>
                </w:tcPr>
                <w:p>
                  <w:pPr>
                    <w:adjustRightInd w:val="0"/>
                    <w:snapToGrid w:val="0"/>
                    <w:spacing w:before="48" w:beforeLines="20" w:line="288" w:lineRule="auto"/>
                    <w:jc w:val="center"/>
                    <w:rPr>
                      <w:bCs/>
                      <w:color w:val="auto"/>
                      <w:szCs w:val="21"/>
                      <w:highlight w:val="none"/>
                      <w:u w:val="none"/>
                    </w:rPr>
                  </w:pPr>
                  <w:r>
                    <w:rPr>
                      <w:rFonts w:hint="eastAsia"/>
                      <w:bCs/>
                      <w:color w:val="auto"/>
                      <w:szCs w:val="21"/>
                      <w:highlight w:val="none"/>
                      <w:u w:val="none"/>
                    </w:rPr>
                    <w:t>万KWh/a</w:t>
                  </w:r>
                </w:p>
              </w:tc>
              <w:tc>
                <w:tcPr>
                  <w:tcW w:w="620" w:type="pct"/>
                  <w:noWrap w:val="0"/>
                  <w:vAlign w:val="center"/>
                </w:tcPr>
                <w:p>
                  <w:pPr>
                    <w:adjustRightInd w:val="0"/>
                    <w:snapToGrid w:val="0"/>
                    <w:spacing w:before="48" w:beforeLines="20" w:line="288" w:lineRule="auto"/>
                    <w:jc w:val="center"/>
                    <w:rPr>
                      <w:rFonts w:hint="default" w:eastAsia="宋体"/>
                      <w:bCs/>
                      <w:color w:val="auto"/>
                      <w:szCs w:val="21"/>
                      <w:highlight w:val="none"/>
                      <w:u w:val="none"/>
                      <w:lang w:val="en-US" w:eastAsia="zh-CN"/>
                    </w:rPr>
                  </w:pPr>
                  <w:r>
                    <w:rPr>
                      <w:rFonts w:hint="eastAsia" w:eastAsia="宋体"/>
                      <w:bCs/>
                      <w:color w:val="auto"/>
                      <w:szCs w:val="21"/>
                      <w:highlight w:val="none"/>
                      <w:u w:val="none"/>
                      <w:lang w:val="en-US" w:eastAsia="zh-CN"/>
                    </w:rPr>
                    <w:t>5</w:t>
                  </w:r>
                </w:p>
              </w:tc>
              <w:tc>
                <w:tcPr>
                  <w:tcW w:w="724" w:type="pct"/>
                  <w:noWrap w:val="0"/>
                  <w:vAlign w:val="center"/>
                </w:tcPr>
                <w:p>
                  <w:pPr>
                    <w:adjustRightInd w:val="0"/>
                    <w:snapToGrid w:val="0"/>
                    <w:spacing w:before="48" w:beforeLines="20" w:line="288" w:lineRule="auto"/>
                    <w:jc w:val="center"/>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w:t>
                  </w:r>
                </w:p>
              </w:tc>
              <w:tc>
                <w:tcPr>
                  <w:tcW w:w="2116" w:type="pct"/>
                  <w:noWrap w:val="0"/>
                  <w:vAlign w:val="center"/>
                </w:tcPr>
                <w:p>
                  <w:pPr>
                    <w:adjustRightInd w:val="0"/>
                    <w:snapToGrid w:val="0"/>
                    <w:spacing w:before="48" w:beforeLines="20" w:line="288" w:lineRule="auto"/>
                    <w:jc w:val="center"/>
                    <w:rPr>
                      <w:rFonts w:hint="eastAsia" w:eastAsia="宋体"/>
                      <w:bCs/>
                      <w:color w:val="auto"/>
                      <w:szCs w:val="21"/>
                      <w:highlight w:val="none"/>
                      <w:u w:val="none"/>
                      <w:lang w:val="en-US" w:eastAsia="zh-CN"/>
                    </w:rPr>
                  </w:pPr>
                  <w:r>
                    <w:rPr>
                      <w:rFonts w:hint="eastAsia"/>
                      <w:bCs/>
                      <w:color w:val="auto"/>
                      <w:szCs w:val="21"/>
                      <w:highlight w:val="none"/>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noWrap w:val="0"/>
                  <w:vAlign w:val="center"/>
                </w:tcPr>
                <w:p>
                  <w:pPr>
                    <w:adjustRightInd w:val="0"/>
                    <w:snapToGrid w:val="0"/>
                    <w:spacing w:before="48" w:beforeLines="20" w:line="288" w:lineRule="auto"/>
                    <w:jc w:val="left"/>
                    <w:rPr>
                      <w:rFonts w:hint="default"/>
                      <w:bCs/>
                      <w:color w:val="auto"/>
                      <w:szCs w:val="21"/>
                      <w:highlight w:val="none"/>
                      <w:u w:val="none"/>
                      <w:lang w:val="en-US" w:eastAsia="zh-CN"/>
                    </w:rPr>
                  </w:pPr>
                  <w:r>
                    <w:rPr>
                      <w:rFonts w:hint="eastAsia"/>
                      <w:bCs/>
                      <w:color w:val="auto"/>
                      <w:szCs w:val="21"/>
                      <w:highlight w:val="none"/>
                      <w:u w:val="none"/>
                      <w:lang w:val="en-US" w:eastAsia="zh-CN"/>
                    </w:rPr>
                    <w:t>注1：本项目原料禁止来源于家装及拆迁废料，不得含油漆、胶水等有毒有害物质。注2：根据建设单位提供资料，项目建设规模年产生物质颗粒30000t，根据生产经验需要使用废竹屑、木屑约35000吨/年，因淋雨、原料的干湿程度等各种因素存在着约30%左右的水分，在烘干工序时会使其蒸发，从而降低产品含水量。</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20" w:leftChars="200"/>
              <w:jc w:val="left"/>
              <w:textAlignment w:val="auto"/>
              <w:rPr>
                <w:rFonts w:hint="eastAsia"/>
                <w:b/>
                <w:color w:val="auto"/>
                <w:sz w:val="24"/>
                <w:highlight w:val="none"/>
              </w:rPr>
            </w:pPr>
            <w:r>
              <w:rPr>
                <w:rFonts w:hint="eastAsia"/>
                <w:b/>
                <w:color w:val="auto"/>
                <w:sz w:val="24"/>
                <w:highlight w:val="none"/>
                <w:lang w:val="en-US" w:eastAsia="zh-CN"/>
              </w:rPr>
              <w:t>4</w:t>
            </w:r>
            <w:r>
              <w:rPr>
                <w:rFonts w:hint="eastAsia"/>
                <w:b/>
                <w:color w:val="auto"/>
                <w:sz w:val="24"/>
                <w:highlight w:val="none"/>
              </w:rPr>
              <w:t>、产品方案</w:t>
            </w:r>
          </w:p>
          <w:p>
            <w:pPr>
              <w:tabs>
                <w:tab w:val="left" w:pos="1081"/>
              </w:tabs>
              <w:adjustRightInd w:val="0"/>
              <w:snapToGrid w:val="0"/>
              <w:spacing w:line="360" w:lineRule="auto"/>
              <w:jc w:val="center"/>
              <w:textAlignment w:val="baseline"/>
              <w:rPr>
                <w:rFonts w:hint="default"/>
                <w:b/>
                <w:color w:val="auto"/>
                <w:sz w:val="24"/>
                <w:highlight w:val="none"/>
                <w:u w:val="none"/>
                <w:lang w:val="en-US"/>
              </w:rPr>
            </w:pPr>
            <w:r>
              <w:rPr>
                <w:b/>
                <w:color w:val="auto"/>
                <w:sz w:val="24"/>
                <w:highlight w:val="none"/>
                <w:u w:val="none"/>
              </w:rPr>
              <w:t>表</w:t>
            </w:r>
            <w:r>
              <w:rPr>
                <w:rFonts w:hint="eastAsia"/>
                <w:b/>
                <w:color w:val="auto"/>
                <w:sz w:val="24"/>
                <w:highlight w:val="none"/>
                <w:u w:val="none"/>
              </w:rPr>
              <w:t>2-</w:t>
            </w:r>
            <w:r>
              <w:rPr>
                <w:rFonts w:hint="eastAsia"/>
                <w:b/>
                <w:color w:val="auto"/>
                <w:sz w:val="24"/>
                <w:highlight w:val="none"/>
                <w:u w:val="none"/>
                <w:lang w:val="en-US" w:eastAsia="zh-CN"/>
              </w:rPr>
              <w:t>4</w:t>
            </w:r>
            <w:r>
              <w:rPr>
                <w:b/>
                <w:color w:val="auto"/>
                <w:sz w:val="24"/>
                <w:highlight w:val="none"/>
                <w:u w:val="none"/>
              </w:rPr>
              <w:t xml:space="preserve"> </w:t>
            </w:r>
            <w:r>
              <w:rPr>
                <w:rFonts w:hint="eastAsia"/>
                <w:b/>
                <w:color w:val="auto"/>
                <w:sz w:val="24"/>
                <w:highlight w:val="none"/>
                <w:u w:val="none"/>
              </w:rPr>
              <w:t xml:space="preserve"> </w:t>
            </w:r>
            <w:r>
              <w:rPr>
                <w:rFonts w:hint="eastAsia"/>
                <w:b/>
                <w:color w:val="auto"/>
                <w:sz w:val="24"/>
                <w:highlight w:val="none"/>
                <w:u w:val="none"/>
                <w:lang w:val="en-US" w:eastAsia="zh-CN"/>
              </w:rPr>
              <w:t>本项目</w:t>
            </w:r>
            <w:r>
              <w:rPr>
                <w:b/>
                <w:color w:val="auto"/>
                <w:sz w:val="24"/>
                <w:highlight w:val="none"/>
                <w:u w:val="none"/>
              </w:rPr>
              <w:t>产品</w:t>
            </w:r>
            <w:r>
              <w:rPr>
                <w:rFonts w:hint="eastAsia"/>
                <w:b/>
                <w:color w:val="auto"/>
                <w:sz w:val="24"/>
                <w:highlight w:val="none"/>
                <w:u w:val="none"/>
                <w:lang w:val="en-US" w:eastAsia="zh-CN"/>
              </w:rPr>
              <w:t>方案一览表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143"/>
              <w:gridCol w:w="1710"/>
              <w:gridCol w:w="1522"/>
              <w:gridCol w:w="1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75" w:type="pct"/>
                  <w:noWrap w:val="0"/>
                  <w:vAlign w:val="center"/>
                </w:tcPr>
                <w:p>
                  <w:pPr>
                    <w:adjustRightInd w:val="0"/>
                    <w:snapToGrid w:val="0"/>
                    <w:spacing w:before="48" w:beforeLines="20" w:line="288" w:lineRule="auto"/>
                    <w:jc w:val="center"/>
                    <w:rPr>
                      <w:b/>
                      <w:color w:val="auto"/>
                      <w:szCs w:val="21"/>
                      <w:highlight w:val="none"/>
                      <w:u w:val="none"/>
                    </w:rPr>
                  </w:pPr>
                  <w:r>
                    <w:rPr>
                      <w:b/>
                      <w:color w:val="auto"/>
                      <w:szCs w:val="21"/>
                      <w:highlight w:val="none"/>
                      <w:u w:val="none"/>
                    </w:rPr>
                    <w:t>序号</w:t>
                  </w:r>
                </w:p>
              </w:tc>
              <w:tc>
                <w:tcPr>
                  <w:tcW w:w="1343" w:type="pct"/>
                  <w:noWrap w:val="0"/>
                  <w:vAlign w:val="center"/>
                </w:tcPr>
                <w:p>
                  <w:pPr>
                    <w:adjustRightInd w:val="0"/>
                    <w:snapToGrid w:val="0"/>
                    <w:spacing w:before="48" w:beforeLines="20" w:line="288" w:lineRule="auto"/>
                    <w:jc w:val="center"/>
                    <w:rPr>
                      <w:b/>
                      <w:color w:val="auto"/>
                      <w:szCs w:val="21"/>
                      <w:highlight w:val="none"/>
                      <w:u w:val="none"/>
                    </w:rPr>
                  </w:pPr>
                  <w:r>
                    <w:rPr>
                      <w:b/>
                      <w:color w:val="auto"/>
                      <w:szCs w:val="21"/>
                      <w:highlight w:val="none"/>
                      <w:u w:val="none"/>
                    </w:rPr>
                    <w:t>产品名称</w:t>
                  </w:r>
                </w:p>
              </w:tc>
              <w:tc>
                <w:tcPr>
                  <w:tcW w:w="1072" w:type="pct"/>
                  <w:noWrap w:val="0"/>
                  <w:vAlign w:val="center"/>
                </w:tcPr>
                <w:p>
                  <w:pPr>
                    <w:adjustRightInd w:val="0"/>
                    <w:snapToGrid w:val="0"/>
                    <w:spacing w:before="48" w:beforeLines="20" w:line="288" w:lineRule="auto"/>
                    <w:jc w:val="center"/>
                    <w:rPr>
                      <w:rFonts w:hint="default" w:eastAsia="宋体"/>
                      <w:b/>
                      <w:color w:val="auto"/>
                      <w:szCs w:val="21"/>
                      <w:highlight w:val="none"/>
                      <w:u w:val="none"/>
                      <w:lang w:val="en-US" w:eastAsia="zh-CN"/>
                    </w:rPr>
                  </w:pPr>
                  <w:r>
                    <w:rPr>
                      <w:rFonts w:hint="eastAsia"/>
                      <w:b/>
                      <w:color w:val="auto"/>
                      <w:szCs w:val="21"/>
                      <w:highlight w:val="none"/>
                      <w:u w:val="none"/>
                      <w:lang w:val="en-US" w:eastAsia="zh-CN"/>
                    </w:rPr>
                    <w:t>年产量</w:t>
                  </w:r>
                </w:p>
              </w:tc>
              <w:tc>
                <w:tcPr>
                  <w:tcW w:w="954" w:type="pct"/>
                  <w:noWrap w:val="0"/>
                  <w:vAlign w:val="center"/>
                </w:tcPr>
                <w:p>
                  <w:pPr>
                    <w:adjustRightInd w:val="0"/>
                    <w:snapToGrid w:val="0"/>
                    <w:spacing w:before="48" w:beforeLines="20" w:line="288" w:lineRule="auto"/>
                    <w:jc w:val="center"/>
                    <w:rPr>
                      <w:rFonts w:hint="default" w:eastAsia="宋体"/>
                      <w:b/>
                      <w:color w:val="auto"/>
                      <w:szCs w:val="21"/>
                      <w:highlight w:val="none"/>
                      <w:u w:val="none"/>
                      <w:lang w:val="en-US" w:eastAsia="zh-CN"/>
                    </w:rPr>
                  </w:pPr>
                  <w:r>
                    <w:rPr>
                      <w:rFonts w:hint="eastAsia"/>
                      <w:b/>
                      <w:color w:val="auto"/>
                      <w:szCs w:val="21"/>
                      <w:highlight w:val="none"/>
                      <w:u w:val="none"/>
                      <w:lang w:val="en-US" w:eastAsia="zh-CN"/>
                    </w:rPr>
                    <w:t>单位</w:t>
                  </w:r>
                </w:p>
              </w:tc>
              <w:tc>
                <w:tcPr>
                  <w:tcW w:w="954" w:type="pct"/>
                  <w:noWrap w:val="0"/>
                  <w:vAlign w:val="center"/>
                </w:tcPr>
                <w:p>
                  <w:pPr>
                    <w:adjustRightInd w:val="0"/>
                    <w:snapToGrid w:val="0"/>
                    <w:spacing w:before="48" w:beforeLines="20" w:line="288" w:lineRule="auto"/>
                    <w:jc w:val="center"/>
                    <w:rPr>
                      <w:rFonts w:hint="default"/>
                      <w:b/>
                      <w:color w:val="auto"/>
                      <w:szCs w:val="21"/>
                      <w:highlight w:val="none"/>
                      <w:u w:val="none"/>
                      <w:lang w:val="en-US" w:eastAsia="zh-CN"/>
                    </w:rPr>
                  </w:pPr>
                  <w:r>
                    <w:rPr>
                      <w:rFonts w:hint="eastAsia"/>
                      <w:b/>
                      <w:color w:val="auto"/>
                      <w:szCs w:val="21"/>
                      <w:highlight w:val="none"/>
                      <w:u w:val="none"/>
                      <w:lang w:val="en-US" w:eastAsia="zh-CN"/>
                    </w:rPr>
                    <w:t>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pct"/>
                  <w:noWrap w:val="0"/>
                  <w:vAlign w:val="center"/>
                </w:tcPr>
                <w:p>
                  <w:pPr>
                    <w:adjustRightInd w:val="0"/>
                    <w:snapToGrid w:val="0"/>
                    <w:spacing w:before="48" w:beforeLines="20" w:line="288" w:lineRule="auto"/>
                    <w:jc w:val="center"/>
                    <w:rPr>
                      <w:bCs/>
                      <w:color w:val="auto"/>
                      <w:szCs w:val="21"/>
                      <w:highlight w:val="none"/>
                      <w:u w:val="single"/>
                    </w:rPr>
                  </w:pPr>
                  <w:r>
                    <w:rPr>
                      <w:bCs/>
                      <w:color w:val="auto"/>
                      <w:szCs w:val="21"/>
                      <w:highlight w:val="none"/>
                      <w:u w:val="single"/>
                    </w:rPr>
                    <w:t>1</w:t>
                  </w:r>
                </w:p>
              </w:tc>
              <w:tc>
                <w:tcPr>
                  <w:tcW w:w="1343" w:type="pct"/>
                  <w:noWrap w:val="0"/>
                  <w:vAlign w:val="center"/>
                </w:tcPr>
                <w:p>
                  <w:pPr>
                    <w:adjustRightInd w:val="0"/>
                    <w:snapToGrid w:val="0"/>
                    <w:spacing w:before="48" w:beforeLines="20" w:line="288" w:lineRule="auto"/>
                    <w:jc w:val="center"/>
                    <w:rPr>
                      <w:rFonts w:hint="default" w:eastAsia="宋体"/>
                      <w:bCs/>
                      <w:color w:val="auto"/>
                      <w:szCs w:val="21"/>
                      <w:highlight w:val="none"/>
                      <w:u w:val="single"/>
                      <w:lang w:val="en-US" w:eastAsia="zh-CN"/>
                    </w:rPr>
                  </w:pPr>
                  <w:r>
                    <w:rPr>
                      <w:rFonts w:hint="eastAsia" w:eastAsia="宋体"/>
                      <w:bCs/>
                      <w:color w:val="auto"/>
                      <w:szCs w:val="21"/>
                      <w:highlight w:val="none"/>
                      <w:u w:val="single"/>
                      <w:lang w:val="en-US" w:eastAsia="zh-CN"/>
                    </w:rPr>
                    <w:t>成型生物质颗粒</w:t>
                  </w:r>
                </w:p>
              </w:tc>
              <w:tc>
                <w:tcPr>
                  <w:tcW w:w="1072" w:type="pct"/>
                  <w:noWrap w:val="0"/>
                  <w:vAlign w:val="center"/>
                </w:tcPr>
                <w:p>
                  <w:pPr>
                    <w:adjustRightInd w:val="0"/>
                    <w:snapToGrid w:val="0"/>
                    <w:spacing w:before="48" w:beforeLines="20" w:line="288" w:lineRule="auto"/>
                    <w:jc w:val="center"/>
                    <w:rPr>
                      <w:rFonts w:hint="default" w:eastAsia="宋体"/>
                      <w:bCs/>
                      <w:color w:val="auto"/>
                      <w:szCs w:val="21"/>
                      <w:highlight w:val="none"/>
                      <w:u w:val="single"/>
                      <w:lang w:val="en-US" w:eastAsia="zh-CN"/>
                    </w:rPr>
                  </w:pPr>
                  <w:r>
                    <w:rPr>
                      <w:rFonts w:hint="eastAsia"/>
                      <w:bCs/>
                      <w:color w:val="auto"/>
                      <w:szCs w:val="21"/>
                      <w:highlight w:val="none"/>
                      <w:u w:val="single"/>
                      <w:lang w:val="en-US" w:eastAsia="zh-CN"/>
                    </w:rPr>
                    <w:t>30000</w:t>
                  </w:r>
                </w:p>
              </w:tc>
              <w:tc>
                <w:tcPr>
                  <w:tcW w:w="954" w:type="pct"/>
                  <w:noWrap w:val="0"/>
                  <w:vAlign w:val="center"/>
                </w:tcPr>
                <w:p>
                  <w:pPr>
                    <w:adjustRightInd w:val="0"/>
                    <w:snapToGrid w:val="0"/>
                    <w:spacing w:before="48" w:beforeLines="20" w:line="288" w:lineRule="auto"/>
                    <w:jc w:val="center"/>
                    <w:rPr>
                      <w:rFonts w:hint="default" w:eastAsia="宋体"/>
                      <w:bCs/>
                      <w:color w:val="auto"/>
                      <w:szCs w:val="21"/>
                      <w:highlight w:val="none"/>
                      <w:u w:val="single"/>
                      <w:lang w:val="en-US" w:eastAsia="zh-CN"/>
                    </w:rPr>
                  </w:pPr>
                  <w:r>
                    <w:rPr>
                      <w:rFonts w:hint="eastAsia"/>
                      <w:bCs/>
                      <w:color w:val="auto"/>
                      <w:szCs w:val="21"/>
                      <w:highlight w:val="none"/>
                      <w:u w:val="single"/>
                      <w:lang w:val="en-US" w:eastAsia="zh-CN"/>
                    </w:rPr>
                    <w:t>t</w:t>
                  </w:r>
                </w:p>
              </w:tc>
              <w:tc>
                <w:tcPr>
                  <w:tcW w:w="954" w:type="pct"/>
                  <w:noWrap w:val="0"/>
                  <w:vAlign w:val="center"/>
                </w:tcPr>
                <w:p>
                  <w:pPr>
                    <w:adjustRightInd w:val="0"/>
                    <w:snapToGrid w:val="0"/>
                    <w:spacing w:before="48" w:beforeLines="20" w:line="288" w:lineRule="auto"/>
                    <w:jc w:val="center"/>
                    <w:rPr>
                      <w:rFonts w:hint="default"/>
                      <w:bCs/>
                      <w:color w:val="auto"/>
                      <w:szCs w:val="21"/>
                      <w:highlight w:val="none"/>
                      <w:u w:val="single"/>
                      <w:lang w:val="en-US" w:eastAsia="zh-CN"/>
                    </w:rPr>
                  </w:pPr>
                  <w:r>
                    <w:rPr>
                      <w:rFonts w:hint="eastAsia"/>
                      <w:bCs/>
                      <w:color w:val="auto"/>
                      <w:szCs w:val="21"/>
                      <w:highlight w:val="none"/>
                      <w:u w:val="single"/>
                      <w:lang w:val="en-US" w:eastAsia="zh-CN"/>
                    </w:rPr>
                    <w:t>袋装，100kg和1t两种规格</w:t>
                  </w:r>
                </w:p>
              </w:tc>
            </w:tr>
          </w:tbl>
          <w:p>
            <w:pPr>
              <w:keepNext w:val="0"/>
              <w:keepLines w:val="0"/>
              <w:pageBreakBefore w:val="0"/>
              <w:widowControl w:val="0"/>
              <w:tabs>
                <w:tab w:val="left" w:pos="1081"/>
              </w:tabs>
              <w:kinsoku/>
              <w:wordWrap/>
              <w:overflowPunct/>
              <w:topLinePunct w:val="0"/>
              <w:autoSpaceDE/>
              <w:autoSpaceDN/>
              <w:bidi w:val="0"/>
              <w:adjustRightInd w:val="0"/>
              <w:snapToGrid w:val="0"/>
              <w:spacing w:before="157" w:beforeLines="50" w:line="360" w:lineRule="auto"/>
              <w:jc w:val="center"/>
              <w:textAlignment w:val="baseline"/>
              <w:rPr>
                <w:rFonts w:hint="default"/>
                <w:b/>
                <w:color w:val="auto"/>
                <w:sz w:val="24"/>
                <w:highlight w:val="none"/>
                <w:u w:val="none"/>
                <w:lang w:val="en-US"/>
              </w:rPr>
            </w:pPr>
            <w:r>
              <w:rPr>
                <w:b/>
                <w:color w:val="auto"/>
                <w:sz w:val="24"/>
                <w:highlight w:val="none"/>
                <w:u w:val="none"/>
              </w:rPr>
              <w:t>表</w:t>
            </w:r>
            <w:r>
              <w:rPr>
                <w:rFonts w:hint="eastAsia"/>
                <w:b/>
                <w:color w:val="auto"/>
                <w:sz w:val="24"/>
                <w:highlight w:val="none"/>
                <w:u w:val="none"/>
              </w:rPr>
              <w:t>2-</w:t>
            </w:r>
            <w:r>
              <w:rPr>
                <w:rFonts w:hint="eastAsia"/>
                <w:b/>
                <w:color w:val="auto"/>
                <w:sz w:val="24"/>
                <w:highlight w:val="none"/>
                <w:u w:val="none"/>
                <w:lang w:val="en-US" w:eastAsia="zh-CN"/>
              </w:rPr>
              <w:t>5</w:t>
            </w:r>
            <w:r>
              <w:rPr>
                <w:b/>
                <w:color w:val="auto"/>
                <w:sz w:val="24"/>
                <w:highlight w:val="none"/>
                <w:u w:val="none"/>
              </w:rPr>
              <w:t xml:space="preserve"> </w:t>
            </w:r>
            <w:r>
              <w:rPr>
                <w:rFonts w:hint="eastAsia"/>
                <w:b/>
                <w:color w:val="auto"/>
                <w:sz w:val="24"/>
                <w:highlight w:val="none"/>
                <w:u w:val="none"/>
              </w:rPr>
              <w:t xml:space="preserve"> </w:t>
            </w:r>
            <w:r>
              <w:rPr>
                <w:rFonts w:hint="eastAsia"/>
                <w:b/>
                <w:color w:val="auto"/>
                <w:sz w:val="24"/>
                <w:highlight w:val="none"/>
                <w:u w:val="none"/>
                <w:lang w:val="en-US" w:eastAsia="zh-CN"/>
              </w:rPr>
              <w:t>生物质颗粒质量标准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5"/>
              <w:gridCol w:w="1717"/>
              <w:gridCol w:w="885"/>
              <w:gridCol w:w="988"/>
              <w:gridCol w:w="1181"/>
              <w:gridCol w:w="569"/>
              <w:gridCol w:w="499"/>
              <w:gridCol w:w="622"/>
              <w:gridCol w:w="499"/>
              <w:gridCol w:w="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eastAsia="宋体"/>
                      <w:b/>
                      <w:color w:val="auto"/>
                      <w:szCs w:val="21"/>
                      <w:highlight w:val="none"/>
                      <w:u w:val="none"/>
                      <w:lang w:val="en-US" w:eastAsia="zh-CN"/>
                    </w:rPr>
                  </w:pPr>
                  <w:r>
                    <w:rPr>
                      <w:rFonts w:hint="eastAsia"/>
                      <w:b/>
                      <w:color w:val="auto"/>
                      <w:szCs w:val="21"/>
                      <w:highlight w:val="none"/>
                      <w:u w:val="none"/>
                      <w:lang w:val="en-US" w:eastAsia="zh-CN"/>
                    </w:rPr>
                    <w:t>项目</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eastAsia="宋体"/>
                      <w:b/>
                      <w:color w:val="auto"/>
                      <w:szCs w:val="21"/>
                      <w:highlight w:val="none"/>
                      <w:u w:val="none"/>
                      <w:lang w:val="en-US" w:eastAsia="zh-CN"/>
                    </w:rPr>
                  </w:pPr>
                  <w:r>
                    <w:rPr>
                      <w:rFonts w:hint="eastAsia" w:eastAsia="宋体"/>
                      <w:b/>
                      <w:color w:val="auto"/>
                      <w:szCs w:val="21"/>
                      <w:highlight w:val="none"/>
                      <w:u w:val="none"/>
                      <w:lang w:val="en-US" w:eastAsia="zh-CN"/>
                    </w:rPr>
                    <w:t>外观</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eastAsia="宋体"/>
                      <w:b/>
                      <w:color w:val="auto"/>
                      <w:szCs w:val="21"/>
                      <w:highlight w:val="none"/>
                      <w:u w:val="none"/>
                      <w:lang w:val="en-US" w:eastAsia="zh-CN"/>
                    </w:rPr>
                  </w:pPr>
                  <w:r>
                    <w:rPr>
                      <w:rFonts w:hint="eastAsia"/>
                      <w:b/>
                      <w:color w:val="auto"/>
                      <w:szCs w:val="21"/>
                      <w:highlight w:val="none"/>
                      <w:u w:val="none"/>
                      <w:lang w:val="en-US" w:eastAsia="zh-CN"/>
                    </w:rPr>
                    <w:t>含水率</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eastAsia="宋体"/>
                      <w:b/>
                      <w:color w:val="auto"/>
                      <w:szCs w:val="21"/>
                      <w:highlight w:val="none"/>
                      <w:u w:val="none"/>
                      <w:lang w:val="en-US" w:eastAsia="zh-CN"/>
                    </w:rPr>
                  </w:pPr>
                  <w:r>
                    <w:rPr>
                      <w:rFonts w:hint="default" w:eastAsia="宋体"/>
                      <w:b/>
                      <w:color w:val="auto"/>
                      <w:szCs w:val="21"/>
                      <w:highlight w:val="none"/>
                      <w:u w:val="none"/>
                      <w:lang w:val="en-US" w:eastAsia="zh-CN"/>
                    </w:rPr>
                    <w:t>低位</w:t>
                  </w:r>
                  <w:r>
                    <w:rPr>
                      <w:rFonts w:hint="eastAsia"/>
                      <w:b/>
                      <w:color w:val="auto"/>
                      <w:szCs w:val="21"/>
                      <w:highlight w:val="none"/>
                      <w:u w:val="none"/>
                      <w:lang w:val="en-US" w:eastAsia="zh-CN"/>
                    </w:rPr>
                    <w:t>发热量MJ/kg</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
                      <w:color w:val="auto"/>
                      <w:szCs w:val="21"/>
                      <w:highlight w:val="none"/>
                      <w:u w:val="none"/>
                      <w:lang w:val="en-US" w:eastAsia="zh-CN"/>
                    </w:rPr>
                  </w:pPr>
                  <w:r>
                    <w:rPr>
                      <w:rFonts w:hint="eastAsia"/>
                      <w:b/>
                      <w:color w:val="auto"/>
                      <w:szCs w:val="21"/>
                      <w:highlight w:val="none"/>
                      <w:u w:val="none"/>
                      <w:lang w:val="en-US" w:eastAsia="zh-CN"/>
                    </w:rPr>
                    <w:t>密度（kg/m</w:t>
                  </w:r>
                  <w:r>
                    <w:rPr>
                      <w:rFonts w:hint="eastAsia"/>
                      <w:b/>
                      <w:color w:val="auto"/>
                      <w:szCs w:val="21"/>
                      <w:highlight w:val="none"/>
                      <w:u w:val="none"/>
                      <w:vertAlign w:val="superscript"/>
                      <w:lang w:val="en-US" w:eastAsia="zh-CN"/>
                    </w:rPr>
                    <w:t>3</w:t>
                  </w:r>
                  <w:r>
                    <w:rPr>
                      <w:rFonts w:hint="eastAsia"/>
                      <w:b/>
                      <w:color w:val="auto"/>
                      <w:szCs w:val="21"/>
                      <w:highlight w:val="none"/>
                      <w:u w:val="none"/>
                      <w:lang w:val="en-US" w:eastAsia="zh-CN"/>
                    </w:rPr>
                    <w:t>）</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
                      <w:color w:val="auto"/>
                      <w:szCs w:val="21"/>
                      <w:highlight w:val="none"/>
                      <w:u w:val="none"/>
                      <w:lang w:val="en-US" w:eastAsia="zh-CN"/>
                    </w:rPr>
                  </w:pPr>
                  <w:r>
                    <w:rPr>
                      <w:rFonts w:hint="eastAsia"/>
                      <w:b/>
                      <w:color w:val="auto"/>
                      <w:szCs w:val="21"/>
                      <w:highlight w:val="none"/>
                      <w:u w:val="none"/>
                      <w:lang w:val="en-US" w:eastAsia="zh-CN"/>
                    </w:rPr>
                    <w:t>灰分</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b/>
                      <w:color w:val="auto"/>
                      <w:szCs w:val="21"/>
                      <w:highlight w:val="none"/>
                      <w:u w:val="none"/>
                      <w:lang w:val="en-US" w:eastAsia="zh-CN"/>
                    </w:rPr>
                  </w:pPr>
                  <w:r>
                    <w:rPr>
                      <w:rFonts w:hint="eastAsia"/>
                      <w:b/>
                      <w:color w:val="auto"/>
                      <w:szCs w:val="21"/>
                      <w:highlight w:val="none"/>
                      <w:u w:val="none"/>
                      <w:lang w:val="en-US" w:eastAsia="zh-CN"/>
                    </w:rPr>
                    <w:t>破碎率</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b/>
                      <w:color w:val="auto"/>
                      <w:szCs w:val="21"/>
                      <w:highlight w:val="none"/>
                      <w:u w:val="none"/>
                      <w:lang w:val="en-US" w:eastAsia="zh-CN"/>
                    </w:rPr>
                  </w:pPr>
                  <w:r>
                    <w:rPr>
                      <w:rFonts w:hint="eastAsia"/>
                      <w:b/>
                      <w:color w:val="auto"/>
                      <w:szCs w:val="21"/>
                      <w:highlight w:val="none"/>
                      <w:u w:val="none"/>
                      <w:lang w:val="en-US" w:eastAsia="zh-CN"/>
                    </w:rPr>
                    <w:t>含硫量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b/>
                      <w:color w:val="auto"/>
                      <w:szCs w:val="21"/>
                      <w:highlight w:val="none"/>
                      <w:u w:val="none"/>
                      <w:lang w:val="en-US" w:eastAsia="zh-CN"/>
                    </w:rPr>
                  </w:pPr>
                  <w:r>
                    <w:rPr>
                      <w:rFonts w:hint="eastAsia"/>
                      <w:b/>
                      <w:color w:val="auto"/>
                      <w:szCs w:val="21"/>
                      <w:highlight w:val="none"/>
                      <w:u w:val="none"/>
                      <w:lang w:val="en-US" w:eastAsia="zh-CN"/>
                    </w:rPr>
                    <w:t>钾含量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b/>
                      <w:color w:val="auto"/>
                      <w:szCs w:val="21"/>
                      <w:highlight w:val="none"/>
                      <w:u w:val="none"/>
                      <w:lang w:val="en-US" w:eastAsia="zh-CN"/>
                    </w:rPr>
                  </w:pPr>
                  <w:r>
                    <w:rPr>
                      <w:rFonts w:hint="eastAsia"/>
                      <w:b/>
                      <w:color w:val="auto"/>
                      <w:szCs w:val="21"/>
                      <w:highlight w:val="none"/>
                      <w:u w:val="none"/>
                      <w:lang w:val="en-US" w:eastAsia="zh-CN"/>
                    </w:rPr>
                    <w:t>氯含量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bCs/>
                      <w:color w:val="auto"/>
                      <w:szCs w:val="21"/>
                      <w:highlight w:val="none"/>
                      <w:u w:val="none"/>
                    </w:rPr>
                  </w:pPr>
                  <w:r>
                    <w:rPr>
                      <w:rFonts w:hint="eastAsia"/>
                      <w:b w:val="0"/>
                      <w:bCs/>
                      <w:color w:val="auto"/>
                      <w:szCs w:val="21"/>
                      <w:highlight w:val="none"/>
                      <w:u w:val="none"/>
                      <w:lang w:val="en-US" w:eastAsia="zh-CN"/>
                    </w:rPr>
                    <w:t>要求</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直径或横截面最大尺寸D≤25m</w:t>
                  </w:r>
                  <w:r>
                    <w:rPr>
                      <w:rFonts w:hint="default" w:eastAsia="宋体"/>
                      <w:bCs/>
                      <w:color w:val="auto"/>
                      <w:szCs w:val="21"/>
                      <w:highlight w:val="none"/>
                      <w:u w:val="none"/>
                      <w:lang w:val="en-US" w:eastAsia="zh-CN"/>
                    </w:rPr>
                    <w:t>m，</w:t>
                  </w:r>
                  <w:r>
                    <w:rPr>
                      <w:rFonts w:hint="eastAsia"/>
                      <w:bCs/>
                      <w:color w:val="auto"/>
                      <w:szCs w:val="21"/>
                      <w:highlight w:val="none"/>
                      <w:u w:val="none"/>
                      <w:lang w:val="en-US" w:eastAsia="zh-CN"/>
                    </w:rPr>
                    <w:t>长度≤4D</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eastAsia="宋体"/>
                      <w:bCs/>
                      <w:color w:val="auto"/>
                      <w:szCs w:val="21"/>
                      <w:highlight w:val="none"/>
                      <w:u w:val="none"/>
                      <w:lang w:val="en-US" w:eastAsia="zh-CN"/>
                    </w:rPr>
                  </w:pPr>
                  <w:r>
                    <w:rPr>
                      <w:rFonts w:hint="default" w:eastAsia="宋体"/>
                      <w:bCs/>
                      <w:color w:val="auto"/>
                      <w:szCs w:val="21"/>
                      <w:highlight w:val="none"/>
                      <w:u w:val="none"/>
                      <w:lang w:val="en-US" w:eastAsia="zh-CN"/>
                    </w:rPr>
                    <w:t>≤1</w:t>
                  </w:r>
                  <w:r>
                    <w:rPr>
                      <w:rFonts w:hint="eastAsia"/>
                      <w:bCs/>
                      <w:color w:val="auto"/>
                      <w:szCs w:val="21"/>
                      <w:highlight w:val="none"/>
                      <w:u w:val="none"/>
                      <w:lang w:val="en-US" w:eastAsia="zh-CN"/>
                    </w:rPr>
                    <w:t>6</w:t>
                  </w:r>
                  <w:r>
                    <w:rPr>
                      <w:rFonts w:hint="default" w:eastAsia="宋体"/>
                      <w:bCs/>
                      <w:color w:val="auto"/>
                      <w:szCs w:val="21"/>
                      <w:highlight w:val="none"/>
                      <w:u w:val="none"/>
                      <w:lang w:val="en-US" w:eastAsia="zh-CN"/>
                    </w:rPr>
                    <w:t>%（wt）</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eastAsia="宋体"/>
                      <w:bCs/>
                      <w:color w:val="auto"/>
                      <w:szCs w:val="21"/>
                      <w:highlight w:val="none"/>
                      <w:u w:val="none"/>
                      <w:lang w:val="en-US" w:eastAsia="zh-CN"/>
                    </w:rPr>
                  </w:pPr>
                  <w:r>
                    <w:rPr>
                      <w:rFonts w:hint="eastAsia"/>
                      <w:bCs/>
                      <w:color w:val="auto"/>
                      <w:szCs w:val="21"/>
                      <w:highlight w:val="none"/>
                      <w:u w:val="none"/>
                      <w:lang w:val="en-US" w:eastAsia="zh-CN"/>
                    </w:rPr>
                    <w:t>≥13.4</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default"/>
                      <w:bCs/>
                      <w:color w:val="auto"/>
                      <w:szCs w:val="21"/>
                      <w:highlight w:val="none"/>
                      <w:u w:val="none"/>
                      <w:lang w:val="en-US" w:eastAsia="zh-CN"/>
                    </w:rPr>
                  </w:pPr>
                  <w:r>
                    <w:rPr>
                      <w:rFonts w:hint="eastAsia"/>
                      <w:bCs/>
                      <w:color w:val="auto"/>
                      <w:szCs w:val="21"/>
                      <w:highlight w:val="none"/>
                      <w:u w:val="none"/>
                      <w:lang w:val="en-US" w:eastAsia="zh-CN"/>
                    </w:rPr>
                    <w:t>≥1000</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r>
                    <w:rPr>
                      <w:rFonts w:hint="eastAsia"/>
                      <w:bCs/>
                      <w:color w:val="auto"/>
                      <w:szCs w:val="21"/>
                      <w:highlight w:val="none"/>
                      <w:u w:val="none"/>
                      <w:lang w:val="en-US" w:eastAsia="zh-CN"/>
                    </w:rPr>
                    <w:t>≤10%</w:t>
                  </w:r>
                </w:p>
              </w:tc>
              <w:tc>
                <w:tcPr>
                  <w:tcW w:w="0" w:type="auto"/>
                  <w:noWrap w:val="0"/>
                  <w:vAlign w:val="bottom"/>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r>
                    <w:rPr>
                      <w:rFonts w:hint="eastAsia"/>
                      <w:bCs/>
                      <w:color w:val="auto"/>
                      <w:szCs w:val="21"/>
                      <w:highlight w:val="none"/>
                      <w:u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p>
              </w:tc>
              <w:tc>
                <w:tcPr>
                  <w:tcW w:w="0" w:type="auto"/>
                  <w:noWrap w:val="0"/>
                  <w:vAlign w:val="bottom"/>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r>
                    <w:rPr>
                      <w:rFonts w:hint="eastAsia"/>
                      <w:bCs/>
                      <w:color w:val="auto"/>
                      <w:szCs w:val="21"/>
                      <w:highlight w:val="none"/>
                      <w:u w:val="none"/>
                      <w:lang w:val="en-US" w:eastAsia="zh-CN"/>
                    </w:rPr>
                    <w:t>≤0.2%</w:t>
                  </w:r>
                </w:p>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p>
              </w:tc>
              <w:tc>
                <w:tcPr>
                  <w:tcW w:w="0" w:type="auto"/>
                  <w:noWrap w:val="0"/>
                  <w:vAlign w:val="bottom"/>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r>
                    <w:rPr>
                      <w:rFonts w:hint="eastAsia"/>
                      <w:bCs/>
                      <w:color w:val="auto"/>
                      <w:szCs w:val="21"/>
                      <w:highlight w:val="none"/>
                      <w:u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p>
              </w:tc>
              <w:tc>
                <w:tcPr>
                  <w:tcW w:w="0" w:type="auto"/>
                  <w:noWrap w:val="0"/>
                  <w:vAlign w:val="bottom"/>
                </w:tcPr>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r>
                    <w:rPr>
                      <w:rFonts w:hint="eastAsia"/>
                      <w:bCs/>
                      <w:color w:val="auto"/>
                      <w:szCs w:val="21"/>
                      <w:highlight w:val="none"/>
                      <w:u w:val="none"/>
                      <w:lang w:val="en-US" w:eastAsia="zh-CN"/>
                    </w:rPr>
                    <w:t>≤0.8%</w:t>
                  </w:r>
                </w:p>
                <w:p>
                  <w:pPr>
                    <w:keepNext w:val="0"/>
                    <w:keepLines w:val="0"/>
                    <w:pageBreakBefore w:val="0"/>
                    <w:widowControl w:val="0"/>
                    <w:kinsoku/>
                    <w:wordWrap/>
                    <w:overflowPunct/>
                    <w:topLinePunct w:val="0"/>
                    <w:autoSpaceDE/>
                    <w:autoSpaceDN/>
                    <w:bidi w:val="0"/>
                    <w:adjustRightInd w:val="0"/>
                    <w:snapToGrid w:val="0"/>
                    <w:spacing w:before="48" w:beforeLines="20" w:line="288" w:lineRule="auto"/>
                    <w:ind w:left="-42" w:leftChars="-20" w:right="-42" w:rightChars="-20"/>
                    <w:jc w:val="center"/>
                    <w:textAlignment w:val="auto"/>
                    <w:rPr>
                      <w:rFonts w:hint="eastAsia"/>
                      <w:bCs/>
                      <w:color w:val="auto"/>
                      <w:szCs w:val="21"/>
                      <w:highlight w:val="none"/>
                      <w:u w:val="none"/>
                      <w:lang w:val="en-US" w:eastAsia="zh-CN"/>
                    </w:rPr>
                  </w:pP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jc w:val="both"/>
              <w:textAlignment w:val="auto"/>
              <w:rPr>
                <w:b/>
                <w:color w:val="auto"/>
                <w:sz w:val="24"/>
                <w:highlight w:val="none"/>
              </w:rPr>
            </w:pPr>
            <w:r>
              <w:rPr>
                <w:rFonts w:hint="eastAsia"/>
                <w:b/>
                <w:color w:val="auto"/>
                <w:sz w:val="24"/>
                <w:highlight w:val="none"/>
                <w:lang w:val="en-US" w:eastAsia="zh-CN"/>
              </w:rPr>
              <w:t>5</w:t>
            </w:r>
            <w:r>
              <w:rPr>
                <w:rFonts w:hint="eastAsia"/>
                <w:b/>
                <w:color w:val="auto"/>
                <w:sz w:val="24"/>
                <w:highlight w:val="none"/>
              </w:rPr>
              <w:t>、公用工程</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rPr>
              <w:t>供电工程：项目生产所需电源由市政电网供应。</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rPr>
              <w:t>给水工程：项目用水全部由市政自来水网供给，主要为员工生活用水</w:t>
            </w:r>
            <w:r>
              <w:rPr>
                <w:rFonts w:hint="eastAsia"/>
                <w:bCs/>
                <w:color w:val="auto"/>
                <w:sz w:val="24"/>
                <w:highlight w:val="none"/>
                <w:lang w:val="en-US" w:eastAsia="zh-CN"/>
              </w:rPr>
              <w:t>，</w:t>
            </w:r>
            <w:r>
              <w:rPr>
                <w:rFonts w:hint="eastAsia"/>
                <w:bCs/>
                <w:color w:val="auto"/>
                <w:sz w:val="24"/>
                <w:highlight w:val="none"/>
              </w:rPr>
              <w:t>年用水量</w:t>
            </w:r>
            <w:r>
              <w:rPr>
                <w:rFonts w:hint="eastAsia"/>
                <w:bCs/>
                <w:color w:val="auto"/>
                <w:sz w:val="24"/>
                <w:highlight w:val="none"/>
                <w:lang w:val="en-US" w:eastAsia="zh-CN"/>
              </w:rPr>
              <w:t>68.4</w:t>
            </w:r>
            <w:r>
              <w:rPr>
                <w:rFonts w:hint="eastAsia"/>
                <w:bCs/>
                <w:color w:val="auto"/>
                <w:sz w:val="24"/>
                <w:highlight w:val="none"/>
              </w:rPr>
              <w:t>m</w:t>
            </w:r>
            <w:r>
              <w:rPr>
                <w:rFonts w:hint="eastAsia"/>
                <w:bCs/>
                <w:color w:val="auto"/>
                <w:sz w:val="24"/>
                <w:highlight w:val="none"/>
                <w:vertAlign w:val="superscript"/>
              </w:rPr>
              <w:t>3</w:t>
            </w:r>
            <w:r>
              <w:rPr>
                <w:rFonts w:hint="eastAsia"/>
                <w:bCs/>
                <w:color w:val="auto"/>
                <w:sz w:val="24"/>
                <w:highlight w:val="none"/>
              </w:rPr>
              <w:t>/a。</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rPr>
              <w:t>（1）给水</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rPr>
              <w:t>项目劳动定员</w:t>
            </w:r>
            <w:r>
              <w:rPr>
                <w:rFonts w:hint="eastAsia"/>
                <w:bCs/>
                <w:color w:val="auto"/>
                <w:sz w:val="24"/>
                <w:highlight w:val="none"/>
                <w:lang w:val="en-US" w:eastAsia="zh-CN"/>
              </w:rPr>
              <w:t>6</w:t>
            </w:r>
            <w:r>
              <w:rPr>
                <w:rFonts w:hint="eastAsia"/>
                <w:bCs/>
                <w:color w:val="auto"/>
                <w:sz w:val="24"/>
                <w:highlight w:val="none"/>
              </w:rPr>
              <w:t>人，</w:t>
            </w:r>
            <w:r>
              <w:rPr>
                <w:rFonts w:hint="eastAsia"/>
                <w:bCs/>
                <w:color w:val="auto"/>
                <w:sz w:val="24"/>
                <w:highlight w:val="none"/>
                <w:lang w:val="en-US" w:eastAsia="zh-CN"/>
              </w:rPr>
              <w:t>不在厂内食宿，年工作300天。参照《湖南省用水定额》(DB43/T388-2020)中的指标计算，用水量按38L/d•人计，</w:t>
            </w:r>
            <w:r>
              <w:rPr>
                <w:rFonts w:hint="eastAsia"/>
                <w:bCs/>
                <w:color w:val="auto"/>
                <w:sz w:val="24"/>
                <w:highlight w:val="none"/>
              </w:rPr>
              <w:t>计算可得，生活用水总量为</w:t>
            </w:r>
            <w:r>
              <w:rPr>
                <w:rFonts w:hint="eastAsia"/>
                <w:bCs/>
                <w:color w:val="auto"/>
                <w:sz w:val="24"/>
                <w:highlight w:val="none"/>
                <w:lang w:val="en-US" w:eastAsia="zh-CN"/>
              </w:rPr>
              <w:t>68.4</w:t>
            </w:r>
            <w:r>
              <w:rPr>
                <w:rFonts w:hint="eastAsia"/>
                <w:bCs/>
                <w:color w:val="auto"/>
                <w:sz w:val="24"/>
                <w:highlight w:val="none"/>
              </w:rPr>
              <w:t>m</w:t>
            </w:r>
            <w:r>
              <w:rPr>
                <w:rFonts w:hint="eastAsia"/>
                <w:bCs/>
                <w:color w:val="auto"/>
                <w:sz w:val="24"/>
                <w:highlight w:val="none"/>
                <w:vertAlign w:val="superscript"/>
              </w:rPr>
              <w:t>3</w:t>
            </w:r>
            <w:r>
              <w:rPr>
                <w:rFonts w:hint="eastAsia"/>
                <w:bCs/>
                <w:color w:val="auto"/>
                <w:sz w:val="24"/>
                <w:highlight w:val="none"/>
              </w:rPr>
              <w:t>/a。</w:t>
            </w:r>
          </w:p>
          <w:p>
            <w:pPr>
              <w:adjustRightInd w:val="0"/>
              <w:snapToGrid w:val="0"/>
              <w:spacing w:line="360" w:lineRule="auto"/>
              <w:ind w:firstLine="480" w:firstLineChars="200"/>
              <w:jc w:val="left"/>
              <w:rPr>
                <w:rFonts w:hint="eastAsia"/>
                <w:bCs/>
                <w:color w:val="auto"/>
                <w:sz w:val="24"/>
                <w:highlight w:val="none"/>
                <w:lang w:val="en-US" w:eastAsia="zh-CN"/>
              </w:rPr>
            </w:pPr>
            <w:r>
              <w:rPr>
                <w:rFonts w:hint="eastAsia"/>
                <w:bCs/>
                <w:color w:val="auto"/>
                <w:sz w:val="24"/>
                <w:highlight w:val="none"/>
                <w:lang w:val="en-US" w:eastAsia="zh-CN"/>
              </w:rPr>
              <w:t xml:space="preserve"> （2）排水</w:t>
            </w:r>
          </w:p>
          <w:p>
            <w:pPr>
              <w:spacing w:line="360" w:lineRule="auto"/>
              <w:ind w:firstLine="480" w:firstLineChars="200"/>
              <w:rPr>
                <w:rFonts w:hint="eastAsia"/>
                <w:color w:val="auto"/>
                <w:sz w:val="24"/>
                <w:szCs w:val="32"/>
                <w:highlight w:val="none"/>
                <w:u w:val="none"/>
              </w:rPr>
            </w:pPr>
            <w:r>
              <w:rPr>
                <w:rFonts w:hint="eastAsia"/>
                <w:color w:val="auto"/>
                <w:sz w:val="24"/>
                <w:szCs w:val="32"/>
                <w:highlight w:val="none"/>
                <w:u w:val="none"/>
              </w:rPr>
              <w:t>本项目雨污分流，雨水通过雨水沟进入</w:t>
            </w:r>
            <w:r>
              <w:rPr>
                <w:rFonts w:hint="eastAsia"/>
                <w:color w:val="auto"/>
                <w:sz w:val="24"/>
                <w:szCs w:val="32"/>
                <w:highlight w:val="none"/>
                <w:u w:val="none"/>
                <w:lang w:val="en-US" w:eastAsia="zh-CN"/>
              </w:rPr>
              <w:t>北</w:t>
            </w:r>
            <w:r>
              <w:rPr>
                <w:rFonts w:hint="eastAsia"/>
                <w:color w:val="auto"/>
                <w:sz w:val="24"/>
                <w:szCs w:val="32"/>
                <w:highlight w:val="none"/>
                <w:u w:val="none"/>
              </w:rPr>
              <w:t>面的</w:t>
            </w:r>
            <w:r>
              <w:rPr>
                <w:rFonts w:hint="eastAsia"/>
                <w:color w:val="auto"/>
                <w:sz w:val="24"/>
                <w:szCs w:val="32"/>
                <w:highlight w:val="none"/>
                <w:u w:val="none"/>
                <w:lang w:val="en-US" w:eastAsia="zh-CN"/>
              </w:rPr>
              <w:t>游港河</w:t>
            </w:r>
            <w:r>
              <w:rPr>
                <w:rFonts w:hint="eastAsia"/>
                <w:color w:val="auto"/>
                <w:sz w:val="24"/>
                <w:szCs w:val="32"/>
                <w:highlight w:val="none"/>
                <w:u w:val="none"/>
              </w:rPr>
              <w:t>。项目物料均放置于厂房内，降雨时不会被雨水冲刷，项目外排废气中不</w:t>
            </w:r>
            <w:r>
              <w:rPr>
                <w:rFonts w:hint="eastAsia"/>
                <w:color w:val="auto"/>
                <w:sz w:val="24"/>
                <w:szCs w:val="32"/>
                <w:highlight w:val="none"/>
                <w:u w:val="none"/>
                <w:lang w:val="en-US" w:eastAsia="zh-CN"/>
              </w:rPr>
              <w:t>含</w:t>
            </w:r>
            <w:r>
              <w:rPr>
                <w:rFonts w:hint="eastAsia"/>
                <w:color w:val="auto"/>
                <w:sz w:val="24"/>
                <w:szCs w:val="32"/>
                <w:highlight w:val="none"/>
                <w:u w:val="none"/>
              </w:rPr>
              <w:t>重金属等有毒有害污染物，初期雨水中主要含有少量木屑等悬浮物，一般来说不会对地表水环境造成污染。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u w:val="none"/>
              </w:rPr>
            </w:pPr>
            <w:r>
              <w:rPr>
                <w:rFonts w:hint="eastAsia"/>
                <w:color w:val="auto"/>
                <w:sz w:val="24"/>
                <w:szCs w:val="32"/>
                <w:highlight w:val="none"/>
                <w:u w:val="none"/>
              </w:rPr>
              <w:t>生活用水量为</w:t>
            </w:r>
            <w:r>
              <w:rPr>
                <w:rFonts w:hint="eastAsia"/>
                <w:color w:val="auto"/>
                <w:sz w:val="24"/>
                <w:szCs w:val="32"/>
                <w:highlight w:val="none"/>
                <w:u w:val="none"/>
                <w:lang w:val="en-US" w:eastAsia="zh-CN"/>
              </w:rPr>
              <w:t>68.4</w:t>
            </w:r>
            <w:r>
              <w:rPr>
                <w:rFonts w:hint="eastAsia"/>
                <w:color w:val="auto"/>
                <w:sz w:val="24"/>
                <w:szCs w:val="32"/>
                <w:highlight w:val="none"/>
                <w:u w:val="none"/>
              </w:rPr>
              <w:t>t/a，废水排放量按用水量的80%计，则项目生活污水量为</w:t>
            </w:r>
            <w:r>
              <w:rPr>
                <w:rFonts w:hint="eastAsia"/>
                <w:color w:val="auto"/>
                <w:sz w:val="24"/>
                <w:szCs w:val="32"/>
                <w:highlight w:val="none"/>
                <w:u w:val="none"/>
                <w:lang w:val="en-US" w:eastAsia="zh-CN"/>
              </w:rPr>
              <w:t>54.72</w:t>
            </w:r>
            <w:r>
              <w:rPr>
                <w:rFonts w:hint="eastAsia"/>
                <w:color w:val="auto"/>
                <w:sz w:val="24"/>
                <w:szCs w:val="32"/>
                <w:highlight w:val="none"/>
                <w:u w:val="none"/>
              </w:rPr>
              <w:t>t/a（</w:t>
            </w:r>
            <w:r>
              <w:rPr>
                <w:rFonts w:hint="eastAsia"/>
                <w:color w:val="auto"/>
                <w:sz w:val="24"/>
                <w:szCs w:val="32"/>
                <w:highlight w:val="none"/>
                <w:u w:val="none"/>
                <w:lang w:val="en-US" w:eastAsia="zh-CN"/>
              </w:rPr>
              <w:t>0.182</w:t>
            </w:r>
            <w:r>
              <w:rPr>
                <w:rFonts w:hint="eastAsia"/>
                <w:color w:val="auto"/>
                <w:sz w:val="24"/>
                <w:szCs w:val="32"/>
                <w:highlight w:val="none"/>
                <w:u w:val="none"/>
              </w:rPr>
              <w:t>t/d）</w:t>
            </w:r>
            <w:r>
              <w:rPr>
                <w:rFonts w:hint="eastAsia"/>
                <w:color w:val="auto"/>
                <w:sz w:val="24"/>
                <w:szCs w:val="32"/>
                <w:highlight w:val="none"/>
                <w:u w:val="none"/>
                <w:lang w:eastAsia="zh-CN"/>
              </w:rPr>
              <w:t>。</w:t>
            </w:r>
            <w:r>
              <w:rPr>
                <w:rFonts w:hint="eastAsia"/>
                <w:color w:val="auto"/>
                <w:sz w:val="24"/>
                <w:szCs w:val="32"/>
                <w:highlight w:val="none"/>
                <w:u w:val="none"/>
              </w:rPr>
              <w:t>本项目生活污水产生量小，生活污水经化粪池处理后用于周边菜地的施肥，不外排。</w:t>
            </w:r>
          </w:p>
          <w:p>
            <w:pPr>
              <w:adjustRightInd w:val="0"/>
              <w:snapToGrid w:val="0"/>
              <w:spacing w:line="360" w:lineRule="auto"/>
              <w:ind w:firstLine="482" w:firstLineChars="200"/>
              <w:jc w:val="left"/>
              <w:rPr>
                <w:rFonts w:hint="eastAsia"/>
                <w:b/>
                <w:color w:val="auto"/>
                <w:sz w:val="24"/>
                <w:highlight w:val="none"/>
              </w:rPr>
            </w:pPr>
            <w:bookmarkStart w:id="6" w:name="_Toc14211"/>
            <w:bookmarkStart w:id="7" w:name="_Toc532482179"/>
            <w:bookmarkStart w:id="8" w:name="_Toc9567"/>
            <w:r>
              <w:rPr>
                <w:rFonts w:hint="eastAsia"/>
                <w:b/>
                <w:color w:val="auto"/>
                <w:sz w:val="24"/>
                <w:highlight w:val="none"/>
              </w:rPr>
              <w:t>7、劳动定员及工作制度</w:t>
            </w:r>
            <w:bookmarkEnd w:id="6"/>
            <w:bookmarkEnd w:id="7"/>
            <w:bookmarkEnd w:id="8"/>
          </w:p>
          <w:p>
            <w:pPr>
              <w:adjustRightInd w:val="0"/>
              <w:snapToGrid w:val="0"/>
              <w:spacing w:line="360" w:lineRule="auto"/>
              <w:ind w:firstLine="480" w:firstLineChars="200"/>
              <w:jc w:val="left"/>
              <w:rPr>
                <w:rFonts w:hint="default" w:eastAsia="宋体"/>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项目劳动定员6人，不在厂内食宿。年工作天数300天，每天工作10小时</w:t>
            </w:r>
            <w:r>
              <w:rPr>
                <w:rFonts w:hint="eastAsia" w:cs="Times New Roman"/>
                <w:bCs/>
                <w:color w:val="auto"/>
                <w:sz w:val="24"/>
                <w:highlight w:val="none"/>
                <w:lang w:val="en-US" w:eastAsia="zh-CN"/>
              </w:rPr>
              <w:t>，</w:t>
            </w:r>
            <w:r>
              <w:rPr>
                <w:rFonts w:hint="eastAsia" w:cs="Times New Roman"/>
                <w:bCs/>
                <w:color w:val="auto"/>
                <w:sz w:val="24"/>
                <w:highlight w:val="none"/>
                <w:lang w:val="en-US" w:eastAsia="zh-CN"/>
              </w:rPr>
              <w:t>夜间不生产</w:t>
            </w:r>
            <w:r>
              <w:rPr>
                <w:rFonts w:hint="eastAsia"/>
                <w:bCs/>
                <w:color w:val="auto"/>
                <w:sz w:val="24"/>
                <w:highlight w:val="none"/>
              </w:rPr>
              <w:t>。</w:t>
            </w:r>
          </w:p>
          <w:p>
            <w:pPr>
              <w:adjustRightInd w:val="0"/>
              <w:snapToGrid w:val="0"/>
              <w:spacing w:line="360" w:lineRule="auto"/>
              <w:ind w:firstLine="482" w:firstLineChars="200"/>
              <w:rPr>
                <w:b/>
                <w:color w:val="auto"/>
                <w:sz w:val="24"/>
                <w:highlight w:val="none"/>
              </w:rPr>
            </w:pPr>
            <w:r>
              <w:rPr>
                <w:rFonts w:hint="eastAsia"/>
                <w:b/>
                <w:color w:val="auto"/>
                <w:sz w:val="24"/>
                <w:highlight w:val="none"/>
              </w:rPr>
              <w:t>8、</w:t>
            </w:r>
            <w:r>
              <w:rPr>
                <w:b/>
                <w:color w:val="auto"/>
                <w:sz w:val="24"/>
                <w:highlight w:val="none"/>
              </w:rPr>
              <w:t>总平面布置</w:t>
            </w:r>
          </w:p>
          <w:p>
            <w:pPr>
              <w:adjustRightInd w:val="0"/>
              <w:snapToGrid w:val="0"/>
              <w:spacing w:line="360" w:lineRule="auto"/>
              <w:ind w:firstLine="480" w:firstLineChars="200"/>
              <w:rPr>
                <w:rFonts w:hint="default" w:ascii="宋体" w:hAnsi="宋体" w:eastAsia="宋体" w:cs="宋体"/>
                <w:bCs/>
                <w:color w:val="auto"/>
                <w:sz w:val="24"/>
                <w:highlight w:val="none"/>
                <w:lang w:val="en-US" w:eastAsia="zh-CN"/>
              </w:rPr>
            </w:pPr>
            <w:r>
              <w:rPr>
                <w:rFonts w:hint="eastAsia"/>
                <w:bCs/>
                <w:color w:val="auto"/>
                <w:sz w:val="24"/>
                <w:highlight w:val="none"/>
              </w:rPr>
              <w:t>本项目占地</w:t>
            </w:r>
            <w:r>
              <w:rPr>
                <w:rFonts w:hint="eastAsia"/>
                <w:bCs/>
                <w:color w:val="auto"/>
                <w:sz w:val="24"/>
                <w:highlight w:val="none"/>
                <w:lang w:val="en-US" w:eastAsia="zh-CN"/>
              </w:rPr>
              <w:t>13333m</w:t>
            </w:r>
            <w:r>
              <w:rPr>
                <w:rFonts w:hint="eastAsia"/>
                <w:bCs/>
                <w:color w:val="auto"/>
                <w:sz w:val="24"/>
                <w:highlight w:val="none"/>
                <w:vertAlign w:val="superscript"/>
                <w:lang w:val="en-US" w:eastAsia="zh-CN"/>
              </w:rPr>
              <w:t>2</w:t>
            </w:r>
            <w:r>
              <w:rPr>
                <w:rFonts w:hint="eastAsia"/>
                <w:bCs/>
                <w:color w:val="auto"/>
                <w:sz w:val="24"/>
                <w:highlight w:val="none"/>
              </w:rPr>
              <w:t>，主要设置</w:t>
            </w:r>
            <w:r>
              <w:rPr>
                <w:rFonts w:hint="eastAsia"/>
                <w:bCs/>
                <w:color w:val="auto"/>
                <w:sz w:val="24"/>
                <w:highlight w:val="none"/>
                <w:lang w:val="en-US" w:eastAsia="zh-CN"/>
              </w:rPr>
              <w:t>两个南北车间</w:t>
            </w:r>
            <w:r>
              <w:rPr>
                <w:rFonts w:hint="eastAsia"/>
                <w:bCs/>
                <w:color w:val="auto"/>
                <w:sz w:val="24"/>
                <w:highlight w:val="none"/>
              </w:rPr>
              <w:t>以及办公</w:t>
            </w:r>
            <w:r>
              <w:rPr>
                <w:rFonts w:hint="eastAsia"/>
                <w:bCs/>
                <w:color w:val="auto"/>
                <w:sz w:val="24"/>
                <w:highlight w:val="none"/>
                <w:lang w:val="en-US" w:eastAsia="zh-CN"/>
              </w:rPr>
              <w:t>生活区</w:t>
            </w:r>
            <w:r>
              <w:rPr>
                <w:rFonts w:hint="eastAsia"/>
                <w:bCs/>
                <w:color w:val="auto"/>
                <w:sz w:val="24"/>
                <w:highlight w:val="none"/>
              </w:rPr>
              <w:t>。</w:t>
            </w:r>
            <w:r>
              <w:rPr>
                <w:rFonts w:hint="eastAsia"/>
                <w:bCs/>
                <w:color w:val="auto"/>
                <w:sz w:val="24"/>
                <w:highlight w:val="none"/>
                <w:lang w:val="en-US" w:eastAsia="zh-CN"/>
              </w:rPr>
              <w:t>原料堆放区设置于项目北车间，</w:t>
            </w:r>
            <w:r>
              <w:rPr>
                <w:rFonts w:hint="eastAsia"/>
                <w:bCs/>
                <w:color w:val="auto"/>
                <w:sz w:val="24"/>
                <w:highlight w:val="none"/>
              </w:rPr>
              <w:t>主要生产区域设置于项目</w:t>
            </w:r>
            <w:r>
              <w:rPr>
                <w:rFonts w:hint="eastAsia"/>
                <w:bCs/>
                <w:color w:val="auto"/>
                <w:sz w:val="24"/>
                <w:highlight w:val="none"/>
                <w:lang w:val="en-US" w:eastAsia="zh-CN"/>
              </w:rPr>
              <w:t>南车间</w:t>
            </w:r>
            <w:r>
              <w:rPr>
                <w:rFonts w:hint="eastAsia"/>
                <w:bCs/>
                <w:color w:val="auto"/>
                <w:sz w:val="24"/>
                <w:highlight w:val="none"/>
              </w:rPr>
              <w:t>，</w:t>
            </w:r>
            <w:r>
              <w:rPr>
                <w:rFonts w:hint="eastAsia"/>
                <w:bCs/>
                <w:color w:val="auto"/>
                <w:sz w:val="24"/>
                <w:highlight w:val="none"/>
                <w:lang w:val="en-US" w:eastAsia="zh-CN"/>
              </w:rPr>
              <w:t>南侧生产车间从东至西分别为破碎、粉碎筛分区、烘干区、制粒区、产品堆放区，</w:t>
            </w:r>
            <w:r>
              <w:rPr>
                <w:rFonts w:hint="eastAsia"/>
                <w:bCs/>
                <w:color w:val="auto"/>
                <w:sz w:val="24"/>
                <w:highlight w:val="none"/>
              </w:rPr>
              <w:t>生产区域设置1根排气筒</w:t>
            </w:r>
            <w:r>
              <w:rPr>
                <w:rFonts w:hint="eastAsia"/>
                <w:bCs/>
                <w:color w:val="auto"/>
                <w:sz w:val="24"/>
                <w:highlight w:val="none"/>
                <w:lang w:eastAsia="zh-CN"/>
              </w:rPr>
              <w:t>，</w:t>
            </w:r>
            <w:r>
              <w:rPr>
                <w:rFonts w:hint="eastAsia"/>
                <w:bCs/>
                <w:color w:val="auto"/>
                <w:sz w:val="24"/>
                <w:highlight w:val="none"/>
              </w:rPr>
              <w:t>与项目生</w:t>
            </w:r>
            <w:r>
              <w:rPr>
                <w:rFonts w:hint="eastAsia"/>
                <w:bCs/>
                <w:color w:val="auto"/>
                <w:sz w:val="24"/>
                <w:highlight w:val="none"/>
                <w:lang w:val="en-US" w:eastAsia="zh-CN"/>
              </w:rPr>
              <w:t>活</w:t>
            </w:r>
            <w:r>
              <w:rPr>
                <w:rFonts w:hint="eastAsia"/>
                <w:bCs/>
                <w:color w:val="auto"/>
                <w:sz w:val="24"/>
                <w:highlight w:val="none"/>
              </w:rPr>
              <w:t>区域有一定距离。项目总平面布置各功能分区明确，在满足生产要求、安全的前提下，确保工艺流程顺畅、物料运输短捷，互不干扰又相互联系，项目平面布局合理可行。</w:t>
            </w:r>
            <w:r>
              <w:rPr>
                <w:bCs/>
                <w:color w:val="auto"/>
                <w:sz w:val="24"/>
                <w:highlight w:val="none"/>
              </w:rPr>
              <w:t>厂区平面布置详见附图2。</w:t>
            </w:r>
            <w:r>
              <w:rPr>
                <w:rFonts w:hint="eastAsia"/>
                <w:bCs/>
                <w:color w:val="auto"/>
                <w:sz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3" w:type="dxa"/>
            <w:noWrap w:val="0"/>
            <w:vAlign w:val="center"/>
          </w:tcPr>
          <w:p>
            <w:pPr>
              <w:pStyle w:val="20"/>
              <w:adjustRightInd w:val="0"/>
              <w:snapToGrid w:val="0"/>
              <w:spacing w:before="0" w:beforeAutospacing="0" w:after="0" w:afterAutospacing="0"/>
              <w:jc w:val="center"/>
              <w:rPr>
                <w:rFonts w:cs="宋体"/>
                <w:color w:val="auto"/>
                <w:sz w:val="21"/>
                <w:szCs w:val="21"/>
                <w:highlight w:val="none"/>
                <w:lang w:val="en-US" w:eastAsia="zh-CN"/>
              </w:rPr>
            </w:pPr>
            <w:r>
              <w:rPr>
                <w:rFonts w:hint="eastAsia" w:cs="宋体"/>
                <w:color w:val="auto"/>
                <w:sz w:val="21"/>
                <w:szCs w:val="21"/>
                <w:highlight w:val="none"/>
                <w:lang w:val="en-US" w:eastAsia="zh-CN"/>
              </w:rPr>
              <w:t>工艺流程和产排污环节</w:t>
            </w:r>
          </w:p>
        </w:tc>
        <w:tc>
          <w:tcPr>
            <w:tcW w:w="8161" w:type="dxa"/>
            <w:noWrap w:val="0"/>
            <w:vAlign w:val="top"/>
          </w:tcPr>
          <w:p>
            <w:pPr>
              <w:adjustRightInd w:val="0"/>
              <w:snapToGrid w:val="0"/>
              <w:spacing w:line="360" w:lineRule="auto"/>
              <w:ind w:firstLine="482" w:firstLineChars="200"/>
              <w:jc w:val="left"/>
              <w:rPr>
                <w:rFonts w:hint="eastAsia"/>
                <w:b/>
                <w:bCs w:val="0"/>
                <w:color w:val="auto"/>
                <w:sz w:val="24"/>
                <w:highlight w:val="none"/>
              </w:rPr>
            </w:pPr>
            <w:r>
              <w:rPr>
                <w:rFonts w:hint="eastAsia"/>
                <w:b/>
                <w:bCs w:val="0"/>
                <w:color w:val="auto"/>
                <w:sz w:val="24"/>
                <w:highlight w:val="none"/>
              </w:rPr>
              <w:t>一、项目工艺流程</w:t>
            </w:r>
          </w:p>
          <w:p>
            <w:pPr>
              <w:adjustRightInd w:val="0"/>
              <w:snapToGrid w:val="0"/>
              <w:spacing w:line="360" w:lineRule="auto"/>
              <w:ind w:firstLine="480" w:firstLineChars="200"/>
              <w:jc w:val="left"/>
              <w:rPr>
                <w:rFonts w:hint="eastAsia"/>
                <w:bCs/>
                <w:color w:val="auto"/>
                <w:sz w:val="24"/>
                <w:highlight w:val="none"/>
              </w:rPr>
            </w:pPr>
            <w:r>
              <w:rPr>
                <w:rFonts w:hint="eastAsia"/>
                <w:bCs/>
                <w:color w:val="auto"/>
                <w:sz w:val="24"/>
                <w:highlight w:val="none"/>
              </w:rPr>
              <w:t>本项目主要生产生物质颗粒，设计年产</w:t>
            </w:r>
            <w:r>
              <w:rPr>
                <w:rFonts w:hint="eastAsia"/>
                <w:bCs/>
                <w:color w:val="auto"/>
                <w:sz w:val="24"/>
                <w:highlight w:val="none"/>
                <w:lang w:val="en-US" w:eastAsia="zh-CN"/>
              </w:rPr>
              <w:t>成型</w:t>
            </w:r>
            <w:r>
              <w:rPr>
                <w:rFonts w:hint="eastAsia"/>
                <w:bCs/>
                <w:color w:val="auto"/>
                <w:sz w:val="24"/>
                <w:highlight w:val="none"/>
              </w:rPr>
              <w:t>生物质颗粒</w:t>
            </w:r>
            <w:r>
              <w:rPr>
                <w:rFonts w:hint="eastAsia"/>
                <w:bCs/>
                <w:color w:val="auto"/>
                <w:sz w:val="24"/>
                <w:highlight w:val="none"/>
                <w:lang w:val="en-US" w:eastAsia="zh-CN"/>
              </w:rPr>
              <w:t>30</w:t>
            </w:r>
            <w:r>
              <w:rPr>
                <w:rFonts w:hint="eastAsia"/>
                <w:bCs/>
                <w:color w:val="auto"/>
                <w:sz w:val="24"/>
                <w:highlight w:val="none"/>
              </w:rPr>
              <w:t>000 吨；主要生产工艺如下所述：</w:t>
            </w:r>
            <w:r>
              <w:rPr>
                <w:rFonts w:ascii="Times New Roman" w:hAnsi="Times New Roman"/>
                <w:color w:val="auto"/>
                <w:highlight w:val="none"/>
                <w:lang w:val="zh-CN"/>
              </w:rPr>
              <w:object>
                <v:shape id="_x0000_i1025" o:spt="75" type="#_x0000_t75" style="height:193pt;width:378.15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pPr>
              <w:adjustRightInd w:val="0"/>
              <w:snapToGrid w:val="0"/>
              <w:spacing w:line="360" w:lineRule="auto"/>
              <w:jc w:val="center"/>
              <w:rPr>
                <w:color w:val="auto"/>
                <w:highlight w:val="none"/>
              </w:rPr>
            </w:pPr>
          </w:p>
          <w:p>
            <w:pPr>
              <w:adjustRightInd w:val="0"/>
              <w:snapToGrid w:val="0"/>
              <w:spacing w:line="360" w:lineRule="auto"/>
              <w:jc w:val="both"/>
              <w:rPr>
                <w:rFonts w:hint="eastAsia"/>
                <w:color w:val="auto"/>
                <w:sz w:val="24"/>
                <w:highlight w:val="none"/>
              </w:rPr>
            </w:pPr>
            <w:r>
              <w:rPr>
                <w:rFonts w:hint="eastAsia"/>
                <w:color w:val="auto"/>
                <w:sz w:val="24"/>
                <w:highlight w:val="none"/>
              </w:rPr>
              <w:t>注：上述生产设备运营过程均产生噪声。</w:t>
            </w:r>
          </w:p>
          <w:p>
            <w:pPr>
              <w:adjustRightInd w:val="0"/>
              <w:snapToGrid w:val="0"/>
              <w:jc w:val="center"/>
              <w:rPr>
                <w:rFonts w:hint="eastAsia"/>
                <w:b/>
                <w:bCs/>
                <w:color w:val="auto"/>
                <w:sz w:val="24"/>
                <w:szCs w:val="32"/>
                <w:highlight w:val="none"/>
              </w:rPr>
            </w:pPr>
            <w:r>
              <w:rPr>
                <w:rFonts w:hint="eastAsia"/>
                <w:b/>
                <w:bCs/>
                <w:color w:val="auto"/>
                <w:sz w:val="24"/>
                <w:szCs w:val="32"/>
                <w:highlight w:val="none"/>
              </w:rPr>
              <w:t xml:space="preserve">图2-1 </w:t>
            </w:r>
            <w:r>
              <w:rPr>
                <w:rFonts w:hint="eastAsia"/>
                <w:b/>
                <w:bCs/>
                <w:color w:val="auto"/>
                <w:sz w:val="24"/>
                <w:szCs w:val="32"/>
                <w:highlight w:val="none"/>
                <w:lang w:val="en-US" w:eastAsia="zh-CN"/>
              </w:rPr>
              <w:t>本</w:t>
            </w:r>
            <w:r>
              <w:rPr>
                <w:rFonts w:hint="eastAsia"/>
                <w:b/>
                <w:bCs/>
                <w:color w:val="auto"/>
                <w:sz w:val="24"/>
                <w:szCs w:val="32"/>
                <w:highlight w:val="none"/>
              </w:rPr>
              <w:t xml:space="preserve">项目工艺流程及产污环节图 </w:t>
            </w:r>
          </w:p>
          <w:p>
            <w:pPr>
              <w:adjustRightInd w:val="0"/>
              <w:snapToGrid w:val="0"/>
              <w:spacing w:before="120" w:beforeLines="50" w:line="360" w:lineRule="auto"/>
              <w:ind w:firstLine="480" w:firstLineChars="200"/>
              <w:rPr>
                <w:rFonts w:hint="eastAsia"/>
                <w:bCs/>
                <w:color w:val="auto"/>
                <w:sz w:val="24"/>
                <w:highlight w:val="none"/>
                <w:u w:val="none"/>
              </w:rPr>
            </w:pPr>
            <w:r>
              <w:rPr>
                <w:rFonts w:hint="eastAsia"/>
                <w:bCs/>
                <w:color w:val="auto"/>
                <w:sz w:val="24"/>
                <w:highlight w:val="none"/>
                <w:u w:val="none"/>
                <w:lang w:val="en-US" w:eastAsia="zh-CN"/>
              </w:rPr>
              <w:t>成型</w:t>
            </w:r>
            <w:r>
              <w:rPr>
                <w:rFonts w:hint="eastAsia"/>
                <w:bCs/>
                <w:color w:val="auto"/>
                <w:sz w:val="24"/>
                <w:highlight w:val="none"/>
                <w:u w:val="none"/>
              </w:rPr>
              <w:t>生物质颗粒生产工艺流程简述：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Cs/>
                <w:color w:val="auto"/>
                <w:sz w:val="24"/>
                <w:highlight w:val="none"/>
                <w:u w:val="single"/>
                <w:lang w:val="en-US" w:eastAsia="zh-CN"/>
              </w:rPr>
            </w:pPr>
            <w:r>
              <w:rPr>
                <w:rFonts w:hint="eastAsia"/>
                <w:bCs/>
                <w:color w:val="auto"/>
                <w:sz w:val="24"/>
                <w:highlight w:val="none"/>
                <w:u w:val="single"/>
                <w:lang w:val="en-US" w:eastAsia="zh-CN"/>
              </w:rPr>
              <w:t>原料卸料转移：</w:t>
            </w:r>
            <w:r>
              <w:rPr>
                <w:rFonts w:hint="eastAsia"/>
                <w:bCs/>
                <w:color w:val="auto"/>
                <w:sz w:val="24"/>
                <w:highlight w:val="none"/>
                <w:u w:val="single"/>
                <w:lang w:val="en-US" w:eastAsia="zh-CN"/>
              </w:rPr>
              <w:t>企业外购原料由汽车运至厂内原料仓库，生产加工时用铲车将原料铲到破碎车间，高度控制在1.5m左右，此工序主要产生卸料粉尘、转移粉尘，呈无组织排放。由于原料主要为竹屑、木屑、木材边角料，含水率较高，粉尘产生量较少，为确保原料卸料、转移过程中无可见粉尘外逸，原料卸料须在原料仓库内进行，不得露天卸料，严禁物料超出铲斗箱板，大风天气停止原料铲运至破碎车间或采取铲斗加盖篷布措施防治粉尘外逸，同时对转移路线、车间内落地粉尘定期进行打扫清理，保持地面清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auto"/>
                <w:sz w:val="24"/>
                <w:highlight w:val="none"/>
                <w:u w:val="single"/>
                <w:lang w:val="en-US" w:eastAsia="zh-CN"/>
              </w:rPr>
            </w:pPr>
            <w:r>
              <w:rPr>
                <w:rFonts w:hint="eastAsia"/>
                <w:bCs/>
                <w:color w:val="auto"/>
                <w:sz w:val="24"/>
                <w:highlight w:val="none"/>
                <w:u w:val="single"/>
                <w:lang w:val="en-US" w:eastAsia="zh-CN"/>
              </w:rPr>
              <w:t>破碎：由于收购的原料中含有边角料等大块径原料，需经破碎机将其破碎为尺寸较小的块状物料，首先用铲车将原料倒入料斗中，高度控制在1.5m左右，此工序主要产生噪声、粉尘。破碎机产生的粉尘通过管道连接设备呼吸口进行收集后经“旋风+布袋”处理后通过15m高排气筒（DA001）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auto"/>
                <w:sz w:val="24"/>
                <w:highlight w:val="none"/>
                <w:u w:val="single"/>
              </w:rPr>
            </w:pPr>
            <w:r>
              <w:rPr>
                <w:rFonts w:hint="eastAsia"/>
                <w:bCs/>
                <w:color w:val="auto"/>
                <w:sz w:val="24"/>
                <w:highlight w:val="none"/>
                <w:u w:val="single"/>
              </w:rPr>
              <w:t>粉碎</w:t>
            </w:r>
            <w:r>
              <w:rPr>
                <w:rFonts w:hint="eastAsia"/>
                <w:bCs/>
                <w:color w:val="auto"/>
                <w:sz w:val="24"/>
                <w:highlight w:val="none"/>
                <w:u w:val="single"/>
                <w:lang w:val="en-US" w:eastAsia="zh-CN"/>
              </w:rPr>
              <w:t>筛分</w:t>
            </w:r>
            <w:r>
              <w:rPr>
                <w:rFonts w:hint="eastAsia"/>
                <w:bCs/>
                <w:color w:val="auto"/>
                <w:sz w:val="24"/>
                <w:highlight w:val="none"/>
                <w:u w:val="single"/>
              </w:rPr>
              <w:t>：破碎后</w:t>
            </w:r>
            <w:r>
              <w:rPr>
                <w:rFonts w:hint="eastAsia"/>
                <w:bCs/>
                <w:color w:val="auto"/>
                <w:sz w:val="24"/>
                <w:highlight w:val="none"/>
                <w:u w:val="single"/>
                <w:lang w:val="en-US" w:eastAsia="zh-CN"/>
              </w:rPr>
              <w:t>原料</w:t>
            </w:r>
            <w:r>
              <w:rPr>
                <w:rFonts w:hint="eastAsia"/>
                <w:bCs/>
                <w:color w:val="auto"/>
                <w:sz w:val="24"/>
                <w:highlight w:val="none"/>
                <w:u w:val="single"/>
              </w:rPr>
              <w:t>的</w:t>
            </w:r>
            <w:r>
              <w:rPr>
                <w:rFonts w:hint="eastAsia"/>
                <w:bCs/>
                <w:color w:val="auto"/>
                <w:sz w:val="24"/>
                <w:highlight w:val="none"/>
                <w:u w:val="single"/>
                <w:lang w:val="en-US" w:eastAsia="zh-CN"/>
              </w:rPr>
              <w:t>通过封闭的输送带输送到</w:t>
            </w:r>
            <w:r>
              <w:rPr>
                <w:rFonts w:hint="eastAsia"/>
                <w:bCs/>
                <w:color w:val="auto"/>
                <w:sz w:val="24"/>
                <w:highlight w:val="none"/>
                <w:u w:val="single"/>
              </w:rPr>
              <w:t>粉碎机</w:t>
            </w:r>
            <w:r>
              <w:rPr>
                <w:rFonts w:hint="eastAsia"/>
                <w:bCs/>
                <w:color w:val="auto"/>
                <w:sz w:val="24"/>
                <w:highlight w:val="none"/>
                <w:u w:val="single"/>
                <w:lang w:val="en-US" w:eastAsia="zh-CN"/>
              </w:rPr>
              <w:t>封闭</w:t>
            </w:r>
            <w:r>
              <w:rPr>
                <w:rFonts w:hint="eastAsia"/>
                <w:bCs/>
                <w:color w:val="auto"/>
                <w:sz w:val="24"/>
                <w:highlight w:val="none"/>
                <w:u w:val="single"/>
              </w:rPr>
              <w:t>粉碎</w:t>
            </w:r>
            <w:r>
              <w:rPr>
                <w:rFonts w:hint="eastAsia"/>
                <w:bCs/>
                <w:color w:val="auto"/>
                <w:sz w:val="24"/>
                <w:highlight w:val="none"/>
                <w:u w:val="single"/>
                <w:lang w:eastAsia="zh-CN"/>
              </w:rPr>
              <w:t>，</w:t>
            </w:r>
            <w:r>
              <w:rPr>
                <w:rFonts w:hint="eastAsia"/>
                <w:bCs/>
                <w:color w:val="auto"/>
                <w:sz w:val="24"/>
                <w:highlight w:val="none"/>
                <w:u w:val="single"/>
              </w:rPr>
              <w:t>粉碎后</w:t>
            </w:r>
            <w:r>
              <w:rPr>
                <w:rFonts w:hint="eastAsia"/>
                <w:bCs/>
                <w:color w:val="auto"/>
                <w:sz w:val="24"/>
                <w:highlight w:val="none"/>
                <w:u w:val="single"/>
                <w:lang w:val="en-US" w:eastAsia="zh-CN"/>
              </w:rPr>
              <w:t>原料</w:t>
            </w:r>
            <w:r>
              <w:rPr>
                <w:rFonts w:hint="eastAsia"/>
                <w:bCs/>
                <w:color w:val="auto"/>
                <w:sz w:val="24"/>
                <w:highlight w:val="none"/>
                <w:u w:val="single"/>
              </w:rPr>
              <w:t>通过</w:t>
            </w:r>
            <w:r>
              <w:rPr>
                <w:rFonts w:hint="eastAsia"/>
                <w:bCs/>
                <w:color w:val="auto"/>
                <w:sz w:val="24"/>
                <w:highlight w:val="none"/>
                <w:u w:val="single"/>
                <w:lang w:val="en-US" w:eastAsia="zh-CN"/>
              </w:rPr>
              <w:t>筛分</w:t>
            </w:r>
            <w:r>
              <w:rPr>
                <w:rFonts w:hint="eastAsia"/>
                <w:bCs/>
                <w:color w:val="auto"/>
                <w:sz w:val="24"/>
                <w:highlight w:val="none"/>
                <w:u w:val="single"/>
              </w:rPr>
              <w:t>机筛分，使粒度小于</w:t>
            </w:r>
            <w:r>
              <w:rPr>
                <w:rFonts w:hint="eastAsia"/>
                <w:bCs/>
                <w:color w:val="auto"/>
                <w:sz w:val="24"/>
                <w:highlight w:val="none"/>
                <w:u w:val="single"/>
                <w:lang w:val="en-US" w:eastAsia="zh-CN"/>
              </w:rPr>
              <w:t>8</w:t>
            </w:r>
            <w:r>
              <w:rPr>
                <w:rFonts w:hint="eastAsia"/>
                <w:bCs/>
                <w:color w:val="auto"/>
                <w:sz w:val="24"/>
                <w:highlight w:val="none"/>
                <w:u w:val="single"/>
              </w:rPr>
              <w:t>mm</w:t>
            </w:r>
            <w:r>
              <w:rPr>
                <w:rFonts w:hint="eastAsia"/>
                <w:bCs/>
                <w:color w:val="auto"/>
                <w:sz w:val="24"/>
                <w:highlight w:val="none"/>
                <w:u w:val="single"/>
                <w:lang w:eastAsia="zh-CN"/>
              </w:rPr>
              <w:t>，</w:t>
            </w:r>
            <w:r>
              <w:rPr>
                <w:rFonts w:hint="eastAsia"/>
                <w:bCs/>
                <w:color w:val="auto"/>
                <w:sz w:val="24"/>
                <w:highlight w:val="none"/>
                <w:u w:val="single"/>
              </w:rPr>
              <w:t>不符合制粒要求的原料</w:t>
            </w:r>
            <w:r>
              <w:rPr>
                <w:rFonts w:hint="eastAsia"/>
                <w:bCs/>
                <w:color w:val="auto"/>
                <w:sz w:val="24"/>
                <w:highlight w:val="none"/>
                <w:u w:val="single"/>
                <w:lang w:val="en-US" w:eastAsia="zh-CN"/>
              </w:rPr>
              <w:t>重新返回</w:t>
            </w:r>
            <w:r>
              <w:rPr>
                <w:rFonts w:hint="eastAsia"/>
                <w:bCs/>
                <w:color w:val="auto"/>
                <w:sz w:val="24"/>
                <w:highlight w:val="none"/>
                <w:u w:val="single"/>
              </w:rPr>
              <w:t>粉碎，符合要求的进入烘干工艺。此工序主要产生噪声</w:t>
            </w:r>
            <w:r>
              <w:rPr>
                <w:rFonts w:hint="eastAsia"/>
                <w:bCs/>
                <w:color w:val="auto"/>
                <w:sz w:val="24"/>
                <w:highlight w:val="none"/>
                <w:u w:val="single"/>
                <w:lang w:val="en-US" w:eastAsia="zh-CN"/>
              </w:rPr>
              <w:t>和</w:t>
            </w:r>
            <w:r>
              <w:rPr>
                <w:rFonts w:hint="eastAsia"/>
                <w:bCs/>
                <w:color w:val="auto"/>
                <w:sz w:val="24"/>
                <w:highlight w:val="none"/>
                <w:u w:val="single"/>
              </w:rPr>
              <w:t>粉尘。</w:t>
            </w:r>
            <w:r>
              <w:rPr>
                <w:rFonts w:hint="eastAsia"/>
                <w:bCs/>
                <w:color w:val="auto"/>
                <w:sz w:val="24"/>
                <w:highlight w:val="none"/>
                <w:u w:val="single"/>
                <w:lang w:val="en-US" w:eastAsia="zh-CN"/>
              </w:rPr>
              <w:t>产生的粉尘</w:t>
            </w:r>
            <w:r>
              <w:rPr>
                <w:rFonts w:hint="eastAsia"/>
                <w:bCs/>
                <w:color w:val="auto"/>
                <w:sz w:val="24"/>
                <w:highlight w:val="none"/>
                <w:u w:val="single"/>
              </w:rPr>
              <w:t>通过管道连接设备呼吸口进行收集</w:t>
            </w:r>
            <w:r>
              <w:rPr>
                <w:rFonts w:hint="eastAsia"/>
                <w:bCs/>
                <w:color w:val="auto"/>
                <w:sz w:val="24"/>
                <w:highlight w:val="none"/>
                <w:u w:val="single"/>
                <w:lang w:eastAsia="zh-CN"/>
              </w:rPr>
              <w:t>，</w:t>
            </w:r>
            <w:r>
              <w:rPr>
                <w:rFonts w:hint="eastAsia"/>
                <w:bCs/>
                <w:color w:val="auto"/>
                <w:sz w:val="24"/>
                <w:highlight w:val="none"/>
                <w:u w:val="single"/>
                <w:lang w:val="en-US" w:eastAsia="zh-CN"/>
              </w:rPr>
              <w:t>经</w:t>
            </w:r>
            <w:r>
              <w:rPr>
                <w:rFonts w:hint="eastAsia"/>
                <w:bCs/>
                <w:color w:val="auto"/>
                <w:sz w:val="24"/>
                <w:highlight w:val="none"/>
                <w:u w:val="single"/>
              </w:rPr>
              <w:t>“旋风+布袋”处理后</w:t>
            </w:r>
            <w:r>
              <w:rPr>
                <w:rFonts w:hint="eastAsia"/>
                <w:bCs/>
                <w:color w:val="auto"/>
                <w:sz w:val="24"/>
                <w:highlight w:val="none"/>
                <w:u w:val="single"/>
                <w:lang w:val="en-US" w:eastAsia="zh-CN"/>
              </w:rPr>
              <w:t>通过</w:t>
            </w:r>
            <w:r>
              <w:rPr>
                <w:rFonts w:hint="eastAsia"/>
                <w:bCs/>
                <w:color w:val="auto"/>
                <w:sz w:val="24"/>
                <w:highlight w:val="none"/>
                <w:u w:val="single"/>
              </w:rPr>
              <w:t>15m高排气筒（DA001）排放。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auto"/>
                <w:sz w:val="24"/>
                <w:highlight w:val="none"/>
                <w:u w:val="single"/>
              </w:rPr>
            </w:pPr>
            <w:r>
              <w:rPr>
                <w:rFonts w:hint="eastAsia"/>
                <w:bCs/>
                <w:color w:val="auto"/>
                <w:sz w:val="24"/>
                <w:highlight w:val="none"/>
                <w:u w:val="single"/>
                <w:lang w:val="en-US" w:eastAsia="zh-CN"/>
              </w:rPr>
              <w:t>烘干：粉碎后的合格原料经</w:t>
            </w:r>
            <w:r>
              <w:rPr>
                <w:rFonts w:hint="eastAsia"/>
                <w:bCs/>
                <w:color w:val="auto"/>
                <w:sz w:val="24"/>
                <w:highlight w:val="none"/>
                <w:u w:val="single"/>
                <w:lang w:val="en-US" w:eastAsia="zh-CN"/>
              </w:rPr>
              <w:t>封闭的输送带输送</w:t>
            </w:r>
            <w:r>
              <w:rPr>
                <w:rFonts w:hint="eastAsia"/>
                <w:bCs/>
                <w:color w:val="auto"/>
                <w:sz w:val="24"/>
                <w:highlight w:val="none"/>
                <w:u w:val="single"/>
                <w:lang w:val="en-US" w:eastAsia="zh-CN"/>
              </w:rPr>
              <w:t>进入烘干炉进行烘干，烘干热源由燃生物质热风炉提供，本项目热风炉为直接式热风炉（燃生物质热气直接和物料接触加热），烘干温度约 95~110℃，烘干时间约10min。烘干后的原料经</w:t>
            </w:r>
            <w:r>
              <w:rPr>
                <w:rFonts w:hint="eastAsia"/>
                <w:bCs/>
                <w:color w:val="auto"/>
                <w:sz w:val="24"/>
                <w:highlight w:val="none"/>
                <w:u w:val="single"/>
                <w:lang w:val="en-US" w:eastAsia="zh-CN"/>
              </w:rPr>
              <w:t>封闭的输送带输送</w:t>
            </w:r>
            <w:r>
              <w:rPr>
                <w:rFonts w:hint="eastAsia"/>
                <w:bCs/>
                <w:color w:val="auto"/>
                <w:sz w:val="24"/>
                <w:highlight w:val="none"/>
                <w:u w:val="single"/>
                <w:lang w:val="en-US" w:eastAsia="zh-CN"/>
              </w:rPr>
              <w:t>进入半成品料仓暂存，同时冷却。烘干采用的燃料为自产的成型生物质颗粒。此工序主要产生烘干废气、噪声。产生的废气</w:t>
            </w:r>
            <w:r>
              <w:rPr>
                <w:rFonts w:hint="eastAsia"/>
                <w:bCs/>
                <w:color w:val="auto"/>
                <w:sz w:val="24"/>
                <w:highlight w:val="none"/>
                <w:u w:val="single"/>
              </w:rPr>
              <w:t>通过管道连接设备呼吸口进行收集</w:t>
            </w:r>
            <w:r>
              <w:rPr>
                <w:rFonts w:hint="eastAsia"/>
                <w:bCs/>
                <w:color w:val="auto"/>
                <w:sz w:val="24"/>
                <w:highlight w:val="none"/>
                <w:u w:val="single"/>
                <w:lang w:eastAsia="zh-CN"/>
              </w:rPr>
              <w:t>，</w:t>
            </w:r>
            <w:r>
              <w:rPr>
                <w:rFonts w:hint="eastAsia"/>
                <w:bCs/>
                <w:color w:val="auto"/>
                <w:sz w:val="24"/>
                <w:highlight w:val="none"/>
                <w:u w:val="single"/>
                <w:lang w:val="en-US" w:eastAsia="zh-CN"/>
              </w:rPr>
              <w:t>经</w:t>
            </w:r>
            <w:r>
              <w:rPr>
                <w:rFonts w:hint="eastAsia"/>
                <w:bCs/>
                <w:color w:val="auto"/>
                <w:sz w:val="24"/>
                <w:highlight w:val="none"/>
                <w:u w:val="single"/>
              </w:rPr>
              <w:t>“旋风+布袋”处理后</w:t>
            </w:r>
            <w:r>
              <w:rPr>
                <w:rFonts w:hint="eastAsia"/>
                <w:bCs/>
                <w:color w:val="auto"/>
                <w:sz w:val="24"/>
                <w:highlight w:val="none"/>
                <w:u w:val="single"/>
                <w:lang w:val="en-US" w:eastAsia="zh-CN"/>
              </w:rPr>
              <w:t>通过</w:t>
            </w:r>
            <w:r>
              <w:rPr>
                <w:rFonts w:hint="eastAsia"/>
                <w:bCs/>
                <w:color w:val="auto"/>
                <w:sz w:val="24"/>
                <w:highlight w:val="none"/>
                <w:u w:val="single"/>
              </w:rPr>
              <w:t>15m高排气筒（DA001）排放。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auto"/>
                <w:sz w:val="24"/>
                <w:highlight w:val="none"/>
                <w:u w:val="single"/>
              </w:rPr>
            </w:pPr>
            <w:r>
              <w:rPr>
                <w:rFonts w:hint="eastAsia"/>
                <w:bCs/>
                <w:color w:val="auto"/>
                <w:sz w:val="24"/>
                <w:highlight w:val="none"/>
                <w:u w:val="single"/>
                <w:lang w:val="en-US" w:eastAsia="zh-CN"/>
              </w:rPr>
              <w:t>制粒</w:t>
            </w:r>
            <w:r>
              <w:rPr>
                <w:rFonts w:hint="eastAsia"/>
                <w:bCs/>
                <w:color w:val="auto"/>
                <w:sz w:val="24"/>
                <w:highlight w:val="none"/>
                <w:u w:val="single"/>
              </w:rPr>
              <w:t>：</w:t>
            </w:r>
            <w:r>
              <w:rPr>
                <w:rFonts w:hint="eastAsia"/>
                <w:bCs/>
                <w:color w:val="auto"/>
                <w:sz w:val="24"/>
                <w:highlight w:val="none"/>
                <w:u w:val="single"/>
                <w:lang w:val="en-US" w:eastAsia="zh-CN"/>
              </w:rPr>
              <w:t>半成品料仓冷却后的</w:t>
            </w:r>
            <w:r>
              <w:rPr>
                <w:rFonts w:hint="eastAsia"/>
                <w:bCs/>
                <w:color w:val="auto"/>
                <w:sz w:val="24"/>
                <w:highlight w:val="none"/>
                <w:u w:val="single"/>
                <w:lang w:val="en-US" w:eastAsia="zh-CN"/>
              </w:rPr>
              <w:t>原料经封闭的输送带进入</w:t>
            </w:r>
            <w:r>
              <w:rPr>
                <w:rFonts w:hint="eastAsia"/>
                <w:bCs/>
                <w:color w:val="auto"/>
                <w:sz w:val="24"/>
                <w:highlight w:val="none"/>
                <w:u w:val="single"/>
                <w:lang w:val="en-US" w:eastAsia="zh-CN"/>
              </w:rPr>
              <w:t>制粒</w:t>
            </w:r>
            <w:r>
              <w:rPr>
                <w:rFonts w:hint="eastAsia"/>
                <w:bCs/>
                <w:color w:val="auto"/>
                <w:sz w:val="24"/>
                <w:highlight w:val="none"/>
                <w:u w:val="single"/>
              </w:rPr>
              <w:t>机通过挤压成型制成成品，挤压过程为物理过程，不添加任何胶黏剂，不发生化学反应，造粒过程不需要加热。成型的生物质颗粒通过皮带输送机进入成品仓库暂存。此工序主要产生噪声、</w:t>
            </w:r>
            <w:r>
              <w:rPr>
                <w:rFonts w:hint="eastAsia"/>
                <w:bCs/>
                <w:color w:val="auto"/>
                <w:sz w:val="24"/>
                <w:highlight w:val="none"/>
                <w:u w:val="single"/>
                <w:lang w:val="en-US" w:eastAsia="zh-CN"/>
              </w:rPr>
              <w:t>制粒</w:t>
            </w:r>
            <w:r>
              <w:rPr>
                <w:rFonts w:hint="eastAsia"/>
                <w:bCs/>
                <w:color w:val="auto"/>
                <w:sz w:val="24"/>
                <w:highlight w:val="none"/>
                <w:u w:val="single"/>
              </w:rPr>
              <w:t>粉尘。</w:t>
            </w:r>
            <w:r>
              <w:rPr>
                <w:rFonts w:hint="eastAsia"/>
                <w:bCs/>
                <w:color w:val="auto"/>
                <w:sz w:val="24"/>
                <w:highlight w:val="none"/>
                <w:u w:val="single"/>
                <w:lang w:val="en-US" w:eastAsia="zh-CN"/>
              </w:rPr>
              <w:t>产生的粉尘</w:t>
            </w:r>
            <w:r>
              <w:rPr>
                <w:rFonts w:hint="eastAsia"/>
                <w:bCs/>
                <w:color w:val="auto"/>
                <w:sz w:val="24"/>
                <w:highlight w:val="none"/>
                <w:u w:val="single"/>
              </w:rPr>
              <w:t>通过管道连接设备呼吸口进行收集</w:t>
            </w:r>
            <w:r>
              <w:rPr>
                <w:rFonts w:hint="eastAsia"/>
                <w:bCs/>
                <w:color w:val="auto"/>
                <w:sz w:val="24"/>
                <w:highlight w:val="none"/>
                <w:u w:val="single"/>
                <w:lang w:eastAsia="zh-CN"/>
              </w:rPr>
              <w:t>，</w:t>
            </w:r>
            <w:r>
              <w:rPr>
                <w:rFonts w:hint="eastAsia"/>
                <w:bCs/>
                <w:color w:val="auto"/>
                <w:sz w:val="24"/>
                <w:highlight w:val="none"/>
                <w:u w:val="single"/>
                <w:lang w:val="en-US" w:eastAsia="zh-CN"/>
              </w:rPr>
              <w:t>经</w:t>
            </w:r>
            <w:r>
              <w:rPr>
                <w:rFonts w:hint="eastAsia"/>
                <w:bCs/>
                <w:color w:val="auto"/>
                <w:sz w:val="24"/>
                <w:highlight w:val="none"/>
                <w:u w:val="single"/>
              </w:rPr>
              <w:t>“旋风+布袋”处理后</w:t>
            </w:r>
            <w:r>
              <w:rPr>
                <w:rFonts w:hint="eastAsia"/>
                <w:bCs/>
                <w:color w:val="auto"/>
                <w:sz w:val="24"/>
                <w:highlight w:val="none"/>
                <w:u w:val="single"/>
                <w:lang w:val="en-US" w:eastAsia="zh-CN"/>
              </w:rPr>
              <w:t>通过</w:t>
            </w:r>
            <w:r>
              <w:rPr>
                <w:rFonts w:hint="eastAsia"/>
                <w:bCs/>
                <w:color w:val="auto"/>
                <w:sz w:val="24"/>
                <w:highlight w:val="none"/>
                <w:u w:val="single"/>
              </w:rPr>
              <w:t>15m高排气筒（DA001）排放。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Cs/>
                <w:color w:val="auto"/>
                <w:sz w:val="24"/>
                <w:highlight w:val="none"/>
                <w:u w:val="single"/>
                <w:lang w:val="en-US" w:eastAsia="zh-CN"/>
              </w:rPr>
            </w:pPr>
            <w:r>
              <w:rPr>
                <w:rFonts w:hint="eastAsia"/>
                <w:bCs/>
                <w:color w:val="auto"/>
                <w:sz w:val="24"/>
                <w:highlight w:val="none"/>
                <w:u w:val="single"/>
              </w:rPr>
              <w:t>成品、包装：压制成型的</w:t>
            </w:r>
            <w:r>
              <w:rPr>
                <w:rFonts w:hint="eastAsia"/>
                <w:bCs/>
                <w:color w:val="auto"/>
                <w:sz w:val="24"/>
                <w:highlight w:val="none"/>
                <w:u w:val="single"/>
                <w:lang w:val="en-US" w:eastAsia="zh-CN"/>
              </w:rPr>
              <w:t>成型</w:t>
            </w:r>
            <w:r>
              <w:rPr>
                <w:rFonts w:hint="eastAsia"/>
                <w:bCs/>
                <w:color w:val="auto"/>
                <w:sz w:val="24"/>
                <w:highlight w:val="none"/>
                <w:u w:val="single"/>
              </w:rPr>
              <w:t>生物质颗粒进行装袋、待售。</w:t>
            </w:r>
            <w:r>
              <w:rPr>
                <w:rFonts w:hint="eastAsia"/>
                <w:bCs/>
                <w:color w:val="auto"/>
                <w:sz w:val="24"/>
                <w:highlight w:val="none"/>
                <w:u w:val="single"/>
              </w:rPr>
              <w:t>此工序主要产生噪声</w:t>
            </w:r>
            <w:r>
              <w:rPr>
                <w:rFonts w:hint="eastAsia"/>
                <w:bCs/>
                <w:color w:val="auto"/>
                <w:sz w:val="24"/>
                <w:highlight w:val="none"/>
                <w:u w:val="single"/>
                <w:lang w:eastAsia="zh-CN"/>
              </w:rPr>
              <w:t>，</w:t>
            </w:r>
            <w:r>
              <w:rPr>
                <w:rFonts w:hint="eastAsia"/>
                <w:bCs/>
                <w:color w:val="auto"/>
                <w:sz w:val="24"/>
                <w:highlight w:val="none"/>
                <w:u w:val="single"/>
                <w:lang w:val="en-US" w:eastAsia="zh-CN"/>
              </w:rPr>
              <w:t>少量的无组织粉尘，对车间内落地粉尘定期进行打扫清理，保持地面清洁。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Cs/>
                <w:color w:val="auto"/>
                <w:sz w:val="24"/>
                <w:highlight w:val="none"/>
                <w:u w:val="single"/>
                <w:lang w:val="en-US" w:eastAsia="zh-CN"/>
              </w:rPr>
            </w:pPr>
            <w:r>
              <w:rPr>
                <w:rFonts w:hint="eastAsia"/>
                <w:bCs/>
                <w:color w:val="auto"/>
                <w:sz w:val="24"/>
                <w:highlight w:val="none"/>
                <w:u w:val="single"/>
                <w:lang w:val="en-US" w:eastAsia="zh-CN"/>
              </w:rPr>
              <w:t>环评要求</w:t>
            </w:r>
            <w:r>
              <w:rPr>
                <w:rFonts w:hint="eastAsia"/>
                <w:bCs/>
                <w:color w:val="auto"/>
                <w:sz w:val="24"/>
                <w:highlight w:val="none"/>
                <w:u w:val="single"/>
              </w:rPr>
              <w:t>本项目必须加强运输车辆管理，运输须采用帆布覆盖，原料卸料须在原料仓库内进行，不得露天卸料。原料转移过程中严禁物料超出铲斗箱板，大风天气停止原料铲运或采取铲斗加盖篷布措施防治粉尘外逸，同时对转移路线、车间内落地粉尘定期进行打扫清理，保持地面清洁。</w:t>
            </w:r>
            <w:r>
              <w:rPr>
                <w:rFonts w:hint="eastAsia"/>
                <w:bCs/>
                <w:color w:val="auto"/>
                <w:sz w:val="24"/>
                <w:highlight w:val="none"/>
                <w:u w:val="single"/>
                <w:lang w:val="en-US" w:eastAsia="zh-CN"/>
              </w:rPr>
              <w:t>设备产尘点</w:t>
            </w:r>
            <w:r>
              <w:rPr>
                <w:rFonts w:hint="eastAsia"/>
                <w:bCs/>
                <w:color w:val="auto"/>
                <w:sz w:val="24"/>
                <w:highlight w:val="none"/>
                <w:u w:val="single"/>
                <w:lang w:eastAsia="zh-CN"/>
              </w:rPr>
              <w:t>通过管道密闭连接收集经“旋风+布袋”处理，</w:t>
            </w:r>
            <w:r>
              <w:rPr>
                <w:rFonts w:hint="eastAsia"/>
                <w:bCs/>
                <w:color w:val="auto"/>
                <w:sz w:val="24"/>
                <w:highlight w:val="none"/>
                <w:u w:val="single"/>
                <w:lang w:val="en-US" w:eastAsia="zh-CN"/>
              </w:rPr>
              <w:t>粉碎、筛分、烘干、制粒工序间物料运输采用封闭式的输送带输送转运。</w:t>
            </w:r>
          </w:p>
          <w:p>
            <w:pPr>
              <w:adjustRightInd w:val="0"/>
              <w:snapToGrid w:val="0"/>
              <w:spacing w:line="360" w:lineRule="auto"/>
              <w:ind w:firstLine="482" w:firstLineChars="200"/>
              <w:jc w:val="left"/>
              <w:rPr>
                <w:rFonts w:hint="eastAsia" w:ascii="Times New Roman" w:hAnsi="Times New Roman" w:eastAsia="宋体" w:cs="Times New Roman"/>
                <w:b/>
                <w:bCs w:val="0"/>
                <w:color w:val="auto"/>
                <w:sz w:val="24"/>
                <w:highlight w:val="none"/>
                <w:u w:val="none"/>
              </w:rPr>
            </w:pPr>
            <w:r>
              <w:rPr>
                <w:rFonts w:hint="eastAsia" w:ascii="Times New Roman" w:hAnsi="Times New Roman" w:eastAsia="宋体" w:cs="Times New Roman"/>
                <w:b/>
                <w:bCs w:val="0"/>
                <w:color w:val="auto"/>
                <w:sz w:val="24"/>
                <w:highlight w:val="none"/>
                <w:u w:val="none"/>
              </w:rPr>
              <w:t>二、项目产污环节</w:t>
            </w:r>
          </w:p>
          <w:p>
            <w:pPr>
              <w:adjustRightInd w:val="0"/>
              <w:snapToGrid w:val="0"/>
              <w:spacing w:before="120" w:beforeLines="50" w:line="360" w:lineRule="auto"/>
              <w:ind w:firstLine="480" w:firstLineChars="200"/>
              <w:rPr>
                <w:rFonts w:hint="eastAsia"/>
                <w:bCs/>
                <w:color w:val="auto"/>
                <w:sz w:val="24"/>
                <w:highlight w:val="none"/>
                <w:u w:val="none"/>
              </w:rPr>
            </w:pPr>
            <w:r>
              <w:rPr>
                <w:rFonts w:hint="eastAsia"/>
                <w:bCs/>
                <w:color w:val="auto"/>
                <w:sz w:val="24"/>
                <w:highlight w:val="none"/>
                <w:u w:val="none"/>
              </w:rPr>
              <w:t xml:space="preserve">根据上述工艺流程分析说明，项目主要污染工序如下： </w:t>
            </w:r>
          </w:p>
          <w:p>
            <w:pPr>
              <w:adjustRightInd w:val="0"/>
              <w:snapToGrid w:val="0"/>
              <w:spacing w:line="360" w:lineRule="auto"/>
              <w:jc w:val="center"/>
              <w:rPr>
                <w:rFonts w:hint="eastAsia"/>
                <w:b/>
                <w:color w:val="auto"/>
                <w:sz w:val="24"/>
                <w:highlight w:val="none"/>
                <w:u w:val="none"/>
              </w:rPr>
            </w:pPr>
            <w:r>
              <w:rPr>
                <w:rFonts w:hint="eastAsia"/>
                <w:b/>
                <w:color w:val="auto"/>
                <w:sz w:val="24"/>
                <w:highlight w:val="none"/>
                <w:u w:val="none"/>
              </w:rPr>
              <w:t>表2-</w:t>
            </w:r>
            <w:r>
              <w:rPr>
                <w:rFonts w:hint="eastAsia"/>
                <w:b/>
                <w:color w:val="auto"/>
                <w:sz w:val="24"/>
                <w:highlight w:val="none"/>
                <w:u w:val="none"/>
                <w:lang w:val="en-US" w:eastAsia="zh-CN"/>
              </w:rPr>
              <w:t>6</w:t>
            </w:r>
            <w:r>
              <w:rPr>
                <w:rFonts w:hint="eastAsia"/>
                <w:b/>
                <w:color w:val="auto"/>
                <w:sz w:val="24"/>
                <w:highlight w:val="none"/>
                <w:u w:val="none"/>
              </w:rPr>
              <w:t xml:space="preserve">  项目产排污环节情况一览表</w:t>
            </w:r>
          </w:p>
          <w:tbl>
            <w:tblPr>
              <w:tblStyle w:val="23"/>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601"/>
              <w:gridCol w:w="1477"/>
              <w:gridCol w:w="1917"/>
              <w:gridCol w:w="3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6" w:type="pct"/>
                  <w:gridSpan w:val="2"/>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主要污染物</w:t>
                  </w: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来源</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排产污节点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99" w:type="pct"/>
                  <w:vMerge w:val="restar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营运期</w:t>
                  </w:r>
                </w:p>
              </w:tc>
              <w:tc>
                <w:tcPr>
                  <w:tcW w:w="376" w:type="pct"/>
                  <w:vMerge w:val="restar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废气</w:t>
                  </w: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原料仓库</w:t>
                  </w:r>
                </w:p>
              </w:tc>
              <w:tc>
                <w:tcPr>
                  <w:tcW w:w="1202" w:type="pct"/>
                  <w:vMerge w:val="restar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卸料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eastAsia" w:ascii="Times New Roman" w:hAnsi="Times New Roman" w:eastAsia="宋体" w:cs="Times New Roman"/>
                      <w:b/>
                      <w:bCs/>
                      <w:color w:val="auto"/>
                      <w:sz w:val="21"/>
                      <w:szCs w:val="21"/>
                      <w:highlight w:val="none"/>
                      <w:lang w:val="en-US" w:eastAsia="zh-CN"/>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破碎</w:t>
                  </w:r>
                </w:p>
              </w:tc>
              <w:tc>
                <w:tcPr>
                  <w:tcW w:w="1202"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破碎工序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b/>
                      <w:bCs/>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粉碎</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筛分</w:t>
                  </w:r>
                </w:p>
              </w:tc>
              <w:tc>
                <w:tcPr>
                  <w:tcW w:w="1202"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粉碎</w:t>
                  </w:r>
                  <w:r>
                    <w:rPr>
                      <w:rFonts w:hint="eastAsia" w:ascii="Times New Roman" w:hAnsi="Times New Roman" w:eastAsia="宋体" w:cs="Times New Roman"/>
                      <w:color w:val="auto"/>
                      <w:sz w:val="21"/>
                      <w:szCs w:val="21"/>
                      <w:highlight w:val="none"/>
                      <w:lang w:val="en-US" w:eastAsia="zh-CN"/>
                    </w:rPr>
                    <w:t>筛分</w:t>
                  </w:r>
                  <w:r>
                    <w:rPr>
                      <w:rFonts w:hint="default" w:ascii="Times New Roman" w:hAnsi="Times New Roman" w:eastAsia="宋体" w:cs="Times New Roman"/>
                      <w:color w:val="auto"/>
                      <w:sz w:val="21"/>
                      <w:szCs w:val="21"/>
                      <w:highlight w:val="none"/>
                    </w:rPr>
                    <w:t>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b/>
                      <w:bCs/>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制粒</w:t>
                  </w:r>
                </w:p>
              </w:tc>
              <w:tc>
                <w:tcPr>
                  <w:tcW w:w="1202"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制粒工序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b/>
                      <w:bCs/>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出料</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b/>
                      <w:bCs/>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生物质燃烧</w:t>
                  </w:r>
                  <w:r>
                    <w:rPr>
                      <w:rFonts w:hint="eastAsia" w:ascii="Times New Roman" w:hAnsi="Times New Roman" w:cs="Times New Roman"/>
                      <w:color w:val="auto"/>
                      <w:sz w:val="21"/>
                      <w:szCs w:val="21"/>
                      <w:highlight w:val="none"/>
                      <w:lang w:val="en-US" w:eastAsia="zh-CN"/>
                    </w:rPr>
                    <w:t>废气和烘干废气</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X</w:t>
                  </w:r>
                  <w:r>
                    <w:rPr>
                      <w:rFonts w:hint="default" w:ascii="Times New Roman" w:hAnsi="Times New Roman" w:eastAsia="宋体" w:cs="Times New Roman"/>
                      <w:color w:val="auto"/>
                      <w:sz w:val="21"/>
                      <w:szCs w:val="21"/>
                      <w:highlight w:val="none"/>
                    </w:rPr>
                    <w:t>、颗粒物</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烘干工序、</w:t>
                  </w:r>
                  <w:r>
                    <w:rPr>
                      <w:rFonts w:hint="eastAsia" w:ascii="Times New Roman" w:hAnsi="Times New Roman" w:eastAsia="宋体" w:cs="Times New Roman"/>
                      <w:color w:val="auto"/>
                      <w:sz w:val="21"/>
                      <w:szCs w:val="21"/>
                      <w:highlight w:val="none"/>
                      <w:lang w:val="en-US" w:eastAsia="zh-CN"/>
                    </w:rPr>
                    <w:t>热风炉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噪声</w:t>
                  </w: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机械设备</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连续等效A声级</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制粒</w:t>
                  </w:r>
                  <w:r>
                    <w:rPr>
                      <w:rFonts w:hint="default" w:ascii="Times New Roman" w:hAnsi="Times New Roman" w:eastAsia="宋体" w:cs="Times New Roman"/>
                      <w:color w:val="auto"/>
                      <w:sz w:val="21"/>
                      <w:szCs w:val="21"/>
                      <w:highlight w:val="none"/>
                    </w:rPr>
                    <w:t>机、</w:t>
                  </w:r>
                  <w:r>
                    <w:rPr>
                      <w:rFonts w:hint="eastAsia" w:ascii="Times New Roman" w:hAnsi="Times New Roman" w:eastAsia="宋体" w:cs="Times New Roman"/>
                      <w:color w:val="auto"/>
                      <w:sz w:val="21"/>
                      <w:szCs w:val="21"/>
                      <w:highlight w:val="none"/>
                      <w:lang w:val="en-US" w:eastAsia="zh-CN"/>
                    </w:rPr>
                    <w:t>破碎机、</w:t>
                  </w:r>
                  <w:r>
                    <w:rPr>
                      <w:rFonts w:hint="default" w:ascii="Times New Roman" w:hAnsi="Times New Roman" w:eastAsia="宋体" w:cs="Times New Roman"/>
                      <w:color w:val="auto"/>
                      <w:sz w:val="21"/>
                      <w:szCs w:val="21"/>
                      <w:highlight w:val="none"/>
                    </w:rPr>
                    <w:t>粉碎机、皮带输送机、振动筛、烘干机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restar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固体废物</w:t>
                  </w: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旋风、</w:t>
                  </w:r>
                  <w:r>
                    <w:rPr>
                      <w:rFonts w:hint="default" w:ascii="Times New Roman" w:hAnsi="Times New Roman" w:eastAsia="宋体" w:cs="Times New Roman"/>
                      <w:color w:val="auto"/>
                      <w:sz w:val="21"/>
                      <w:szCs w:val="21"/>
                      <w:highlight w:val="none"/>
                    </w:rPr>
                    <w:t>布袋除尘器</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除尘设施收集的粉尘</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热风炉</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生物质灰渣</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烘干工序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员工生活</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员工生活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376" w:type="pct"/>
                  <w:vMerge w:val="continue"/>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right="0"/>
                    <w:jc w:val="center"/>
                    <w:textAlignment w:val="auto"/>
                    <w:rPr>
                      <w:rFonts w:hint="default" w:ascii="Times New Roman" w:hAnsi="Times New Roman" w:eastAsia="宋体" w:cs="Times New Roman"/>
                      <w:color w:val="auto"/>
                      <w:sz w:val="21"/>
                      <w:szCs w:val="21"/>
                      <w:highlight w:val="none"/>
                    </w:rPr>
                  </w:pPr>
                </w:p>
              </w:tc>
              <w:tc>
                <w:tcPr>
                  <w:tcW w:w="926"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危险废物</w:t>
                  </w:r>
                </w:p>
              </w:tc>
              <w:tc>
                <w:tcPr>
                  <w:tcW w:w="1202"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废机油</w:t>
                  </w:r>
                </w:p>
              </w:tc>
              <w:tc>
                <w:tcPr>
                  <w:tcW w:w="1894" w:type="pc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12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设备维修维护</w:t>
                  </w:r>
                </w:p>
              </w:tc>
            </w:tr>
          </w:tbl>
          <w:p>
            <w:pPr>
              <w:pStyle w:val="58"/>
              <w:jc w:val="both"/>
              <w:rPr>
                <w:rFonts w:hint="eastAsia" w:ascii="Times New Roman" w:hAnsi="Times New Roman" w:eastAsia="宋体" w:cs="Times New Roman"/>
                <w:b/>
                <w:bCs w:val="0"/>
                <w:color w:val="auto"/>
                <w:kern w:val="2"/>
                <w:sz w:val="24"/>
                <w:szCs w:val="24"/>
                <w:highlight w:val="none"/>
                <w:u w:val="none"/>
                <w:lang w:val="en-US" w:eastAsia="zh-CN" w:bidi="ar-SA"/>
              </w:rPr>
            </w:pPr>
            <w:r>
              <w:rPr>
                <w:rFonts w:hint="eastAsia" w:ascii="Times New Roman" w:hAnsi="Times New Roman" w:eastAsia="黑体"/>
                <w:color w:val="auto"/>
                <w:szCs w:val="20"/>
                <w:highlight w:val="none"/>
                <w:lang w:val="en-US" w:eastAsia="zh-CN"/>
              </w:rPr>
              <w:t xml:space="preserve"> </w:t>
            </w:r>
            <w:r>
              <w:rPr>
                <w:rFonts w:hint="eastAsia" w:ascii="Times New Roman" w:hAnsi="Times New Roman" w:eastAsia="宋体" w:cs="Times New Roman"/>
                <w:b/>
                <w:bCs w:val="0"/>
                <w:color w:val="auto"/>
                <w:kern w:val="2"/>
                <w:sz w:val="24"/>
                <w:szCs w:val="24"/>
                <w:highlight w:val="none"/>
                <w:u w:val="none"/>
                <w:lang w:val="en-US" w:eastAsia="zh-CN" w:bidi="ar-SA"/>
              </w:rPr>
              <w:t xml:space="preserve">  </w:t>
            </w:r>
          </w:p>
          <w:p>
            <w:pPr>
              <w:pStyle w:val="58"/>
              <w:jc w:val="both"/>
              <w:rPr>
                <w:rFonts w:hint="default" w:ascii="Times New Roman" w:hAnsi="Times New Roman" w:eastAsia="黑体"/>
                <w:color w:val="auto"/>
                <w:szCs w:val="20"/>
                <w:highlight w:val="none"/>
                <w:lang w:val="en-US" w:eastAsia="zh-CN"/>
              </w:rPr>
            </w:pPr>
            <w:r>
              <w:rPr>
                <w:rFonts w:hint="eastAsia" w:ascii="Times New Roman" w:hAnsi="Times New Roman" w:eastAsia="宋体" w:cs="Times New Roman"/>
                <w:b/>
                <w:bCs w:val="0"/>
                <w:color w:val="auto"/>
                <w:kern w:val="2"/>
                <w:sz w:val="24"/>
                <w:szCs w:val="24"/>
                <w:highlight w:val="none"/>
                <w:u w:val="none"/>
                <w:lang w:val="en-US" w:eastAsia="zh-CN" w:bidi="ar-SA"/>
              </w:rPr>
              <w:t>三、物料平衡</w:t>
            </w:r>
          </w:p>
          <w:p>
            <w:pPr>
              <w:adjustRightInd w:val="0"/>
              <w:snapToGrid w:val="0"/>
              <w:spacing w:line="360" w:lineRule="auto"/>
              <w:jc w:val="center"/>
              <w:rPr>
                <w:rFonts w:hint="eastAsia" w:ascii="Times New Roman" w:hAnsi="Times New Roman" w:eastAsia="宋体" w:cs="Times New Roman"/>
                <w:b/>
                <w:color w:val="auto"/>
                <w:sz w:val="24"/>
                <w:highlight w:val="none"/>
                <w:u w:val="none"/>
              </w:rPr>
            </w:pPr>
            <w:r>
              <w:rPr>
                <w:rFonts w:hint="eastAsia" w:ascii="Times New Roman" w:hAnsi="Times New Roman" w:eastAsia="宋体" w:cs="Times New Roman"/>
                <w:b/>
                <w:color w:val="auto"/>
                <w:sz w:val="24"/>
                <w:highlight w:val="none"/>
                <w:u w:val="none"/>
              </w:rPr>
              <w:t>表2-</w:t>
            </w:r>
            <w:r>
              <w:rPr>
                <w:rFonts w:hint="eastAsia" w:ascii="Times New Roman" w:hAnsi="Times New Roman" w:eastAsia="宋体" w:cs="Times New Roman"/>
                <w:b/>
                <w:color w:val="auto"/>
                <w:sz w:val="24"/>
                <w:highlight w:val="none"/>
                <w:u w:val="none"/>
                <w:lang w:val="en-US" w:eastAsia="zh-CN"/>
              </w:rPr>
              <w:t>7</w:t>
            </w:r>
            <w:r>
              <w:rPr>
                <w:rFonts w:hint="eastAsia" w:ascii="Times New Roman" w:hAnsi="Times New Roman" w:eastAsia="宋体" w:cs="Times New Roman"/>
                <w:b/>
                <w:color w:val="auto"/>
                <w:sz w:val="24"/>
                <w:highlight w:val="none"/>
                <w:u w:val="none"/>
              </w:rPr>
              <w:t xml:space="preserve">   物料平衡表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782"/>
              <w:gridCol w:w="2126"/>
              <w:gridCol w:w="2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52" w:type="dxa"/>
                  <w:gridSpan w:val="2"/>
                  <w:noWrap w:val="0"/>
                  <w:vAlign w:val="top"/>
                </w:tcPr>
                <w:p>
                  <w:pPr>
                    <w:pStyle w:val="58"/>
                    <w:keepNext w:val="0"/>
                    <w:keepLines w:val="0"/>
                    <w:pageBreakBefore w:val="0"/>
                    <w:kinsoku/>
                    <w:wordWrap/>
                    <w:overflowPunct/>
                    <w:topLinePunct w:val="0"/>
                    <w:bidi w:val="0"/>
                    <w:snapToGrid/>
                    <w:spacing w:beforeLines="0" w:afterLines="0"/>
                    <w:ind w:firstLine="420"/>
                    <w:jc w:val="center"/>
                    <w:textAlignment w:val="auto"/>
                    <w:rPr>
                      <w:rFonts w:ascii="Times New Roman" w:hAnsi="Times New Roman"/>
                      <w:b/>
                      <w:bCs/>
                      <w:color w:val="auto"/>
                      <w:sz w:val="21"/>
                      <w:szCs w:val="21"/>
                      <w:highlight w:val="none"/>
                      <w:u w:val="none"/>
                    </w:rPr>
                  </w:pPr>
                  <w:r>
                    <w:rPr>
                      <w:rFonts w:ascii="Times New Roman" w:hAnsi="Times New Roman"/>
                      <w:b/>
                      <w:bCs/>
                      <w:color w:val="auto"/>
                      <w:sz w:val="21"/>
                      <w:szCs w:val="21"/>
                      <w:highlight w:val="none"/>
                      <w:u w:val="none"/>
                    </w:rPr>
                    <w:t>投入</w:t>
                  </w:r>
                </w:p>
              </w:tc>
              <w:tc>
                <w:tcPr>
                  <w:tcW w:w="4225" w:type="dxa"/>
                  <w:gridSpan w:val="2"/>
                  <w:noWrap w:val="0"/>
                  <w:vAlign w:val="top"/>
                </w:tcPr>
                <w:p>
                  <w:pPr>
                    <w:pStyle w:val="58"/>
                    <w:keepNext w:val="0"/>
                    <w:keepLines w:val="0"/>
                    <w:pageBreakBefore w:val="0"/>
                    <w:kinsoku/>
                    <w:wordWrap/>
                    <w:overflowPunct/>
                    <w:topLinePunct w:val="0"/>
                    <w:bidi w:val="0"/>
                    <w:snapToGrid/>
                    <w:spacing w:beforeLines="0" w:afterLines="0"/>
                    <w:ind w:firstLine="420"/>
                    <w:jc w:val="center"/>
                    <w:textAlignment w:val="auto"/>
                    <w:rPr>
                      <w:rFonts w:ascii="Times New Roman" w:hAnsi="Times New Roman"/>
                      <w:b/>
                      <w:bCs/>
                      <w:color w:val="auto"/>
                      <w:sz w:val="21"/>
                      <w:szCs w:val="21"/>
                      <w:highlight w:val="none"/>
                      <w:u w:val="none"/>
                    </w:rPr>
                  </w:pPr>
                  <w:r>
                    <w:rPr>
                      <w:rFonts w:ascii="Times New Roman" w:hAnsi="Times New Roman"/>
                      <w:b/>
                      <w:bCs/>
                      <w:color w:val="auto"/>
                      <w:sz w:val="21"/>
                      <w:szCs w:val="21"/>
                      <w:highlight w:val="none"/>
                      <w:u w:val="none"/>
                    </w:rPr>
                    <w:t>产出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0"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原料</w:t>
                  </w:r>
                </w:p>
              </w:tc>
              <w:tc>
                <w:tcPr>
                  <w:tcW w:w="1782"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用量（t）</w:t>
                  </w:r>
                </w:p>
              </w:tc>
              <w:tc>
                <w:tcPr>
                  <w:tcW w:w="2126"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产品</w:t>
                  </w:r>
                </w:p>
              </w:tc>
              <w:tc>
                <w:tcPr>
                  <w:tcW w:w="2099"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产出量（t）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0"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r>
                    <w:rPr>
                      <w:rFonts w:hint="eastAsia"/>
                      <w:color w:val="auto"/>
                      <w:sz w:val="21"/>
                      <w:szCs w:val="21"/>
                      <w:highlight w:val="none"/>
                      <w:u w:val="none"/>
                    </w:rPr>
                    <w:t>废竹屑、木屑</w:t>
                  </w:r>
                </w:p>
              </w:tc>
              <w:tc>
                <w:tcPr>
                  <w:tcW w:w="1782"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r>
                    <w:rPr>
                      <w:rFonts w:hint="eastAsia"/>
                      <w:color w:val="auto"/>
                      <w:sz w:val="21"/>
                      <w:szCs w:val="21"/>
                      <w:highlight w:val="none"/>
                      <w:u w:val="none"/>
                      <w:lang w:val="en-US" w:eastAsia="zh-CN"/>
                    </w:rPr>
                    <w:t>35000</w:t>
                  </w:r>
                </w:p>
              </w:tc>
              <w:tc>
                <w:tcPr>
                  <w:tcW w:w="2126"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成型生物质颗粒</w:t>
                  </w:r>
                </w:p>
              </w:tc>
              <w:tc>
                <w:tcPr>
                  <w:tcW w:w="2099"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rFonts w:hint="default" w:eastAsia="宋体"/>
                      <w:color w:val="auto"/>
                      <w:highlight w:val="none"/>
                      <w:u w:val="none"/>
                      <w:lang w:val="en-US" w:eastAsia="zh-CN"/>
                    </w:rPr>
                  </w:pPr>
                  <w:r>
                    <w:rPr>
                      <w:rFonts w:hint="eastAsia"/>
                      <w:color w:val="auto"/>
                      <w:highlight w:val="none"/>
                      <w:u w:val="none"/>
                      <w:lang w:val="en-US" w:eastAsia="zh-CN"/>
                    </w:rPr>
                    <w:t>30000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r>
                    <w:rPr>
                      <w:rFonts w:hint="eastAsia"/>
                      <w:color w:val="auto"/>
                      <w:sz w:val="21"/>
                      <w:szCs w:val="21"/>
                      <w:highlight w:val="none"/>
                      <w:u w:val="none"/>
                    </w:rPr>
                    <w:t>回用收集的粉尘</w:t>
                  </w:r>
                </w:p>
              </w:tc>
              <w:tc>
                <w:tcPr>
                  <w:tcW w:w="1782"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137.26</w:t>
                  </w:r>
                </w:p>
              </w:tc>
              <w:tc>
                <w:tcPr>
                  <w:tcW w:w="2126"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烘干水量</w:t>
                  </w:r>
                </w:p>
              </w:tc>
              <w:tc>
                <w:tcPr>
                  <w:tcW w:w="2099"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rFonts w:hint="default" w:eastAsia="宋体"/>
                      <w:color w:val="auto"/>
                      <w:highlight w:val="none"/>
                      <w:u w:val="none"/>
                      <w:lang w:val="en-US" w:eastAsia="zh-CN"/>
                    </w:rPr>
                  </w:pPr>
                  <w:r>
                    <w:rPr>
                      <w:rFonts w:hint="eastAsia"/>
                      <w:color w:val="auto"/>
                      <w:highlight w:val="none"/>
                      <w:u w:val="none"/>
                      <w:lang w:val="en-US" w:eastAsia="zh-CN"/>
                    </w:rPr>
                    <w:t>4998.418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p>
              </w:tc>
              <w:tc>
                <w:tcPr>
                  <w:tcW w:w="1782"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p>
              </w:tc>
              <w:tc>
                <w:tcPr>
                  <w:tcW w:w="2126"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有组织粉尘排放量</w:t>
                  </w:r>
                </w:p>
              </w:tc>
              <w:tc>
                <w:tcPr>
                  <w:tcW w:w="2099"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rFonts w:hint="default" w:eastAsia="宋体"/>
                      <w:color w:val="auto"/>
                      <w:highlight w:val="none"/>
                      <w:u w:val="none"/>
                      <w:lang w:val="en-US" w:eastAsia="zh-CN"/>
                    </w:rPr>
                  </w:pPr>
                  <w:r>
                    <w:rPr>
                      <w:rFonts w:hint="eastAsia"/>
                      <w:color w:val="auto"/>
                      <w:highlight w:val="none"/>
                      <w:u w:val="none"/>
                      <w:lang w:val="en-US" w:eastAsia="zh-CN"/>
                    </w:rPr>
                    <w:t>1.112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p>
              </w:tc>
              <w:tc>
                <w:tcPr>
                  <w:tcW w:w="1782"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p>
              </w:tc>
              <w:tc>
                <w:tcPr>
                  <w:tcW w:w="2126"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无组织粉尘排放量</w:t>
                  </w:r>
                </w:p>
              </w:tc>
              <w:tc>
                <w:tcPr>
                  <w:tcW w:w="2099"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rFonts w:hint="default" w:eastAsia="宋体"/>
                      <w:color w:val="auto"/>
                      <w:highlight w:val="none"/>
                      <w:u w:val="none"/>
                      <w:lang w:val="en-US" w:eastAsia="zh-CN"/>
                    </w:rPr>
                  </w:pPr>
                  <w:r>
                    <w:rPr>
                      <w:rFonts w:hint="eastAsia"/>
                      <w:color w:val="auto"/>
                      <w:highlight w:val="none"/>
                      <w:u w:val="none"/>
                      <w:lang w:val="en-US" w:eastAsia="zh-CN"/>
                    </w:rPr>
                    <w:t>0.47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p>
              </w:tc>
              <w:tc>
                <w:tcPr>
                  <w:tcW w:w="1782" w:type="dxa"/>
                  <w:noWrap w:val="0"/>
                  <w:vAlign w:val="center"/>
                </w:tcPr>
                <w:p>
                  <w:pPr>
                    <w:pStyle w:val="10"/>
                    <w:keepNext w:val="0"/>
                    <w:keepLines w:val="0"/>
                    <w:pageBreakBefore w:val="0"/>
                    <w:kinsoku/>
                    <w:wordWrap/>
                    <w:overflowPunct/>
                    <w:topLinePunct w:val="0"/>
                    <w:bidi w:val="0"/>
                    <w:adjustRightInd/>
                    <w:snapToGrid/>
                    <w:spacing w:before="0" w:after="0" w:line="240" w:lineRule="auto"/>
                    <w:ind w:firstLine="0" w:firstLineChars="0"/>
                    <w:jc w:val="center"/>
                    <w:textAlignment w:val="auto"/>
                    <w:rPr>
                      <w:color w:val="auto"/>
                      <w:sz w:val="21"/>
                      <w:szCs w:val="21"/>
                      <w:highlight w:val="none"/>
                      <w:u w:val="none"/>
                    </w:rPr>
                  </w:pPr>
                </w:p>
              </w:tc>
              <w:tc>
                <w:tcPr>
                  <w:tcW w:w="2126" w:type="dxa"/>
                  <w:noWrap w:val="0"/>
                  <w:vAlign w:val="center"/>
                </w:tcPr>
                <w:p>
                  <w:pPr>
                    <w:pStyle w:val="10"/>
                    <w:keepNext w:val="0"/>
                    <w:keepLines w:val="0"/>
                    <w:pageBreakBefore w:val="0"/>
                    <w:kinsoku/>
                    <w:wordWrap/>
                    <w:overflowPunct/>
                    <w:topLinePunct w:val="0"/>
                    <w:bidi w:val="0"/>
                    <w:adjustRightInd/>
                    <w:snapToGrid/>
                    <w:spacing w:before="0" w:after="0" w:line="240" w:lineRule="auto"/>
                    <w:ind w:right="113" w:rightChars="0" w:firstLine="0" w:firstLineChars="0"/>
                    <w:jc w:val="center"/>
                    <w:textAlignment w:val="auto"/>
                    <w:rPr>
                      <w:color w:val="auto"/>
                      <w:highlight w:val="none"/>
                      <w:u w:val="none"/>
                    </w:rPr>
                  </w:pPr>
                  <w:r>
                    <w:rPr>
                      <w:rFonts w:hint="eastAsia"/>
                      <w:color w:val="auto"/>
                      <w:sz w:val="21"/>
                      <w:szCs w:val="21"/>
                      <w:highlight w:val="none"/>
                      <w:u w:val="none"/>
                    </w:rPr>
                    <w:t>回用收集的粉尘</w:t>
                  </w:r>
                </w:p>
              </w:tc>
              <w:tc>
                <w:tcPr>
                  <w:tcW w:w="2099" w:type="dxa"/>
                  <w:noWrap w:val="0"/>
                  <w:vAlign w:val="center"/>
                </w:tcPr>
                <w:p>
                  <w:pPr>
                    <w:pStyle w:val="10"/>
                    <w:keepNext w:val="0"/>
                    <w:keepLines w:val="0"/>
                    <w:pageBreakBefore w:val="0"/>
                    <w:kinsoku/>
                    <w:wordWrap/>
                    <w:overflowPunct/>
                    <w:topLinePunct w:val="0"/>
                    <w:bidi w:val="0"/>
                    <w:adjustRightInd/>
                    <w:snapToGrid/>
                    <w:spacing w:before="0" w:after="0" w:line="240" w:lineRule="auto"/>
                    <w:ind w:right="113" w:rightChars="0" w:firstLine="0" w:firstLineChars="0"/>
                    <w:jc w:val="center"/>
                    <w:textAlignment w:val="auto"/>
                    <w:rPr>
                      <w:rFonts w:hint="eastAsia"/>
                      <w:color w:val="auto"/>
                      <w:highlight w:val="none"/>
                      <w:u w:val="none"/>
                      <w:lang w:val="en-US" w:eastAsia="zh-CN"/>
                    </w:rPr>
                  </w:pPr>
                  <w:r>
                    <w:rPr>
                      <w:rFonts w:hint="eastAsia"/>
                      <w:color w:val="auto"/>
                      <w:sz w:val="21"/>
                      <w:szCs w:val="21"/>
                      <w:highlight w:val="none"/>
                      <w:u w:val="none"/>
                      <w:lang w:val="en-US" w:eastAsia="zh-CN"/>
                    </w:rPr>
                    <w:t>137.26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合计</w:t>
                  </w:r>
                </w:p>
              </w:tc>
              <w:tc>
                <w:tcPr>
                  <w:tcW w:w="1782"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rFonts w:hint="default" w:eastAsia="宋体"/>
                      <w:color w:val="auto"/>
                      <w:highlight w:val="none"/>
                      <w:u w:val="none"/>
                      <w:lang w:val="en-US" w:eastAsia="zh-CN"/>
                    </w:rPr>
                  </w:pPr>
                  <w:r>
                    <w:rPr>
                      <w:rFonts w:hint="eastAsia"/>
                      <w:color w:val="auto"/>
                      <w:szCs w:val="21"/>
                      <w:highlight w:val="none"/>
                      <w:u w:val="none"/>
                      <w:lang w:val="en-US" w:eastAsia="zh-CN"/>
                    </w:rPr>
                    <w:t>35137.26</w:t>
                  </w:r>
                </w:p>
              </w:tc>
              <w:tc>
                <w:tcPr>
                  <w:tcW w:w="2126"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color w:val="auto"/>
                      <w:highlight w:val="none"/>
                      <w:u w:val="none"/>
                    </w:rPr>
                  </w:pPr>
                  <w:r>
                    <w:rPr>
                      <w:color w:val="auto"/>
                      <w:highlight w:val="none"/>
                      <w:u w:val="none"/>
                    </w:rPr>
                    <w:t>合计</w:t>
                  </w:r>
                </w:p>
              </w:tc>
              <w:tc>
                <w:tcPr>
                  <w:tcW w:w="2099" w:type="dxa"/>
                  <w:noWrap w:val="0"/>
                  <w:vAlign w:val="center"/>
                </w:tcPr>
                <w:p>
                  <w:pPr>
                    <w:pStyle w:val="55"/>
                    <w:keepNext w:val="0"/>
                    <w:keepLines w:val="0"/>
                    <w:pageBreakBefore w:val="0"/>
                    <w:widowControl w:val="0"/>
                    <w:kinsoku/>
                    <w:wordWrap/>
                    <w:overflowPunct/>
                    <w:topLinePunct w:val="0"/>
                    <w:bidi w:val="0"/>
                    <w:snapToGrid/>
                    <w:spacing w:line="240" w:lineRule="auto"/>
                    <w:jc w:val="center"/>
                    <w:textAlignment w:val="auto"/>
                    <w:rPr>
                      <w:rFonts w:hint="default" w:eastAsia="宋体"/>
                      <w:color w:val="auto"/>
                      <w:highlight w:val="none"/>
                      <w:u w:val="none"/>
                      <w:lang w:val="en-US" w:eastAsia="zh-CN"/>
                    </w:rPr>
                  </w:pPr>
                  <w:r>
                    <w:rPr>
                      <w:rFonts w:hint="eastAsia"/>
                      <w:color w:val="auto"/>
                      <w:szCs w:val="21"/>
                      <w:highlight w:val="none"/>
                      <w:u w:val="none"/>
                      <w:lang w:val="en-US" w:eastAsia="zh-CN"/>
                    </w:rPr>
                    <w:t>35137.26</w:t>
                  </w:r>
                </w:p>
              </w:tc>
            </w:tr>
          </w:tbl>
          <w:p>
            <w:pPr>
              <w:adjustRightInd w:val="0"/>
              <w:snapToGrid w:val="0"/>
              <w:jc w:val="center"/>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3" w:hRule="atLeast"/>
          <w:jc w:val="center"/>
        </w:trPr>
        <w:tc>
          <w:tcPr>
            <w:tcW w:w="823" w:type="dxa"/>
            <w:noWrap w:val="0"/>
            <w:vAlign w:val="center"/>
          </w:tcPr>
          <w:p>
            <w:pPr>
              <w:pStyle w:val="20"/>
              <w:adjustRightInd w:val="0"/>
              <w:snapToGrid w:val="0"/>
              <w:spacing w:before="0" w:beforeAutospacing="0" w:after="0" w:afterAutospacing="0"/>
              <w:jc w:val="center"/>
              <w:rPr>
                <w:rFonts w:cs="宋体"/>
                <w:color w:val="auto"/>
                <w:sz w:val="21"/>
                <w:szCs w:val="21"/>
                <w:highlight w:val="none"/>
                <w:lang w:val="en-US" w:eastAsia="zh-CN"/>
              </w:rPr>
            </w:pPr>
            <w:r>
              <w:rPr>
                <w:rFonts w:hint="eastAsia" w:cs="宋体"/>
                <w:bCs/>
                <w:color w:val="auto"/>
                <w:kern w:val="2"/>
                <w:sz w:val="21"/>
                <w:szCs w:val="21"/>
                <w:highlight w:val="none"/>
                <w:lang w:val="en-US" w:eastAsia="zh-CN"/>
              </w:rPr>
              <w:t>与项目有关的原有环境污染问题</w:t>
            </w:r>
          </w:p>
        </w:tc>
        <w:tc>
          <w:tcPr>
            <w:tcW w:w="8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bCs/>
                <w:color w:val="auto"/>
                <w:sz w:val="24"/>
                <w:highlight w:val="none"/>
                <w:u w:val="single"/>
                <w:lang w:val="en-US" w:eastAsia="zh-CN"/>
              </w:rPr>
            </w:pPr>
            <w:r>
              <w:rPr>
                <w:rFonts w:hint="eastAsia" w:eastAsia="宋体"/>
                <w:bCs/>
                <w:color w:val="auto"/>
                <w:sz w:val="24"/>
                <w:highlight w:val="none"/>
                <w:u w:val="single"/>
                <w:lang w:val="en-US" w:eastAsia="zh-CN"/>
              </w:rPr>
              <w:t>本项目位于临湘市忠防镇汀畈社区七房组，依托原花炮厂闲置厂房用地，占地面积13333m</w:t>
            </w:r>
            <w:r>
              <w:rPr>
                <w:rFonts w:hint="eastAsia" w:eastAsia="宋体"/>
                <w:bCs/>
                <w:color w:val="auto"/>
                <w:sz w:val="24"/>
                <w:highlight w:val="none"/>
                <w:u w:val="single"/>
                <w:vertAlign w:val="superscript"/>
                <w:lang w:val="en-US" w:eastAsia="zh-CN"/>
              </w:rPr>
              <w:t>2</w:t>
            </w:r>
            <w:r>
              <w:rPr>
                <w:rFonts w:hint="eastAsia" w:eastAsia="宋体"/>
                <w:bCs/>
                <w:color w:val="auto"/>
                <w:sz w:val="24"/>
                <w:highlight w:val="none"/>
                <w:u w:val="single"/>
                <w:lang w:val="en-US" w:eastAsia="zh-CN"/>
              </w:rPr>
              <w:t>。本项目依托现有厂房建设，</w:t>
            </w:r>
            <w:r>
              <w:rPr>
                <w:rFonts w:hint="eastAsia"/>
                <w:bCs/>
                <w:color w:val="auto"/>
                <w:sz w:val="24"/>
                <w:highlight w:val="none"/>
                <w:u w:val="single"/>
                <w:lang w:val="en-US" w:eastAsia="zh-CN"/>
              </w:rPr>
              <w:t>根据现场踏勘可知，</w:t>
            </w:r>
            <w:r>
              <w:rPr>
                <w:rFonts w:hint="eastAsia" w:eastAsia="宋体"/>
                <w:bCs/>
                <w:color w:val="auto"/>
                <w:sz w:val="24"/>
                <w:highlight w:val="none"/>
                <w:u w:val="single"/>
                <w:lang w:val="en-US" w:eastAsia="zh-CN"/>
              </w:rPr>
              <w:t>原花炮厂于2012年因产业政策调整而整体关停退出</w:t>
            </w:r>
            <w:r>
              <w:rPr>
                <w:rFonts w:hint="eastAsia" w:eastAsia="宋体"/>
                <w:bCs/>
                <w:color w:val="auto"/>
                <w:sz w:val="24"/>
                <w:highlight w:val="none"/>
                <w:u w:val="single"/>
                <w:lang w:val="en-US" w:eastAsia="zh-CN"/>
              </w:rPr>
              <w:t>，2019年租赁给家具厂作为</w:t>
            </w:r>
            <w:r>
              <w:rPr>
                <w:rFonts w:hint="eastAsia"/>
                <w:bCs/>
                <w:color w:val="auto"/>
                <w:sz w:val="24"/>
                <w:highlight w:val="none"/>
                <w:u w:val="single"/>
                <w:lang w:val="en-US" w:eastAsia="zh-CN"/>
              </w:rPr>
              <w:t>仓库使用</w:t>
            </w:r>
            <w:r>
              <w:rPr>
                <w:rFonts w:hint="eastAsia" w:eastAsia="宋体"/>
                <w:bCs/>
                <w:color w:val="auto"/>
                <w:sz w:val="24"/>
                <w:highlight w:val="none"/>
                <w:u w:val="single"/>
                <w:lang w:val="en-US" w:eastAsia="zh-CN"/>
              </w:rPr>
              <w:t>，</w:t>
            </w:r>
            <w:r>
              <w:rPr>
                <w:rFonts w:hint="eastAsia"/>
                <w:bCs/>
                <w:color w:val="auto"/>
                <w:sz w:val="24"/>
                <w:highlight w:val="none"/>
                <w:u w:val="single"/>
                <w:lang w:val="en-US" w:eastAsia="zh-CN"/>
              </w:rPr>
              <w:t>仓库内无喷漆设施，地面均已硬化，无土壤污染情况，</w:t>
            </w:r>
            <w:r>
              <w:rPr>
                <w:rFonts w:hint="eastAsia" w:eastAsia="宋体"/>
                <w:bCs/>
                <w:color w:val="auto"/>
                <w:sz w:val="24"/>
                <w:highlight w:val="none"/>
                <w:u w:val="single"/>
                <w:lang w:val="en-US" w:eastAsia="zh-CN"/>
              </w:rPr>
              <w:t>2023年家具厂</w:t>
            </w:r>
            <w:r>
              <w:rPr>
                <w:rFonts w:hint="eastAsia"/>
                <w:bCs/>
                <w:color w:val="auto"/>
                <w:sz w:val="24"/>
                <w:highlight w:val="none"/>
                <w:u w:val="single"/>
                <w:lang w:val="en-US" w:eastAsia="zh-CN"/>
              </w:rPr>
              <w:t>已</w:t>
            </w:r>
            <w:r>
              <w:rPr>
                <w:rFonts w:hint="eastAsia" w:eastAsia="宋体"/>
                <w:bCs/>
                <w:color w:val="auto"/>
                <w:sz w:val="24"/>
                <w:highlight w:val="none"/>
                <w:u w:val="single"/>
                <w:lang w:val="en-US" w:eastAsia="zh-CN"/>
              </w:rPr>
              <w:t>退出，目前为空置状态</w:t>
            </w:r>
            <w:r>
              <w:rPr>
                <w:rFonts w:hint="eastAsia"/>
                <w:bCs/>
                <w:color w:val="auto"/>
                <w:sz w:val="24"/>
                <w:highlight w:val="none"/>
                <w:u w:val="single"/>
                <w:lang w:val="en-US" w:eastAsia="zh-CN"/>
              </w:rPr>
              <w:t>，无遗留的设施设备，也</w:t>
            </w:r>
            <w:r>
              <w:rPr>
                <w:rFonts w:hint="eastAsia" w:eastAsia="宋体"/>
                <w:bCs/>
                <w:color w:val="auto"/>
                <w:sz w:val="24"/>
                <w:highlight w:val="none"/>
                <w:u w:val="single"/>
                <w:lang w:val="en-US" w:eastAsia="zh-CN"/>
              </w:rPr>
              <w:t>无原辅料存在</w:t>
            </w:r>
            <w:r>
              <w:rPr>
                <w:rFonts w:hint="eastAsia"/>
                <w:bCs/>
                <w:color w:val="auto"/>
                <w:sz w:val="24"/>
                <w:highlight w:val="none"/>
                <w:u w:val="single"/>
                <w:lang w:val="en-US" w:eastAsia="zh-CN"/>
              </w:rPr>
              <w:t>。</w:t>
            </w:r>
            <w:r>
              <w:rPr>
                <w:rFonts w:hint="eastAsia" w:eastAsia="宋体"/>
                <w:bCs/>
                <w:color w:val="auto"/>
                <w:sz w:val="24"/>
                <w:highlight w:val="none"/>
                <w:u w:val="single"/>
                <w:lang w:val="en-US" w:eastAsia="zh-CN"/>
              </w:rPr>
              <w:t>厂址</w:t>
            </w:r>
            <w:r>
              <w:rPr>
                <w:rFonts w:hint="eastAsia" w:eastAsia="宋体"/>
                <w:bCs/>
                <w:color w:val="auto"/>
                <w:sz w:val="24"/>
                <w:highlight w:val="none"/>
                <w:u w:val="single"/>
                <w:lang w:val="en-US" w:eastAsia="zh-CN"/>
              </w:rPr>
              <w:t>北侧</w:t>
            </w:r>
            <w:r>
              <w:rPr>
                <w:rFonts w:hint="eastAsia" w:eastAsia="宋体"/>
                <w:bCs/>
                <w:color w:val="auto"/>
                <w:sz w:val="24"/>
                <w:highlight w:val="none"/>
                <w:u w:val="single"/>
                <w:lang w:val="en-US" w:eastAsia="zh-CN"/>
              </w:rPr>
              <w:t>为游港河，</w:t>
            </w:r>
            <w:r>
              <w:rPr>
                <w:rFonts w:hint="eastAsia" w:eastAsia="宋体"/>
                <w:bCs/>
                <w:color w:val="auto"/>
                <w:sz w:val="24"/>
                <w:highlight w:val="none"/>
                <w:u w:val="single"/>
                <w:lang w:val="en-US" w:eastAsia="zh-CN"/>
              </w:rPr>
              <w:t>东侧</w:t>
            </w:r>
            <w:r>
              <w:rPr>
                <w:rFonts w:hint="eastAsia" w:eastAsia="宋体"/>
                <w:bCs/>
                <w:color w:val="auto"/>
                <w:sz w:val="24"/>
                <w:highlight w:val="none"/>
                <w:u w:val="single"/>
                <w:lang w:val="en-US" w:eastAsia="zh-CN"/>
              </w:rPr>
              <w:t>紧邻为一筷子厂家，</w:t>
            </w:r>
            <w:r>
              <w:rPr>
                <w:rFonts w:hint="eastAsia" w:eastAsia="宋体"/>
                <w:bCs/>
                <w:color w:val="auto"/>
                <w:sz w:val="24"/>
                <w:highlight w:val="none"/>
                <w:u w:val="single"/>
                <w:lang w:val="en-US" w:eastAsia="zh-CN"/>
              </w:rPr>
              <w:t>其余侧</w:t>
            </w:r>
            <w:r>
              <w:rPr>
                <w:rFonts w:hint="eastAsia" w:eastAsia="宋体"/>
                <w:bCs/>
                <w:color w:val="auto"/>
                <w:sz w:val="24"/>
                <w:highlight w:val="none"/>
                <w:u w:val="single"/>
                <w:lang w:val="en-US" w:eastAsia="zh-CN"/>
              </w:rPr>
              <w:t>被山林地包围，周边200米范围内无居民，项目建成后环保责任主体为</w:t>
            </w:r>
            <w:r>
              <w:rPr>
                <w:rFonts w:hint="eastAsia"/>
                <w:bCs/>
                <w:color w:val="auto"/>
                <w:sz w:val="24"/>
                <w:highlight w:val="none"/>
                <w:u w:val="single"/>
              </w:rPr>
              <w:t>临湘市达江生物质能源有限公司</w:t>
            </w:r>
            <w:r>
              <w:rPr>
                <w:rFonts w:hint="eastAsia" w:eastAsia="宋体"/>
                <w:bCs/>
                <w:color w:val="auto"/>
                <w:sz w:val="24"/>
                <w:highlight w:val="none"/>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bCs/>
                <w:color w:val="auto"/>
                <w:sz w:val="24"/>
                <w:highlight w:val="none"/>
                <w:u w:val="single"/>
                <w:lang w:val="en-US" w:eastAsia="zh-CN"/>
              </w:rPr>
            </w:pPr>
            <w:r>
              <w:rPr>
                <w:rFonts w:hint="eastAsia" w:eastAsia="宋体"/>
                <w:bCs/>
                <w:color w:val="auto"/>
                <w:sz w:val="24"/>
                <w:highlight w:val="none"/>
                <w:u w:val="single"/>
                <w:lang w:val="en-US" w:eastAsia="zh-CN"/>
              </w:rPr>
              <w:t>本项目为新建项目，根据现场勘察，无与本项目有关的原有污染源及主要环境问题。</w:t>
            </w:r>
          </w:p>
          <w:p>
            <w:pPr>
              <w:numPr>
                <w:ilvl w:val="0"/>
                <w:numId w:val="0"/>
              </w:numPr>
              <w:adjustRightInd w:val="0"/>
              <w:snapToGrid w:val="0"/>
              <w:spacing w:line="360" w:lineRule="auto"/>
              <w:rPr>
                <w:rFonts w:hint="eastAsia" w:eastAsia="宋体"/>
                <w:bCs/>
                <w:color w:val="auto"/>
                <w:sz w:val="24"/>
                <w:highlight w:val="none"/>
                <w:lang w:val="en-US" w:eastAsia="zh-CN"/>
              </w:rPr>
            </w:pPr>
          </w:p>
          <w:p>
            <w:pPr>
              <w:numPr>
                <w:ilvl w:val="0"/>
                <w:numId w:val="0"/>
              </w:numPr>
              <w:adjustRightInd w:val="0"/>
              <w:snapToGrid w:val="0"/>
              <w:spacing w:line="360" w:lineRule="auto"/>
              <w:rPr>
                <w:rFonts w:hint="eastAsia" w:eastAsia="宋体"/>
                <w:bCs/>
                <w:color w:val="auto"/>
                <w:sz w:val="24"/>
                <w:highlight w:val="none"/>
                <w:lang w:val="en-US" w:eastAsia="zh-CN"/>
              </w:rPr>
            </w:pPr>
          </w:p>
          <w:p>
            <w:pPr>
              <w:numPr>
                <w:ilvl w:val="0"/>
                <w:numId w:val="0"/>
              </w:numPr>
              <w:adjustRightInd w:val="0"/>
              <w:snapToGrid w:val="0"/>
              <w:spacing w:line="360" w:lineRule="auto"/>
              <w:rPr>
                <w:rFonts w:hint="eastAsia" w:eastAsia="宋体"/>
                <w:bCs/>
                <w:color w:val="auto"/>
                <w:sz w:val="24"/>
                <w:highlight w:val="none"/>
                <w:lang w:val="en-US" w:eastAsia="zh-CN"/>
              </w:rPr>
            </w:pPr>
          </w:p>
          <w:p>
            <w:pPr>
              <w:numPr>
                <w:ilvl w:val="0"/>
                <w:numId w:val="0"/>
              </w:numPr>
              <w:adjustRightInd w:val="0"/>
              <w:snapToGrid w:val="0"/>
              <w:spacing w:line="360" w:lineRule="auto"/>
              <w:rPr>
                <w:rFonts w:hint="eastAsia" w:eastAsia="宋体"/>
                <w:bCs/>
                <w:color w:val="auto"/>
                <w:sz w:val="24"/>
                <w:highlight w:val="none"/>
                <w:lang w:val="en-US" w:eastAsia="zh-CN"/>
              </w:rPr>
            </w:pPr>
          </w:p>
          <w:p>
            <w:pPr>
              <w:numPr>
                <w:ilvl w:val="0"/>
                <w:numId w:val="0"/>
              </w:numPr>
              <w:adjustRightInd w:val="0"/>
              <w:snapToGrid w:val="0"/>
              <w:spacing w:line="360" w:lineRule="auto"/>
              <w:rPr>
                <w:rFonts w:hint="default" w:eastAsia="宋体"/>
                <w:bCs/>
                <w:color w:val="auto"/>
                <w:sz w:val="24"/>
                <w:highlight w:val="none"/>
                <w:lang w:val="en-US" w:eastAsia="zh-CN"/>
              </w:rPr>
            </w:pPr>
          </w:p>
        </w:tc>
      </w:tr>
    </w:tbl>
    <w:p>
      <w:pPr>
        <w:pStyle w:val="20"/>
        <w:jc w:val="center"/>
        <w:rPr>
          <w:rFonts w:ascii="黑体" w:hAnsi="黑体" w:eastAsia="黑体"/>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ascii="黑体" w:hAnsi="黑体" w:eastAsia="黑体"/>
          <w:snapToGrid w:val="0"/>
          <w:color w:val="auto"/>
          <w:sz w:val="30"/>
          <w:szCs w:val="30"/>
          <w:highlight w:val="none"/>
        </w:rPr>
      </w:pPr>
      <w:bookmarkStart w:id="9" w:name="_Toc28952"/>
      <w:r>
        <w:rPr>
          <w:rFonts w:hint="eastAsia" w:ascii="黑体" w:hAnsi="黑体" w:eastAsia="黑体"/>
          <w:snapToGrid w:val="0"/>
          <w:color w:val="auto"/>
          <w:sz w:val="30"/>
          <w:szCs w:val="30"/>
          <w:highlight w:val="none"/>
        </w:rPr>
        <w:t>三、区域环境质量现状、环境保护目标及评价标准</w:t>
      </w:r>
      <w:bookmarkEnd w:id="9"/>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00" w:type="dxa"/>
            <w:noWrap w:val="0"/>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区域</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环境</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质量</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现状</w:t>
            </w:r>
          </w:p>
        </w:tc>
        <w:tc>
          <w:tcPr>
            <w:tcW w:w="8190" w:type="dxa"/>
            <w:noWrap w:val="0"/>
            <w:vAlign w:val="center"/>
          </w:tcPr>
          <w:p>
            <w:pPr>
              <w:spacing w:line="360" w:lineRule="auto"/>
              <w:ind w:firstLine="482" w:firstLineChars="200"/>
              <w:rPr>
                <w:rFonts w:hint="eastAsia"/>
                <w:b/>
                <w:bCs/>
                <w:color w:val="auto"/>
                <w:sz w:val="24"/>
                <w:highlight w:val="none"/>
              </w:rPr>
            </w:pPr>
            <w:r>
              <w:rPr>
                <w:rFonts w:hint="eastAsia"/>
                <w:b/>
                <w:bCs/>
                <w:color w:val="auto"/>
                <w:sz w:val="24"/>
                <w:highlight w:val="none"/>
              </w:rPr>
              <w:t>一、环境空气质量现状调查与评价</w:t>
            </w:r>
          </w:p>
          <w:p>
            <w:pPr>
              <w:spacing w:line="360" w:lineRule="auto"/>
              <w:ind w:firstLine="482" w:firstLineChars="200"/>
              <w:rPr>
                <w:rFonts w:hint="eastAsia"/>
                <w:b/>
                <w:bCs/>
                <w:color w:val="auto"/>
                <w:kern w:val="0"/>
                <w:sz w:val="24"/>
                <w:highlight w:val="none"/>
                <w:u w:val="none"/>
              </w:rPr>
            </w:pPr>
            <w:r>
              <w:rPr>
                <w:rFonts w:hint="eastAsia"/>
                <w:b/>
                <w:bCs/>
                <w:color w:val="auto"/>
                <w:kern w:val="0"/>
                <w:sz w:val="24"/>
                <w:highlight w:val="none"/>
                <w:u w:val="none"/>
                <w:lang w:val="en-US" w:eastAsia="zh-CN"/>
              </w:rPr>
              <w:t>1、</w:t>
            </w:r>
            <w:r>
              <w:rPr>
                <w:rFonts w:hint="eastAsia"/>
                <w:b/>
                <w:bCs/>
                <w:color w:val="auto"/>
                <w:kern w:val="0"/>
                <w:sz w:val="24"/>
                <w:highlight w:val="none"/>
                <w:u w:val="none"/>
              </w:rPr>
              <w:t>基本污染物环境质量现状数据</w:t>
            </w:r>
          </w:p>
          <w:p>
            <w:pPr>
              <w:spacing w:line="360" w:lineRule="auto"/>
              <w:ind w:firstLine="480" w:firstLineChars="200"/>
              <w:rPr>
                <w:color w:val="auto"/>
                <w:kern w:val="0"/>
                <w:sz w:val="24"/>
                <w:highlight w:val="none"/>
                <w:u w:val="none"/>
                <w:lang w:bidi="ar"/>
              </w:rPr>
            </w:pPr>
            <w:r>
              <w:rPr>
                <w:rFonts w:hint="eastAsia"/>
                <w:color w:val="auto"/>
                <w:kern w:val="0"/>
                <w:sz w:val="24"/>
                <w:highlight w:val="none"/>
                <w:u w:val="none"/>
              </w:rPr>
              <w:t>本项目位于岳阳市</w:t>
            </w:r>
            <w:r>
              <w:rPr>
                <w:rFonts w:hint="eastAsia"/>
                <w:color w:val="auto"/>
                <w:kern w:val="0"/>
                <w:sz w:val="24"/>
                <w:highlight w:val="none"/>
                <w:u w:val="none"/>
                <w:lang w:val="en-US" w:eastAsia="zh-CN"/>
              </w:rPr>
              <w:t>临湘市</w:t>
            </w:r>
            <w:r>
              <w:rPr>
                <w:rFonts w:hint="eastAsia"/>
                <w:color w:val="auto"/>
                <w:kern w:val="0"/>
                <w:sz w:val="24"/>
                <w:highlight w:val="none"/>
                <w:u w:val="none"/>
              </w:rPr>
              <w:t>，根据《环境影响评价技术导则 大气环境》(HJ2.2-2018)第 6.2.1.1 条规定：项目所在区域达标判定，优先采用国家或地方生态环境主管部门公开发布的评价基准年环境质量公告或环境质量报告中的数据或结论，并能满足项目评价要求的，可不再进行现状监测。根据《环境影响评价技术导则—大气环境》（HJ2.2—2018）中“6 环境空气质量现状调查与评价”内容，首先需要调查项目所在区域环境质量达标情况，作为项目所在区域是否为达标区的判断依据。并且根据导则“5.5 依据评价所需环境空气质量现状、气象资料等数据的可获得性、数量质量、代表性等因素，选择近3年中数据相对完整的1个日历年作为评价基准年”的内容。本次环评收集了</w:t>
            </w:r>
            <w:r>
              <w:rPr>
                <w:rFonts w:hint="eastAsia"/>
                <w:color w:val="auto"/>
                <w:kern w:val="0"/>
                <w:sz w:val="24"/>
                <w:highlight w:val="none"/>
                <w:u w:val="none"/>
                <w:lang w:val="en-US" w:eastAsia="zh-CN"/>
              </w:rPr>
              <w:t>临湘市</w:t>
            </w:r>
            <w:r>
              <w:rPr>
                <w:rFonts w:hint="eastAsia"/>
                <w:color w:val="auto"/>
                <w:kern w:val="0"/>
                <w:sz w:val="24"/>
                <w:highlight w:val="none"/>
                <w:u w:val="none"/>
              </w:rPr>
              <w:t>202</w:t>
            </w:r>
            <w:r>
              <w:rPr>
                <w:rFonts w:hint="eastAsia"/>
                <w:color w:val="auto"/>
                <w:kern w:val="0"/>
                <w:sz w:val="24"/>
                <w:highlight w:val="none"/>
                <w:u w:val="none"/>
                <w:lang w:val="en-US" w:eastAsia="zh-CN"/>
              </w:rPr>
              <w:t>2</w:t>
            </w:r>
            <w:r>
              <w:rPr>
                <w:rFonts w:hint="eastAsia"/>
                <w:color w:val="auto"/>
                <w:kern w:val="0"/>
                <w:sz w:val="24"/>
                <w:highlight w:val="none"/>
                <w:u w:val="none"/>
              </w:rPr>
              <w:t>年的基本因子的监测统计数据，统计结果如下。</w:t>
            </w:r>
          </w:p>
          <w:p>
            <w:pPr>
              <w:autoSpaceDE w:val="0"/>
              <w:autoSpaceDN w:val="0"/>
              <w:adjustRightInd w:val="0"/>
              <w:spacing w:line="360" w:lineRule="auto"/>
              <w:jc w:val="center"/>
              <w:rPr>
                <w:b/>
                <w:color w:val="auto"/>
                <w:kern w:val="0"/>
                <w:sz w:val="24"/>
                <w:highlight w:val="none"/>
                <w:u w:val="none" w:color="auto"/>
              </w:rPr>
            </w:pPr>
            <w:r>
              <w:rPr>
                <w:b/>
                <w:color w:val="auto"/>
                <w:kern w:val="0"/>
                <w:sz w:val="24"/>
                <w:highlight w:val="none"/>
                <w:u w:val="none" w:color="auto"/>
              </w:rPr>
              <w:t xml:space="preserve">表3-1  </w:t>
            </w:r>
            <w:r>
              <w:rPr>
                <w:rFonts w:hint="eastAsia"/>
                <w:b/>
                <w:color w:val="auto"/>
                <w:kern w:val="0"/>
                <w:sz w:val="24"/>
                <w:highlight w:val="none"/>
                <w:u w:val="none" w:color="auto"/>
              </w:rPr>
              <w:t>202</w:t>
            </w:r>
            <w:r>
              <w:rPr>
                <w:rFonts w:hint="eastAsia"/>
                <w:b/>
                <w:color w:val="auto"/>
                <w:kern w:val="0"/>
                <w:sz w:val="24"/>
                <w:highlight w:val="none"/>
                <w:u w:val="none" w:color="auto"/>
                <w:lang w:val="en-US" w:eastAsia="zh-CN"/>
              </w:rPr>
              <w:t>2</w:t>
            </w:r>
            <w:r>
              <w:rPr>
                <w:rFonts w:hint="eastAsia"/>
                <w:b/>
                <w:color w:val="auto"/>
                <w:kern w:val="0"/>
                <w:sz w:val="24"/>
                <w:highlight w:val="none"/>
                <w:u w:val="none" w:color="auto"/>
              </w:rPr>
              <w:t xml:space="preserve"> 年</w:t>
            </w:r>
            <w:r>
              <w:rPr>
                <w:rFonts w:hint="eastAsia"/>
                <w:b/>
                <w:color w:val="auto"/>
                <w:kern w:val="0"/>
                <w:sz w:val="24"/>
                <w:highlight w:val="none"/>
                <w:u w:val="none" w:color="auto"/>
                <w:lang w:val="en-US" w:eastAsia="zh-CN"/>
              </w:rPr>
              <w:t>临湘市</w:t>
            </w:r>
            <w:r>
              <w:rPr>
                <w:rFonts w:hint="eastAsia"/>
                <w:b/>
                <w:color w:val="auto"/>
                <w:kern w:val="0"/>
                <w:sz w:val="24"/>
                <w:highlight w:val="none"/>
                <w:u w:val="none" w:color="auto"/>
              </w:rPr>
              <w:t>空气质量现状评价表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68"/>
              <w:gridCol w:w="3220"/>
              <w:gridCol w:w="1164"/>
              <w:gridCol w:w="864"/>
              <w:gridCol w:w="1008"/>
              <w:gridCol w:w="10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768" w:type="dxa"/>
                  <w:vMerge w:val="restart"/>
                  <w:noWrap w:val="0"/>
                  <w:vAlign w:val="center"/>
                </w:tcPr>
                <w:p>
                  <w:pPr>
                    <w:jc w:val="center"/>
                    <w:rPr>
                      <w:b/>
                      <w:color w:val="auto"/>
                      <w:szCs w:val="21"/>
                      <w:highlight w:val="none"/>
                      <w:u w:val="none" w:color="auto"/>
                    </w:rPr>
                  </w:pPr>
                  <w:r>
                    <w:rPr>
                      <w:b/>
                      <w:color w:val="auto"/>
                      <w:szCs w:val="21"/>
                      <w:highlight w:val="none"/>
                      <w:u w:val="none" w:color="auto"/>
                    </w:rPr>
                    <w:t>污染物</w:t>
                  </w:r>
                </w:p>
              </w:tc>
              <w:tc>
                <w:tcPr>
                  <w:tcW w:w="3220" w:type="dxa"/>
                  <w:vMerge w:val="restart"/>
                  <w:noWrap w:val="0"/>
                  <w:vAlign w:val="center"/>
                </w:tcPr>
                <w:p>
                  <w:pPr>
                    <w:jc w:val="center"/>
                    <w:rPr>
                      <w:b/>
                      <w:color w:val="auto"/>
                      <w:szCs w:val="21"/>
                      <w:highlight w:val="none"/>
                      <w:u w:val="none" w:color="auto"/>
                    </w:rPr>
                  </w:pPr>
                  <w:r>
                    <w:rPr>
                      <w:b/>
                      <w:color w:val="auto"/>
                      <w:szCs w:val="21"/>
                      <w:highlight w:val="none"/>
                      <w:u w:val="none" w:color="auto"/>
                    </w:rPr>
                    <w:t>年评价指标</w:t>
                  </w:r>
                </w:p>
              </w:tc>
              <w:tc>
                <w:tcPr>
                  <w:tcW w:w="1164" w:type="dxa"/>
                  <w:vMerge w:val="restart"/>
                  <w:noWrap w:val="0"/>
                  <w:vAlign w:val="center"/>
                </w:tcPr>
                <w:p>
                  <w:pPr>
                    <w:jc w:val="center"/>
                    <w:rPr>
                      <w:b/>
                      <w:color w:val="auto"/>
                      <w:szCs w:val="21"/>
                      <w:highlight w:val="none"/>
                      <w:u w:val="none" w:color="auto"/>
                    </w:rPr>
                  </w:pPr>
                  <w:r>
                    <w:rPr>
                      <w:b/>
                      <w:color w:val="auto"/>
                      <w:szCs w:val="21"/>
                      <w:highlight w:val="none"/>
                      <w:u w:val="none" w:color="auto"/>
                    </w:rPr>
                    <w:t>现状浓度ug/m</w:t>
                  </w:r>
                  <w:r>
                    <w:rPr>
                      <w:b/>
                      <w:color w:val="auto"/>
                      <w:szCs w:val="21"/>
                      <w:highlight w:val="none"/>
                      <w:u w:val="none" w:color="auto"/>
                      <w:vertAlign w:val="superscript"/>
                    </w:rPr>
                    <w:t>3</w:t>
                  </w:r>
                </w:p>
              </w:tc>
              <w:tc>
                <w:tcPr>
                  <w:tcW w:w="864" w:type="dxa"/>
                  <w:vMerge w:val="restart"/>
                  <w:noWrap w:val="0"/>
                  <w:vAlign w:val="center"/>
                </w:tcPr>
                <w:p>
                  <w:pPr>
                    <w:jc w:val="center"/>
                    <w:rPr>
                      <w:b/>
                      <w:color w:val="auto"/>
                      <w:szCs w:val="21"/>
                      <w:highlight w:val="none"/>
                      <w:u w:val="none" w:color="auto"/>
                    </w:rPr>
                  </w:pPr>
                  <w:r>
                    <w:rPr>
                      <w:b/>
                      <w:color w:val="auto"/>
                      <w:szCs w:val="21"/>
                      <w:highlight w:val="none"/>
                      <w:u w:val="none" w:color="auto"/>
                    </w:rPr>
                    <w:t>标准值ug/m</w:t>
                  </w:r>
                  <w:r>
                    <w:rPr>
                      <w:b/>
                      <w:color w:val="auto"/>
                      <w:szCs w:val="21"/>
                      <w:highlight w:val="none"/>
                      <w:u w:val="none" w:color="auto"/>
                      <w:vertAlign w:val="superscript"/>
                    </w:rPr>
                    <w:t>3</w:t>
                  </w:r>
                </w:p>
              </w:tc>
              <w:tc>
                <w:tcPr>
                  <w:tcW w:w="1008" w:type="dxa"/>
                  <w:vMerge w:val="restart"/>
                  <w:noWrap w:val="0"/>
                  <w:vAlign w:val="center"/>
                </w:tcPr>
                <w:p>
                  <w:pPr>
                    <w:jc w:val="center"/>
                    <w:rPr>
                      <w:b/>
                      <w:color w:val="auto"/>
                      <w:szCs w:val="21"/>
                      <w:highlight w:val="none"/>
                      <w:u w:val="none" w:color="auto"/>
                    </w:rPr>
                  </w:pPr>
                  <w:r>
                    <w:rPr>
                      <w:b/>
                      <w:color w:val="auto"/>
                      <w:szCs w:val="21"/>
                      <w:highlight w:val="none"/>
                      <w:u w:val="none" w:color="auto"/>
                    </w:rPr>
                    <w:t>占标率</w:t>
                  </w:r>
                </w:p>
              </w:tc>
              <w:tc>
                <w:tcPr>
                  <w:tcW w:w="1036" w:type="dxa"/>
                  <w:vMerge w:val="restart"/>
                  <w:noWrap w:val="0"/>
                  <w:vAlign w:val="center"/>
                </w:tcPr>
                <w:p>
                  <w:pPr>
                    <w:jc w:val="center"/>
                    <w:rPr>
                      <w:b/>
                      <w:color w:val="auto"/>
                      <w:szCs w:val="21"/>
                      <w:highlight w:val="none"/>
                      <w:u w:val="none" w:color="auto"/>
                    </w:rPr>
                  </w:pPr>
                  <w:r>
                    <w:rPr>
                      <w:b/>
                      <w:color w:val="auto"/>
                      <w:szCs w:val="21"/>
                      <w:highlight w:val="none"/>
                      <w:u w:val="none" w:color="auto"/>
                    </w:rPr>
                    <w:t>达标情况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768" w:type="dxa"/>
                  <w:vMerge w:val="continue"/>
                  <w:noWrap w:val="0"/>
                  <w:vAlign w:val="center"/>
                </w:tcPr>
                <w:p>
                  <w:pPr>
                    <w:widowControl/>
                    <w:jc w:val="left"/>
                    <w:rPr>
                      <w:b/>
                      <w:color w:val="auto"/>
                      <w:szCs w:val="21"/>
                      <w:highlight w:val="none"/>
                      <w:u w:val="none" w:color="auto"/>
                    </w:rPr>
                  </w:pPr>
                </w:p>
              </w:tc>
              <w:tc>
                <w:tcPr>
                  <w:tcW w:w="3220" w:type="dxa"/>
                  <w:vMerge w:val="continue"/>
                  <w:noWrap w:val="0"/>
                  <w:vAlign w:val="center"/>
                </w:tcPr>
                <w:p>
                  <w:pPr>
                    <w:widowControl/>
                    <w:jc w:val="left"/>
                    <w:rPr>
                      <w:b/>
                      <w:color w:val="auto"/>
                      <w:szCs w:val="21"/>
                      <w:highlight w:val="none"/>
                      <w:u w:val="none" w:color="auto"/>
                    </w:rPr>
                  </w:pPr>
                </w:p>
              </w:tc>
              <w:tc>
                <w:tcPr>
                  <w:tcW w:w="1164" w:type="dxa"/>
                  <w:vMerge w:val="continue"/>
                  <w:noWrap w:val="0"/>
                  <w:vAlign w:val="center"/>
                </w:tcPr>
                <w:p>
                  <w:pPr>
                    <w:widowControl/>
                    <w:jc w:val="left"/>
                    <w:rPr>
                      <w:b/>
                      <w:color w:val="auto"/>
                      <w:szCs w:val="21"/>
                      <w:highlight w:val="none"/>
                      <w:u w:val="none" w:color="auto"/>
                    </w:rPr>
                  </w:pPr>
                </w:p>
              </w:tc>
              <w:tc>
                <w:tcPr>
                  <w:tcW w:w="864" w:type="dxa"/>
                  <w:vMerge w:val="continue"/>
                  <w:noWrap w:val="0"/>
                  <w:vAlign w:val="center"/>
                </w:tcPr>
                <w:p>
                  <w:pPr>
                    <w:widowControl/>
                    <w:jc w:val="left"/>
                    <w:rPr>
                      <w:b/>
                      <w:color w:val="auto"/>
                      <w:szCs w:val="21"/>
                      <w:highlight w:val="none"/>
                      <w:u w:val="none" w:color="auto"/>
                    </w:rPr>
                  </w:pPr>
                </w:p>
              </w:tc>
              <w:tc>
                <w:tcPr>
                  <w:tcW w:w="1008" w:type="dxa"/>
                  <w:vMerge w:val="continue"/>
                  <w:noWrap w:val="0"/>
                  <w:vAlign w:val="center"/>
                </w:tcPr>
                <w:p>
                  <w:pPr>
                    <w:widowControl/>
                    <w:jc w:val="left"/>
                    <w:rPr>
                      <w:b/>
                      <w:color w:val="auto"/>
                      <w:szCs w:val="21"/>
                      <w:highlight w:val="none"/>
                      <w:u w:val="none" w:color="auto"/>
                    </w:rPr>
                  </w:pPr>
                </w:p>
              </w:tc>
              <w:tc>
                <w:tcPr>
                  <w:tcW w:w="1036" w:type="dxa"/>
                  <w:vMerge w:val="continue"/>
                  <w:noWrap w:val="0"/>
                  <w:vAlign w:val="center"/>
                </w:tcPr>
                <w:p>
                  <w:pPr>
                    <w:widowControl/>
                    <w:jc w:val="left"/>
                    <w:rPr>
                      <w:b/>
                      <w:color w:val="auto"/>
                      <w:szCs w:val="21"/>
                      <w:highlight w:val="none"/>
                      <w:u w:val="none" w:color="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768" w:type="dxa"/>
                  <w:noWrap w:val="0"/>
                  <w:vAlign w:val="center"/>
                </w:tcPr>
                <w:p>
                  <w:pPr>
                    <w:jc w:val="center"/>
                    <w:rPr>
                      <w:color w:val="auto"/>
                      <w:szCs w:val="21"/>
                      <w:highlight w:val="none"/>
                      <w:u w:val="none" w:color="auto"/>
                    </w:rPr>
                  </w:pPr>
                  <w:r>
                    <w:rPr>
                      <w:bCs/>
                      <w:color w:val="auto"/>
                      <w:szCs w:val="21"/>
                      <w:highlight w:val="none"/>
                      <w:u w:val="none" w:color="auto"/>
                    </w:rPr>
                    <w:t>SO</w:t>
                  </w:r>
                  <w:r>
                    <w:rPr>
                      <w:bCs/>
                      <w:color w:val="auto"/>
                      <w:szCs w:val="21"/>
                      <w:highlight w:val="none"/>
                      <w:u w:val="none" w:color="auto"/>
                      <w:vertAlign w:val="subscript"/>
                    </w:rPr>
                    <w:t>2</w:t>
                  </w:r>
                </w:p>
              </w:tc>
              <w:tc>
                <w:tcPr>
                  <w:tcW w:w="3220" w:type="dxa"/>
                  <w:noWrap w:val="0"/>
                  <w:vAlign w:val="center"/>
                </w:tcPr>
                <w:p>
                  <w:pPr>
                    <w:jc w:val="center"/>
                    <w:rPr>
                      <w:color w:val="auto"/>
                      <w:szCs w:val="21"/>
                      <w:highlight w:val="none"/>
                      <w:u w:val="none" w:color="auto"/>
                    </w:rPr>
                  </w:pPr>
                  <w:r>
                    <w:rPr>
                      <w:color w:val="auto"/>
                      <w:szCs w:val="21"/>
                      <w:highlight w:val="none"/>
                      <w:u w:val="none" w:color="auto"/>
                    </w:rPr>
                    <w:t>年平均质量浓度</w:t>
                  </w:r>
                </w:p>
              </w:tc>
              <w:tc>
                <w:tcPr>
                  <w:tcW w:w="11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eastAsia="宋体"/>
                      <w:color w:val="auto"/>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val="en-US" w:eastAsia="zh-CN"/>
                    </w:rPr>
                    <w:t>9</w:t>
                  </w:r>
                </w:p>
              </w:tc>
              <w:tc>
                <w:tcPr>
                  <w:tcW w:w="864" w:type="dxa"/>
                  <w:noWrap w:val="0"/>
                  <w:vAlign w:val="center"/>
                </w:tcPr>
                <w:p>
                  <w:pPr>
                    <w:jc w:val="center"/>
                    <w:rPr>
                      <w:color w:val="auto"/>
                      <w:szCs w:val="21"/>
                      <w:highlight w:val="none"/>
                      <w:u w:val="none" w:color="auto"/>
                    </w:rPr>
                  </w:pPr>
                  <w:r>
                    <w:rPr>
                      <w:color w:val="auto"/>
                      <w:szCs w:val="21"/>
                      <w:highlight w:val="none"/>
                      <w:u w:val="none" w:color="auto"/>
                    </w:rPr>
                    <w:t>60</w:t>
                  </w:r>
                </w:p>
              </w:tc>
              <w:tc>
                <w:tcPr>
                  <w:tcW w:w="1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eastAsia" w:ascii="Times New Roman" w:hAnsi="Times New Roman" w:eastAsia="宋体" w:cs="Times New Roman"/>
                      <w:color w:val="auto"/>
                      <w:spacing w:val="-8"/>
                      <w:sz w:val="21"/>
                      <w:szCs w:val="21"/>
                      <w:highlight w:val="none"/>
                      <w:u w:val="none" w:color="auto"/>
                      <w:lang w:val="en-US" w:eastAsia="zh-CN"/>
                    </w:rPr>
                    <w:t>15</w:t>
                  </w:r>
                </w:p>
              </w:tc>
              <w:tc>
                <w:tcPr>
                  <w:tcW w:w="1036" w:type="dxa"/>
                  <w:noWrap w:val="0"/>
                  <w:vAlign w:val="center"/>
                </w:tcPr>
                <w:p>
                  <w:pPr>
                    <w:jc w:val="center"/>
                    <w:rPr>
                      <w:color w:val="auto"/>
                      <w:szCs w:val="21"/>
                      <w:highlight w:val="none"/>
                      <w:u w:val="none" w:color="auto"/>
                    </w:rPr>
                  </w:pPr>
                  <w:r>
                    <w:rPr>
                      <w:bCs/>
                      <w:color w:val="auto"/>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768" w:type="dxa"/>
                  <w:noWrap w:val="0"/>
                  <w:vAlign w:val="center"/>
                </w:tcPr>
                <w:p>
                  <w:pPr>
                    <w:jc w:val="center"/>
                    <w:rPr>
                      <w:color w:val="auto"/>
                      <w:szCs w:val="21"/>
                      <w:highlight w:val="none"/>
                      <w:u w:val="none" w:color="auto"/>
                    </w:rPr>
                  </w:pPr>
                  <w:r>
                    <w:rPr>
                      <w:bCs/>
                      <w:color w:val="auto"/>
                      <w:szCs w:val="21"/>
                      <w:highlight w:val="none"/>
                      <w:u w:val="none" w:color="auto"/>
                    </w:rPr>
                    <w:t>NO</w:t>
                  </w:r>
                  <w:r>
                    <w:rPr>
                      <w:bCs/>
                      <w:color w:val="auto"/>
                      <w:szCs w:val="21"/>
                      <w:highlight w:val="none"/>
                      <w:u w:val="none" w:color="auto"/>
                      <w:vertAlign w:val="subscript"/>
                    </w:rPr>
                    <w:t>2</w:t>
                  </w:r>
                </w:p>
              </w:tc>
              <w:tc>
                <w:tcPr>
                  <w:tcW w:w="3220" w:type="dxa"/>
                  <w:noWrap w:val="0"/>
                  <w:vAlign w:val="center"/>
                </w:tcPr>
                <w:p>
                  <w:pPr>
                    <w:jc w:val="center"/>
                    <w:rPr>
                      <w:color w:val="auto"/>
                      <w:szCs w:val="21"/>
                      <w:highlight w:val="none"/>
                      <w:u w:val="none" w:color="auto"/>
                    </w:rPr>
                  </w:pPr>
                  <w:r>
                    <w:rPr>
                      <w:color w:val="auto"/>
                      <w:szCs w:val="21"/>
                      <w:highlight w:val="none"/>
                      <w:u w:val="none" w:color="auto"/>
                    </w:rPr>
                    <w:t>年平均质量浓度</w:t>
                  </w:r>
                </w:p>
              </w:tc>
              <w:tc>
                <w:tcPr>
                  <w:tcW w:w="11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eastAsia" w:ascii="Times New Roman" w:hAnsi="Times New Roman" w:eastAsia="宋体" w:cs="Times New Roman"/>
                      <w:color w:val="auto"/>
                      <w:spacing w:val="3"/>
                      <w:sz w:val="21"/>
                      <w:szCs w:val="21"/>
                      <w:highlight w:val="none"/>
                      <w:u w:val="none" w:color="auto"/>
                      <w:lang w:val="en-US" w:eastAsia="zh-CN"/>
                    </w:rPr>
                    <w:t>24</w:t>
                  </w:r>
                </w:p>
              </w:tc>
              <w:tc>
                <w:tcPr>
                  <w:tcW w:w="864" w:type="dxa"/>
                  <w:noWrap w:val="0"/>
                  <w:vAlign w:val="center"/>
                </w:tcPr>
                <w:p>
                  <w:pPr>
                    <w:jc w:val="center"/>
                    <w:rPr>
                      <w:color w:val="auto"/>
                      <w:szCs w:val="21"/>
                      <w:highlight w:val="none"/>
                      <w:u w:val="none" w:color="auto"/>
                    </w:rPr>
                  </w:pPr>
                  <w:r>
                    <w:rPr>
                      <w:color w:val="auto"/>
                      <w:szCs w:val="21"/>
                      <w:highlight w:val="none"/>
                      <w:u w:val="none" w:color="auto"/>
                    </w:rPr>
                    <w:t>40</w:t>
                  </w:r>
                </w:p>
              </w:tc>
              <w:tc>
                <w:tcPr>
                  <w:tcW w:w="1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eastAsia" w:ascii="Times New Roman" w:hAnsi="Times New Roman" w:eastAsia="宋体" w:cs="Times New Roman"/>
                      <w:color w:val="auto"/>
                      <w:spacing w:val="6"/>
                      <w:sz w:val="21"/>
                      <w:szCs w:val="21"/>
                      <w:highlight w:val="none"/>
                      <w:u w:val="none" w:color="auto"/>
                      <w:lang w:val="en-US" w:eastAsia="zh-CN"/>
                    </w:rPr>
                    <w:t>60</w:t>
                  </w:r>
                </w:p>
              </w:tc>
              <w:tc>
                <w:tcPr>
                  <w:tcW w:w="1036" w:type="dxa"/>
                  <w:noWrap w:val="0"/>
                  <w:vAlign w:val="center"/>
                </w:tcPr>
                <w:p>
                  <w:pPr>
                    <w:jc w:val="center"/>
                    <w:rPr>
                      <w:color w:val="auto"/>
                      <w:szCs w:val="21"/>
                      <w:highlight w:val="none"/>
                      <w:u w:val="none" w:color="auto"/>
                    </w:rPr>
                  </w:pPr>
                  <w:r>
                    <w:rPr>
                      <w:bCs/>
                      <w:color w:val="auto"/>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768" w:type="dxa"/>
                  <w:noWrap w:val="0"/>
                  <w:vAlign w:val="center"/>
                </w:tcPr>
                <w:p>
                  <w:pPr>
                    <w:jc w:val="center"/>
                    <w:rPr>
                      <w:color w:val="auto"/>
                      <w:szCs w:val="21"/>
                      <w:highlight w:val="none"/>
                      <w:u w:val="none" w:color="auto"/>
                    </w:rPr>
                  </w:pPr>
                  <w:r>
                    <w:rPr>
                      <w:bCs/>
                      <w:color w:val="auto"/>
                      <w:szCs w:val="21"/>
                      <w:highlight w:val="none"/>
                      <w:u w:val="none" w:color="auto"/>
                    </w:rPr>
                    <w:t>PM</w:t>
                  </w:r>
                  <w:r>
                    <w:rPr>
                      <w:bCs/>
                      <w:color w:val="auto"/>
                      <w:szCs w:val="21"/>
                      <w:highlight w:val="none"/>
                      <w:u w:val="none" w:color="auto"/>
                      <w:vertAlign w:val="subscript"/>
                    </w:rPr>
                    <w:t>10</w:t>
                  </w:r>
                </w:p>
              </w:tc>
              <w:tc>
                <w:tcPr>
                  <w:tcW w:w="3220" w:type="dxa"/>
                  <w:noWrap w:val="0"/>
                  <w:vAlign w:val="center"/>
                </w:tcPr>
                <w:p>
                  <w:pPr>
                    <w:jc w:val="center"/>
                    <w:rPr>
                      <w:color w:val="auto"/>
                      <w:szCs w:val="21"/>
                      <w:highlight w:val="none"/>
                      <w:u w:val="none" w:color="auto"/>
                    </w:rPr>
                  </w:pPr>
                  <w:r>
                    <w:rPr>
                      <w:color w:val="auto"/>
                      <w:szCs w:val="21"/>
                      <w:highlight w:val="none"/>
                      <w:u w:val="none" w:color="auto"/>
                    </w:rPr>
                    <w:t>年平均质量浓度</w:t>
                  </w:r>
                </w:p>
              </w:tc>
              <w:tc>
                <w:tcPr>
                  <w:tcW w:w="11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52</w:t>
                  </w:r>
                </w:p>
              </w:tc>
              <w:tc>
                <w:tcPr>
                  <w:tcW w:w="864" w:type="dxa"/>
                  <w:noWrap w:val="0"/>
                  <w:vAlign w:val="center"/>
                </w:tcPr>
                <w:p>
                  <w:pPr>
                    <w:jc w:val="center"/>
                    <w:rPr>
                      <w:color w:val="auto"/>
                      <w:szCs w:val="21"/>
                      <w:highlight w:val="none"/>
                      <w:u w:val="none" w:color="auto"/>
                    </w:rPr>
                  </w:pPr>
                  <w:r>
                    <w:rPr>
                      <w:color w:val="auto"/>
                      <w:szCs w:val="21"/>
                      <w:highlight w:val="none"/>
                      <w:u w:val="none" w:color="auto"/>
                    </w:rPr>
                    <w:t>70</w:t>
                  </w:r>
                </w:p>
              </w:tc>
              <w:tc>
                <w:tcPr>
                  <w:tcW w:w="1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eastAsia" w:ascii="Times New Roman" w:hAnsi="Times New Roman" w:eastAsia="宋体" w:cs="Times New Roman"/>
                      <w:color w:val="auto"/>
                      <w:spacing w:val="4"/>
                      <w:sz w:val="21"/>
                      <w:szCs w:val="21"/>
                      <w:highlight w:val="none"/>
                      <w:u w:val="none" w:color="auto"/>
                      <w:lang w:val="en-US" w:eastAsia="zh-CN"/>
                    </w:rPr>
                    <w:t>74.3</w:t>
                  </w:r>
                </w:p>
              </w:tc>
              <w:tc>
                <w:tcPr>
                  <w:tcW w:w="1036" w:type="dxa"/>
                  <w:noWrap w:val="0"/>
                  <w:vAlign w:val="center"/>
                </w:tcPr>
                <w:p>
                  <w:pPr>
                    <w:jc w:val="center"/>
                    <w:rPr>
                      <w:color w:val="auto"/>
                      <w:szCs w:val="21"/>
                      <w:highlight w:val="none"/>
                      <w:u w:val="none" w:color="auto"/>
                    </w:rPr>
                  </w:pPr>
                  <w:r>
                    <w:rPr>
                      <w:color w:val="auto"/>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768" w:type="dxa"/>
                  <w:noWrap w:val="0"/>
                  <w:vAlign w:val="center"/>
                </w:tcPr>
                <w:p>
                  <w:pPr>
                    <w:jc w:val="center"/>
                    <w:rPr>
                      <w:bCs/>
                      <w:color w:val="auto"/>
                      <w:szCs w:val="21"/>
                      <w:highlight w:val="none"/>
                      <w:u w:val="none" w:color="auto"/>
                    </w:rPr>
                  </w:pPr>
                  <w:r>
                    <w:rPr>
                      <w:bCs/>
                      <w:color w:val="auto"/>
                      <w:szCs w:val="21"/>
                      <w:highlight w:val="none"/>
                      <w:u w:val="none" w:color="auto"/>
                    </w:rPr>
                    <w:t>PM</w:t>
                  </w:r>
                  <w:r>
                    <w:rPr>
                      <w:bCs/>
                      <w:color w:val="auto"/>
                      <w:szCs w:val="21"/>
                      <w:highlight w:val="none"/>
                      <w:u w:val="none" w:color="auto"/>
                      <w:vertAlign w:val="subscript"/>
                    </w:rPr>
                    <w:t>2.5</w:t>
                  </w:r>
                </w:p>
              </w:tc>
              <w:tc>
                <w:tcPr>
                  <w:tcW w:w="3220" w:type="dxa"/>
                  <w:noWrap w:val="0"/>
                  <w:vAlign w:val="center"/>
                </w:tcPr>
                <w:p>
                  <w:pPr>
                    <w:jc w:val="center"/>
                    <w:rPr>
                      <w:color w:val="auto"/>
                      <w:szCs w:val="21"/>
                      <w:highlight w:val="none"/>
                      <w:u w:val="none" w:color="auto"/>
                    </w:rPr>
                  </w:pPr>
                  <w:r>
                    <w:rPr>
                      <w:color w:val="auto"/>
                      <w:szCs w:val="21"/>
                      <w:highlight w:val="none"/>
                      <w:u w:val="none" w:color="auto"/>
                    </w:rPr>
                    <w:t>年平均质量浓度</w:t>
                  </w:r>
                </w:p>
              </w:tc>
              <w:tc>
                <w:tcPr>
                  <w:tcW w:w="11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default" w:ascii="Times New Roman" w:hAnsi="Times New Roman" w:eastAsia="Times New Roman" w:cs="Times New Roman"/>
                      <w:color w:val="auto"/>
                      <w:spacing w:val="1"/>
                      <w:sz w:val="21"/>
                      <w:szCs w:val="21"/>
                      <w:highlight w:val="none"/>
                      <w:u w:val="none" w:color="auto"/>
                    </w:rPr>
                    <w:t>3</w:t>
                  </w:r>
                  <w:r>
                    <w:rPr>
                      <w:rFonts w:hint="default" w:ascii="Times New Roman" w:hAnsi="Times New Roman" w:eastAsia="Times New Roman" w:cs="Times New Roman"/>
                      <w:color w:val="auto"/>
                      <w:sz w:val="21"/>
                      <w:szCs w:val="21"/>
                      <w:highlight w:val="none"/>
                      <w:u w:val="none" w:color="auto"/>
                    </w:rPr>
                    <w:t>5</w:t>
                  </w:r>
                </w:p>
              </w:tc>
              <w:tc>
                <w:tcPr>
                  <w:tcW w:w="864" w:type="dxa"/>
                  <w:noWrap w:val="0"/>
                  <w:vAlign w:val="center"/>
                </w:tcPr>
                <w:p>
                  <w:pPr>
                    <w:jc w:val="center"/>
                    <w:rPr>
                      <w:color w:val="auto"/>
                      <w:szCs w:val="21"/>
                      <w:highlight w:val="none"/>
                      <w:u w:val="none" w:color="auto"/>
                    </w:rPr>
                  </w:pPr>
                  <w:r>
                    <w:rPr>
                      <w:color w:val="auto"/>
                      <w:szCs w:val="21"/>
                      <w:highlight w:val="none"/>
                      <w:u w:val="none" w:color="auto"/>
                    </w:rPr>
                    <w:t>35</w:t>
                  </w:r>
                </w:p>
              </w:tc>
              <w:tc>
                <w:tcPr>
                  <w:tcW w:w="1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default" w:ascii="Times New Roman" w:hAnsi="Times New Roman" w:eastAsia="Times New Roman" w:cs="Times New Roman"/>
                      <w:color w:val="auto"/>
                      <w:spacing w:val="-3"/>
                      <w:sz w:val="21"/>
                      <w:szCs w:val="21"/>
                      <w:highlight w:val="none"/>
                      <w:u w:val="none" w:color="auto"/>
                    </w:rPr>
                    <w:t>100</w:t>
                  </w:r>
                </w:p>
              </w:tc>
              <w:tc>
                <w:tcPr>
                  <w:tcW w:w="1036" w:type="dxa"/>
                  <w:noWrap w:val="0"/>
                  <w:vAlign w:val="center"/>
                </w:tcPr>
                <w:p>
                  <w:pPr>
                    <w:jc w:val="center"/>
                    <w:rPr>
                      <w:rFonts w:hint="eastAsia" w:eastAsia="宋体"/>
                      <w:color w:val="auto"/>
                      <w:szCs w:val="21"/>
                      <w:highlight w:val="none"/>
                      <w:u w:val="none" w:color="auto"/>
                      <w:lang w:eastAsia="zh-CN"/>
                    </w:rPr>
                  </w:pPr>
                  <w:r>
                    <w:rPr>
                      <w:color w:val="auto"/>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768" w:type="dxa"/>
                  <w:noWrap w:val="0"/>
                  <w:vAlign w:val="center"/>
                </w:tcPr>
                <w:p>
                  <w:pPr>
                    <w:jc w:val="center"/>
                    <w:rPr>
                      <w:bCs/>
                      <w:color w:val="auto"/>
                      <w:szCs w:val="21"/>
                      <w:highlight w:val="none"/>
                      <w:u w:val="none" w:color="auto"/>
                    </w:rPr>
                  </w:pPr>
                  <w:r>
                    <w:rPr>
                      <w:bCs/>
                      <w:color w:val="auto"/>
                      <w:szCs w:val="21"/>
                      <w:highlight w:val="none"/>
                      <w:u w:val="none" w:color="auto"/>
                    </w:rPr>
                    <w:t>CO</w:t>
                  </w:r>
                </w:p>
              </w:tc>
              <w:tc>
                <w:tcPr>
                  <w:tcW w:w="3220" w:type="dxa"/>
                  <w:noWrap w:val="0"/>
                  <w:vAlign w:val="center"/>
                </w:tcPr>
                <w:p>
                  <w:pPr>
                    <w:jc w:val="center"/>
                    <w:rPr>
                      <w:color w:val="auto"/>
                      <w:szCs w:val="21"/>
                      <w:highlight w:val="none"/>
                      <w:u w:val="none" w:color="auto"/>
                    </w:rPr>
                  </w:pPr>
                  <w:r>
                    <w:rPr>
                      <w:color w:val="auto"/>
                      <w:szCs w:val="21"/>
                      <w:highlight w:val="none"/>
                      <w:u w:val="none" w:color="auto"/>
                    </w:rPr>
                    <w:t>95百分位数日平均质量浓度</w:t>
                  </w:r>
                </w:p>
              </w:tc>
              <w:tc>
                <w:tcPr>
                  <w:tcW w:w="11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color w:val="auto"/>
                      <w:szCs w:val="21"/>
                      <w:highlight w:val="none"/>
                      <w:u w:val="none" w:color="auto"/>
                    </w:rPr>
                  </w:pPr>
                  <w:r>
                    <w:rPr>
                      <w:rFonts w:hint="default" w:ascii="Times New Roman" w:hAnsi="Times New Roman" w:eastAsia="Times New Roman" w:cs="Times New Roman"/>
                      <w:color w:val="auto"/>
                      <w:spacing w:val="-1"/>
                      <w:sz w:val="21"/>
                      <w:szCs w:val="21"/>
                      <w:highlight w:val="none"/>
                      <w:u w:val="none" w:color="auto"/>
                    </w:rPr>
                    <w:t>1100</w:t>
                  </w:r>
                </w:p>
              </w:tc>
              <w:tc>
                <w:tcPr>
                  <w:tcW w:w="864" w:type="dxa"/>
                  <w:noWrap w:val="0"/>
                  <w:vAlign w:val="center"/>
                </w:tcPr>
                <w:p>
                  <w:pPr>
                    <w:jc w:val="center"/>
                    <w:rPr>
                      <w:color w:val="auto"/>
                      <w:szCs w:val="21"/>
                      <w:highlight w:val="none"/>
                      <w:u w:val="none" w:color="auto"/>
                    </w:rPr>
                  </w:pPr>
                  <w:r>
                    <w:rPr>
                      <w:color w:val="auto"/>
                      <w:szCs w:val="21"/>
                      <w:highlight w:val="none"/>
                      <w:u w:val="none" w:color="auto"/>
                    </w:rPr>
                    <w:t>4000</w:t>
                  </w:r>
                </w:p>
              </w:tc>
              <w:tc>
                <w:tcPr>
                  <w:tcW w:w="1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color w:val="auto"/>
                      <w:szCs w:val="21"/>
                      <w:highlight w:val="none"/>
                      <w:u w:val="none" w:color="auto"/>
                    </w:rPr>
                  </w:pPr>
                  <w:r>
                    <w:rPr>
                      <w:rFonts w:hint="default" w:ascii="Times New Roman" w:hAnsi="Times New Roman" w:eastAsia="Times New Roman" w:cs="Times New Roman"/>
                      <w:color w:val="auto"/>
                      <w:spacing w:val="5"/>
                      <w:sz w:val="21"/>
                      <w:szCs w:val="21"/>
                      <w:highlight w:val="none"/>
                      <w:u w:val="none" w:color="auto"/>
                    </w:rPr>
                    <w:t>27.</w:t>
                  </w:r>
                  <w:r>
                    <w:rPr>
                      <w:rFonts w:hint="default" w:ascii="Times New Roman" w:hAnsi="Times New Roman" w:eastAsia="Times New Roman" w:cs="Times New Roman"/>
                      <w:color w:val="auto"/>
                      <w:spacing w:val="4"/>
                      <w:sz w:val="21"/>
                      <w:szCs w:val="21"/>
                      <w:highlight w:val="none"/>
                      <w:u w:val="none" w:color="auto"/>
                    </w:rPr>
                    <w:t>5</w:t>
                  </w:r>
                </w:p>
              </w:tc>
              <w:tc>
                <w:tcPr>
                  <w:tcW w:w="1036" w:type="dxa"/>
                  <w:noWrap w:val="0"/>
                  <w:vAlign w:val="center"/>
                </w:tcPr>
                <w:p>
                  <w:pPr>
                    <w:jc w:val="center"/>
                    <w:rPr>
                      <w:color w:val="auto"/>
                      <w:szCs w:val="21"/>
                      <w:highlight w:val="none"/>
                      <w:u w:val="none" w:color="auto"/>
                    </w:rPr>
                  </w:pPr>
                  <w:r>
                    <w:rPr>
                      <w:bCs/>
                      <w:color w:val="auto"/>
                      <w:szCs w:val="21"/>
                      <w:highlight w:val="none"/>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6" w:hRule="atLeast"/>
                <w:jc w:val="center"/>
              </w:trPr>
              <w:tc>
                <w:tcPr>
                  <w:tcW w:w="768" w:type="dxa"/>
                  <w:noWrap w:val="0"/>
                  <w:vAlign w:val="center"/>
                </w:tcPr>
                <w:p>
                  <w:pPr>
                    <w:jc w:val="center"/>
                    <w:rPr>
                      <w:bCs/>
                      <w:color w:val="auto"/>
                      <w:szCs w:val="21"/>
                      <w:highlight w:val="none"/>
                      <w:u w:val="none" w:color="auto"/>
                    </w:rPr>
                  </w:pPr>
                  <w:r>
                    <w:rPr>
                      <w:bCs/>
                      <w:color w:val="auto"/>
                      <w:szCs w:val="21"/>
                      <w:highlight w:val="none"/>
                      <w:u w:val="none" w:color="auto"/>
                    </w:rPr>
                    <w:t>O</w:t>
                  </w:r>
                  <w:r>
                    <w:rPr>
                      <w:bCs/>
                      <w:color w:val="auto"/>
                      <w:szCs w:val="21"/>
                      <w:highlight w:val="none"/>
                      <w:u w:val="none" w:color="auto"/>
                      <w:vertAlign w:val="subscript"/>
                    </w:rPr>
                    <w:t>3</w:t>
                  </w:r>
                </w:p>
              </w:tc>
              <w:tc>
                <w:tcPr>
                  <w:tcW w:w="3220" w:type="dxa"/>
                  <w:noWrap w:val="0"/>
                  <w:vAlign w:val="center"/>
                </w:tcPr>
                <w:p>
                  <w:pPr>
                    <w:jc w:val="center"/>
                    <w:rPr>
                      <w:color w:val="auto"/>
                      <w:szCs w:val="21"/>
                      <w:highlight w:val="none"/>
                      <w:u w:val="none" w:color="auto"/>
                    </w:rPr>
                  </w:pPr>
                  <w:r>
                    <w:rPr>
                      <w:color w:val="auto"/>
                      <w:szCs w:val="21"/>
                      <w:highlight w:val="none"/>
                      <w:u w:val="none" w:color="auto"/>
                    </w:rPr>
                    <w:t>90百分位数8小时平均质量浓度</w:t>
                  </w:r>
                </w:p>
              </w:tc>
              <w:tc>
                <w:tcPr>
                  <w:tcW w:w="11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eastAsia" w:ascii="Times New Roman" w:hAnsi="Times New Roman" w:eastAsia="宋体" w:cs="Times New Roman"/>
                      <w:color w:val="auto"/>
                      <w:spacing w:val="-3"/>
                      <w:sz w:val="21"/>
                      <w:szCs w:val="21"/>
                      <w:highlight w:val="none"/>
                      <w:u w:val="none" w:color="auto"/>
                      <w:lang w:val="en-US" w:eastAsia="zh-CN"/>
                    </w:rPr>
                    <w:t>154</w:t>
                  </w:r>
                </w:p>
              </w:tc>
              <w:tc>
                <w:tcPr>
                  <w:tcW w:w="864" w:type="dxa"/>
                  <w:noWrap w:val="0"/>
                  <w:vAlign w:val="center"/>
                </w:tcPr>
                <w:p>
                  <w:pPr>
                    <w:jc w:val="center"/>
                    <w:rPr>
                      <w:color w:val="auto"/>
                      <w:szCs w:val="21"/>
                      <w:highlight w:val="none"/>
                      <w:u w:val="none" w:color="auto"/>
                    </w:rPr>
                  </w:pPr>
                  <w:r>
                    <w:rPr>
                      <w:color w:val="auto"/>
                      <w:szCs w:val="21"/>
                      <w:highlight w:val="none"/>
                      <w:u w:val="none" w:color="auto"/>
                    </w:rPr>
                    <w:t>160</w:t>
                  </w:r>
                </w:p>
              </w:tc>
              <w:tc>
                <w:tcPr>
                  <w:tcW w:w="1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eastAsia="宋体"/>
                      <w:color w:val="auto"/>
                      <w:szCs w:val="21"/>
                      <w:highlight w:val="none"/>
                      <w:u w:val="none" w:color="auto"/>
                      <w:lang w:val="en-US" w:eastAsia="zh-CN"/>
                    </w:rPr>
                  </w:pPr>
                  <w:r>
                    <w:rPr>
                      <w:rFonts w:hint="eastAsia" w:ascii="Times New Roman" w:hAnsi="Times New Roman" w:eastAsia="宋体" w:cs="Times New Roman"/>
                      <w:color w:val="auto"/>
                      <w:spacing w:val="3"/>
                      <w:sz w:val="21"/>
                      <w:szCs w:val="21"/>
                      <w:highlight w:val="none"/>
                      <w:u w:val="none" w:color="auto"/>
                      <w:lang w:val="en-US" w:eastAsia="zh-CN"/>
                    </w:rPr>
                    <w:t>96.3</w:t>
                  </w:r>
                </w:p>
              </w:tc>
              <w:tc>
                <w:tcPr>
                  <w:tcW w:w="1036" w:type="dxa"/>
                  <w:noWrap w:val="0"/>
                  <w:vAlign w:val="center"/>
                </w:tcPr>
                <w:p>
                  <w:pPr>
                    <w:jc w:val="center"/>
                    <w:rPr>
                      <w:color w:val="auto"/>
                      <w:szCs w:val="21"/>
                      <w:highlight w:val="none"/>
                      <w:u w:val="none" w:color="auto"/>
                    </w:rPr>
                  </w:pPr>
                  <w:r>
                    <w:rPr>
                      <w:bCs/>
                      <w:color w:val="auto"/>
                      <w:szCs w:val="21"/>
                      <w:highlight w:val="none"/>
                      <w:u w:val="none" w:color="auto"/>
                    </w:rPr>
                    <w:t>达标</w:t>
                  </w:r>
                </w:p>
              </w:tc>
            </w:tr>
          </w:tbl>
          <w:p>
            <w:pPr>
              <w:spacing w:line="360" w:lineRule="auto"/>
              <w:ind w:firstLine="480" w:firstLineChars="200"/>
              <w:rPr>
                <w:color w:val="auto"/>
                <w:kern w:val="0"/>
                <w:sz w:val="24"/>
                <w:highlight w:val="none"/>
                <w:u w:val="none"/>
                <w:lang w:bidi="ar"/>
              </w:rPr>
            </w:pPr>
            <w:r>
              <w:rPr>
                <w:rFonts w:hint="eastAsia"/>
                <w:color w:val="auto"/>
                <w:kern w:val="0"/>
                <w:sz w:val="24"/>
                <w:highlight w:val="none"/>
                <w:u w:val="none"/>
                <w:lang w:bidi="ar"/>
              </w:rPr>
              <w:t>根据《环境影响评价技术导则 大气环境》（HJ2.2-2018）第 6.4.1.1 条“城市环境空气质量达标情况评价指标为 SO</w:t>
            </w:r>
            <w:r>
              <w:rPr>
                <w:rFonts w:hint="eastAsia"/>
                <w:color w:val="auto"/>
                <w:kern w:val="0"/>
                <w:sz w:val="24"/>
                <w:highlight w:val="none"/>
                <w:u w:val="none"/>
                <w:vertAlign w:val="subscript"/>
                <w:lang w:bidi="ar"/>
              </w:rPr>
              <w:t>2</w:t>
            </w:r>
            <w:r>
              <w:rPr>
                <w:rFonts w:hint="eastAsia"/>
                <w:color w:val="auto"/>
                <w:kern w:val="0"/>
                <w:sz w:val="24"/>
                <w:highlight w:val="none"/>
                <w:u w:val="none"/>
                <w:lang w:bidi="ar"/>
              </w:rPr>
              <w:t>、NO</w:t>
            </w:r>
            <w:r>
              <w:rPr>
                <w:rFonts w:hint="eastAsia"/>
                <w:color w:val="auto"/>
                <w:kern w:val="0"/>
                <w:sz w:val="24"/>
                <w:highlight w:val="none"/>
                <w:u w:val="none"/>
                <w:vertAlign w:val="subscript"/>
                <w:lang w:bidi="ar"/>
              </w:rPr>
              <w:t>2</w:t>
            </w:r>
            <w:r>
              <w:rPr>
                <w:rFonts w:hint="eastAsia"/>
                <w:color w:val="auto"/>
                <w:kern w:val="0"/>
                <w:sz w:val="24"/>
                <w:highlight w:val="none"/>
                <w:u w:val="none"/>
                <w:lang w:bidi="ar"/>
              </w:rPr>
              <w:t>、PM</w:t>
            </w:r>
            <w:r>
              <w:rPr>
                <w:rFonts w:hint="eastAsia"/>
                <w:color w:val="auto"/>
                <w:kern w:val="0"/>
                <w:sz w:val="24"/>
                <w:highlight w:val="none"/>
                <w:u w:val="none"/>
                <w:vertAlign w:val="subscript"/>
                <w:lang w:bidi="ar"/>
              </w:rPr>
              <w:t>10</w:t>
            </w:r>
            <w:r>
              <w:rPr>
                <w:rFonts w:hint="eastAsia"/>
                <w:color w:val="auto"/>
                <w:kern w:val="0"/>
                <w:sz w:val="24"/>
                <w:highlight w:val="none"/>
                <w:u w:val="none"/>
                <w:lang w:bidi="ar"/>
              </w:rPr>
              <w:t>、PM</w:t>
            </w:r>
            <w:r>
              <w:rPr>
                <w:rFonts w:hint="eastAsia"/>
                <w:color w:val="auto"/>
                <w:kern w:val="0"/>
                <w:sz w:val="24"/>
                <w:highlight w:val="none"/>
                <w:u w:val="none"/>
                <w:vertAlign w:val="subscript"/>
                <w:lang w:bidi="ar"/>
              </w:rPr>
              <w:t>2.5</w:t>
            </w:r>
            <w:r>
              <w:rPr>
                <w:rFonts w:hint="eastAsia"/>
                <w:color w:val="auto"/>
                <w:kern w:val="0"/>
                <w:sz w:val="24"/>
                <w:highlight w:val="none"/>
                <w:u w:val="none"/>
                <w:lang w:bidi="ar"/>
              </w:rPr>
              <w:t>、CO和O</w:t>
            </w:r>
            <w:r>
              <w:rPr>
                <w:rFonts w:hint="eastAsia"/>
                <w:color w:val="auto"/>
                <w:kern w:val="0"/>
                <w:sz w:val="24"/>
                <w:highlight w:val="none"/>
                <w:u w:val="none"/>
                <w:vertAlign w:val="subscript"/>
                <w:lang w:bidi="ar"/>
              </w:rPr>
              <w:t>3</w:t>
            </w:r>
            <w:r>
              <w:rPr>
                <w:rFonts w:hint="eastAsia"/>
                <w:color w:val="auto"/>
                <w:kern w:val="0"/>
                <w:sz w:val="24"/>
                <w:highlight w:val="none"/>
                <w:u w:val="none"/>
                <w:lang w:bidi="ar"/>
              </w:rPr>
              <w:t>，六项污染物全部达标即为城市环境空气质量达标”。</w:t>
            </w:r>
            <w:r>
              <w:rPr>
                <w:rFonts w:hint="eastAsia"/>
                <w:color w:val="auto"/>
                <w:kern w:val="0"/>
                <w:sz w:val="24"/>
                <w:highlight w:val="none"/>
                <w:u w:val="none"/>
                <w:lang w:val="en-US" w:eastAsia="zh-CN" w:bidi="ar"/>
              </w:rPr>
              <w:t>临湘市</w:t>
            </w:r>
            <w:r>
              <w:rPr>
                <w:rFonts w:hint="eastAsia"/>
                <w:color w:val="auto"/>
                <w:kern w:val="0"/>
                <w:sz w:val="24"/>
                <w:highlight w:val="none"/>
                <w:u w:val="none"/>
                <w:lang w:bidi="ar"/>
              </w:rPr>
              <w:t>六项污染物全部达标，故本项目所在区域2022年为环境空气质量达标区</w:t>
            </w:r>
            <w:r>
              <w:rPr>
                <w:color w:val="auto"/>
                <w:kern w:val="0"/>
                <w:sz w:val="24"/>
                <w:highlight w:val="none"/>
                <w:u w:val="none"/>
                <w:lang w:bidi="ar"/>
              </w:rPr>
              <w:t>。</w:t>
            </w:r>
          </w:p>
          <w:p>
            <w:pPr>
              <w:pStyle w:val="2"/>
              <w:spacing w:line="360" w:lineRule="auto"/>
              <w:rPr>
                <w:rFonts w:hint="eastAsia"/>
                <w:b/>
                <w:bCs/>
                <w:color w:val="auto"/>
                <w:sz w:val="24"/>
                <w:szCs w:val="32"/>
                <w:highlight w:val="none"/>
              </w:rPr>
            </w:pPr>
            <w:r>
              <w:rPr>
                <w:rFonts w:hint="eastAsia"/>
                <w:color w:val="auto"/>
                <w:kern w:val="0"/>
                <w:sz w:val="24"/>
                <w:highlight w:val="none"/>
                <w:u w:val="none"/>
                <w:lang w:val="en-US" w:eastAsia="zh-CN" w:bidi="ar"/>
              </w:rPr>
              <w:t xml:space="preserve"> </w:t>
            </w:r>
            <w:r>
              <w:rPr>
                <w:rFonts w:hint="eastAsia"/>
                <w:b/>
                <w:bCs/>
                <w:color w:val="auto"/>
                <w:sz w:val="24"/>
                <w:szCs w:val="32"/>
                <w:highlight w:val="none"/>
              </w:rPr>
              <w:t>2、其他</w:t>
            </w:r>
            <w:r>
              <w:rPr>
                <w:rFonts w:hint="eastAsia"/>
                <w:b/>
                <w:bCs/>
                <w:color w:val="auto"/>
                <w:sz w:val="24"/>
                <w:szCs w:val="32"/>
                <w:highlight w:val="none"/>
                <w:lang w:val="en-US" w:eastAsia="zh-CN"/>
              </w:rPr>
              <w:t>特征</w:t>
            </w:r>
            <w:r>
              <w:rPr>
                <w:rFonts w:hint="eastAsia"/>
                <w:b/>
                <w:bCs/>
                <w:color w:val="auto"/>
                <w:sz w:val="24"/>
                <w:szCs w:val="32"/>
                <w:highlight w:val="none"/>
              </w:rPr>
              <w:t>污染物环境质量现状数据</w:t>
            </w:r>
          </w:p>
          <w:p>
            <w:pPr>
              <w:spacing w:line="360" w:lineRule="auto"/>
              <w:ind w:firstLine="480" w:firstLineChars="200"/>
              <w:rPr>
                <w:color w:val="auto"/>
                <w:sz w:val="24"/>
                <w:szCs w:val="32"/>
                <w:highlight w:val="none"/>
              </w:rPr>
            </w:pPr>
            <w:r>
              <w:rPr>
                <w:rFonts w:hint="eastAsia"/>
                <w:color w:val="auto"/>
                <w:sz w:val="24"/>
                <w:szCs w:val="32"/>
                <w:highlight w:val="none"/>
              </w:rPr>
              <w:t>为了解项目特征污染物TSP的现状情况，引用</w:t>
            </w:r>
            <w:r>
              <w:rPr>
                <w:rFonts w:hint="eastAsia"/>
                <w:color w:val="auto"/>
                <w:sz w:val="24"/>
                <w:szCs w:val="32"/>
                <w:highlight w:val="none"/>
                <w:lang w:val="en-US" w:eastAsia="zh-CN"/>
              </w:rPr>
              <w:t>本项目西南侧600m《</w:t>
            </w:r>
            <w:r>
              <w:rPr>
                <w:rFonts w:hint="eastAsia"/>
                <w:color w:val="auto"/>
                <w:sz w:val="24"/>
                <w:szCs w:val="32"/>
                <w:highlight w:val="none"/>
              </w:rPr>
              <w:t>湖南声泰商贸有限公司年加工10万吨废矿石综合利用改建项目</w:t>
            </w:r>
            <w:r>
              <w:rPr>
                <w:rFonts w:hint="eastAsia"/>
                <w:color w:val="auto"/>
                <w:sz w:val="24"/>
                <w:szCs w:val="32"/>
                <w:highlight w:val="none"/>
                <w:lang w:val="en-US" w:eastAsia="zh-CN"/>
              </w:rPr>
              <w:t>》中建设单位</w:t>
            </w:r>
            <w:r>
              <w:rPr>
                <w:rFonts w:hint="eastAsia"/>
                <w:color w:val="auto"/>
                <w:sz w:val="24"/>
                <w:szCs w:val="32"/>
                <w:highlight w:val="none"/>
              </w:rPr>
              <w:t>委托湖南</w:t>
            </w:r>
            <w:r>
              <w:rPr>
                <w:rFonts w:hint="eastAsia"/>
                <w:color w:val="auto"/>
                <w:sz w:val="24"/>
                <w:szCs w:val="32"/>
                <w:highlight w:val="none"/>
                <w:lang w:val="en-US" w:eastAsia="zh-CN"/>
              </w:rPr>
              <w:t>中额</w:t>
            </w:r>
            <w:r>
              <w:rPr>
                <w:rFonts w:hint="eastAsia"/>
                <w:color w:val="auto"/>
                <w:sz w:val="24"/>
                <w:szCs w:val="32"/>
                <w:highlight w:val="none"/>
              </w:rPr>
              <w:t>环保科技有限公司于202</w:t>
            </w:r>
            <w:r>
              <w:rPr>
                <w:rFonts w:hint="eastAsia"/>
                <w:color w:val="auto"/>
                <w:sz w:val="24"/>
                <w:szCs w:val="32"/>
                <w:highlight w:val="none"/>
                <w:lang w:val="en-US" w:eastAsia="zh-CN"/>
              </w:rPr>
              <w:t>3</w:t>
            </w:r>
            <w:r>
              <w:rPr>
                <w:rFonts w:hint="eastAsia"/>
                <w:color w:val="auto"/>
                <w:sz w:val="24"/>
                <w:szCs w:val="32"/>
                <w:highlight w:val="none"/>
              </w:rPr>
              <w:t>年</w:t>
            </w:r>
            <w:r>
              <w:rPr>
                <w:rFonts w:hint="eastAsia"/>
                <w:color w:val="auto"/>
                <w:sz w:val="24"/>
                <w:szCs w:val="32"/>
                <w:highlight w:val="none"/>
                <w:lang w:val="en-US" w:eastAsia="zh-CN"/>
              </w:rPr>
              <w:t>11</w:t>
            </w:r>
            <w:r>
              <w:rPr>
                <w:rFonts w:hint="eastAsia"/>
                <w:color w:val="auto"/>
                <w:sz w:val="24"/>
                <w:szCs w:val="32"/>
                <w:highlight w:val="none"/>
              </w:rPr>
              <w:t>月</w:t>
            </w:r>
            <w:r>
              <w:rPr>
                <w:rFonts w:hint="eastAsia"/>
                <w:color w:val="auto"/>
                <w:sz w:val="24"/>
                <w:szCs w:val="32"/>
                <w:highlight w:val="none"/>
                <w:lang w:val="en-US" w:eastAsia="zh-CN"/>
              </w:rPr>
              <w:t>7</w:t>
            </w:r>
            <w:r>
              <w:rPr>
                <w:rFonts w:hint="eastAsia"/>
                <w:color w:val="auto"/>
                <w:sz w:val="24"/>
                <w:szCs w:val="32"/>
                <w:highlight w:val="none"/>
              </w:rPr>
              <w:t>日~1</w:t>
            </w:r>
            <w:r>
              <w:rPr>
                <w:rFonts w:hint="eastAsia"/>
                <w:color w:val="auto"/>
                <w:sz w:val="24"/>
                <w:szCs w:val="32"/>
                <w:highlight w:val="none"/>
                <w:lang w:val="en-US" w:eastAsia="zh-CN"/>
              </w:rPr>
              <w:t>1</w:t>
            </w:r>
            <w:r>
              <w:rPr>
                <w:rFonts w:hint="eastAsia"/>
                <w:color w:val="auto"/>
                <w:sz w:val="24"/>
                <w:szCs w:val="32"/>
                <w:highlight w:val="none"/>
              </w:rPr>
              <w:t>月</w:t>
            </w:r>
            <w:r>
              <w:rPr>
                <w:rFonts w:hint="eastAsia"/>
                <w:color w:val="auto"/>
                <w:sz w:val="24"/>
                <w:szCs w:val="32"/>
                <w:highlight w:val="none"/>
                <w:lang w:val="en-US" w:eastAsia="zh-CN"/>
              </w:rPr>
              <w:t>13</w:t>
            </w:r>
            <w:r>
              <w:rPr>
                <w:rFonts w:hint="eastAsia"/>
                <w:color w:val="auto"/>
                <w:sz w:val="24"/>
                <w:szCs w:val="32"/>
                <w:highlight w:val="none"/>
              </w:rPr>
              <w:t>日进行的监测数据</w:t>
            </w:r>
            <w:r>
              <w:rPr>
                <w:rFonts w:hint="eastAsia"/>
                <w:color w:val="auto"/>
                <w:sz w:val="24"/>
                <w:szCs w:val="32"/>
                <w:highlight w:val="none"/>
                <w:lang w:eastAsia="zh-CN"/>
              </w:rPr>
              <w:t>，</w:t>
            </w:r>
            <w:r>
              <w:rPr>
                <w:rFonts w:hint="eastAsia"/>
                <w:color w:val="auto"/>
                <w:sz w:val="24"/>
                <w:szCs w:val="32"/>
                <w:highlight w:val="none"/>
              </w:rPr>
              <w:t>数据引用点位图见附</w:t>
            </w:r>
            <w:r>
              <w:rPr>
                <w:rFonts w:hint="eastAsia"/>
                <w:color w:val="auto"/>
                <w:sz w:val="24"/>
                <w:szCs w:val="32"/>
                <w:highlight w:val="none"/>
                <w:lang w:val="en-US" w:eastAsia="zh-CN"/>
              </w:rPr>
              <w:t>图4</w:t>
            </w:r>
            <w:r>
              <w:rPr>
                <w:rFonts w:hint="eastAsia"/>
                <w:color w:val="auto"/>
                <w:sz w:val="24"/>
                <w:szCs w:val="32"/>
                <w:highlight w:val="none"/>
              </w:rPr>
              <w:t>。</w:t>
            </w:r>
            <w:r>
              <w:rPr>
                <w:color w:val="auto"/>
                <w:sz w:val="24"/>
                <w:szCs w:val="32"/>
                <w:highlight w:val="none"/>
              </w:rPr>
              <w:t>检测的详细情况见下表。</w:t>
            </w:r>
          </w:p>
          <w:p>
            <w:pPr>
              <w:spacing w:line="360" w:lineRule="auto"/>
              <w:jc w:val="center"/>
              <w:rPr>
                <w:rFonts w:hint="eastAsia"/>
                <w:b/>
                <w:bCs/>
                <w:color w:val="auto"/>
                <w:sz w:val="24"/>
                <w:highlight w:val="none"/>
              </w:rPr>
            </w:pPr>
            <w:r>
              <w:rPr>
                <w:rFonts w:hint="eastAsia"/>
                <w:b/>
                <w:bCs/>
                <w:color w:val="auto"/>
                <w:sz w:val="24"/>
                <w:highlight w:val="none"/>
              </w:rPr>
              <w:t>表3-2  环境空气其他污染物检测基本情况表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97"/>
              <w:gridCol w:w="1060"/>
              <w:gridCol w:w="1009"/>
              <w:gridCol w:w="1272"/>
              <w:gridCol w:w="711"/>
              <w:gridCol w:w="910"/>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5" w:hRule="atLeast"/>
                <w:jc w:val="center"/>
              </w:trPr>
              <w:tc>
                <w:tcPr>
                  <w:tcW w:w="1003" w:type="dxa"/>
                  <w:vMerge w:val="restart"/>
                  <w:noWrap w:val="0"/>
                  <w:vAlign w:val="center"/>
                </w:tcPr>
                <w:p>
                  <w:pPr>
                    <w:pStyle w:val="54"/>
                    <w:rPr>
                      <w:b/>
                      <w:bCs/>
                      <w:color w:val="auto"/>
                      <w:highlight w:val="none"/>
                      <w:lang w:eastAsia="en-US"/>
                    </w:rPr>
                  </w:pPr>
                  <w:r>
                    <w:rPr>
                      <w:b/>
                      <w:bCs/>
                      <w:color w:val="auto"/>
                      <w:highlight w:val="none"/>
                      <w:lang w:eastAsia="en-US"/>
                    </w:rPr>
                    <w:t>监测点名称</w:t>
                  </w:r>
                </w:p>
              </w:tc>
              <w:tc>
                <w:tcPr>
                  <w:tcW w:w="2157" w:type="dxa"/>
                  <w:gridSpan w:val="2"/>
                  <w:noWrap w:val="0"/>
                  <w:vAlign w:val="center"/>
                </w:tcPr>
                <w:p>
                  <w:pPr>
                    <w:pStyle w:val="54"/>
                    <w:rPr>
                      <w:b/>
                      <w:bCs/>
                      <w:color w:val="auto"/>
                      <w:highlight w:val="none"/>
                      <w:lang w:eastAsia="en-US"/>
                    </w:rPr>
                  </w:pPr>
                  <w:r>
                    <w:rPr>
                      <w:b/>
                      <w:bCs/>
                      <w:color w:val="auto"/>
                      <w:highlight w:val="none"/>
                      <w:lang w:eastAsia="en-US"/>
                    </w:rPr>
                    <w:t>监测点坐标</w:t>
                  </w:r>
                </w:p>
              </w:tc>
              <w:tc>
                <w:tcPr>
                  <w:tcW w:w="1009" w:type="dxa"/>
                  <w:vMerge w:val="restart"/>
                  <w:noWrap w:val="0"/>
                  <w:vAlign w:val="center"/>
                </w:tcPr>
                <w:p>
                  <w:pPr>
                    <w:pStyle w:val="54"/>
                    <w:rPr>
                      <w:b/>
                      <w:bCs/>
                      <w:color w:val="auto"/>
                      <w:highlight w:val="none"/>
                      <w:lang w:eastAsia="en-US"/>
                    </w:rPr>
                  </w:pPr>
                  <w:r>
                    <w:rPr>
                      <w:b/>
                      <w:bCs/>
                      <w:color w:val="auto"/>
                      <w:highlight w:val="none"/>
                      <w:lang w:eastAsia="en-US"/>
                    </w:rPr>
                    <w:t>监测</w:t>
                  </w:r>
                </w:p>
                <w:p>
                  <w:pPr>
                    <w:pStyle w:val="54"/>
                    <w:rPr>
                      <w:b/>
                      <w:bCs/>
                      <w:color w:val="auto"/>
                      <w:highlight w:val="none"/>
                      <w:lang w:eastAsia="en-US"/>
                    </w:rPr>
                  </w:pPr>
                  <w:r>
                    <w:rPr>
                      <w:b/>
                      <w:bCs/>
                      <w:color w:val="auto"/>
                      <w:highlight w:val="none"/>
                      <w:lang w:eastAsia="en-US"/>
                    </w:rPr>
                    <w:t>因子</w:t>
                  </w:r>
                </w:p>
              </w:tc>
              <w:tc>
                <w:tcPr>
                  <w:tcW w:w="1272" w:type="dxa"/>
                  <w:vMerge w:val="restart"/>
                  <w:noWrap w:val="0"/>
                  <w:vAlign w:val="center"/>
                </w:tcPr>
                <w:p>
                  <w:pPr>
                    <w:pStyle w:val="54"/>
                    <w:rPr>
                      <w:b/>
                      <w:bCs/>
                      <w:color w:val="auto"/>
                      <w:highlight w:val="none"/>
                      <w:lang w:eastAsia="en-US"/>
                    </w:rPr>
                  </w:pPr>
                  <w:r>
                    <w:rPr>
                      <w:b/>
                      <w:bCs/>
                      <w:color w:val="auto"/>
                      <w:highlight w:val="none"/>
                      <w:lang w:eastAsia="en-US"/>
                    </w:rPr>
                    <w:t>监测时段</w:t>
                  </w:r>
                </w:p>
              </w:tc>
              <w:tc>
                <w:tcPr>
                  <w:tcW w:w="711" w:type="dxa"/>
                  <w:vMerge w:val="restart"/>
                  <w:noWrap w:val="0"/>
                  <w:vAlign w:val="center"/>
                </w:tcPr>
                <w:p>
                  <w:pPr>
                    <w:pStyle w:val="54"/>
                    <w:rPr>
                      <w:b/>
                      <w:bCs/>
                      <w:color w:val="auto"/>
                      <w:highlight w:val="none"/>
                      <w:lang w:eastAsia="en-US"/>
                    </w:rPr>
                  </w:pPr>
                  <w:r>
                    <w:rPr>
                      <w:b/>
                      <w:bCs/>
                      <w:color w:val="auto"/>
                      <w:highlight w:val="none"/>
                      <w:lang w:eastAsia="en-US"/>
                    </w:rPr>
                    <w:t>监测频次</w:t>
                  </w:r>
                </w:p>
              </w:tc>
              <w:tc>
                <w:tcPr>
                  <w:tcW w:w="910" w:type="dxa"/>
                  <w:vMerge w:val="restart"/>
                  <w:noWrap w:val="0"/>
                  <w:vAlign w:val="center"/>
                </w:tcPr>
                <w:p>
                  <w:pPr>
                    <w:pStyle w:val="54"/>
                    <w:rPr>
                      <w:b/>
                      <w:bCs/>
                      <w:color w:val="auto"/>
                      <w:highlight w:val="none"/>
                      <w:lang w:eastAsia="en-US"/>
                    </w:rPr>
                  </w:pPr>
                  <w:r>
                    <w:rPr>
                      <w:rFonts w:hint="eastAsia"/>
                      <w:b/>
                      <w:bCs/>
                      <w:color w:val="auto"/>
                      <w:highlight w:val="none"/>
                    </w:rPr>
                    <w:t>相对</w:t>
                  </w:r>
                  <w:r>
                    <w:rPr>
                      <w:rFonts w:hint="eastAsia"/>
                      <w:b/>
                      <w:bCs/>
                      <w:color w:val="auto"/>
                      <w:highlight w:val="none"/>
                      <w:lang w:val="en-US" w:eastAsia="zh-CN"/>
                    </w:rPr>
                    <w:t>厂区</w:t>
                  </w:r>
                  <w:r>
                    <w:rPr>
                      <w:b/>
                      <w:bCs/>
                      <w:color w:val="auto"/>
                      <w:highlight w:val="none"/>
                      <w:lang w:eastAsia="en-US"/>
                    </w:rPr>
                    <w:t>方位</w:t>
                  </w:r>
                </w:p>
              </w:tc>
              <w:tc>
                <w:tcPr>
                  <w:tcW w:w="882" w:type="dxa"/>
                  <w:vMerge w:val="restart"/>
                  <w:noWrap w:val="0"/>
                  <w:vAlign w:val="center"/>
                </w:tcPr>
                <w:p>
                  <w:pPr>
                    <w:pStyle w:val="54"/>
                    <w:rPr>
                      <w:b/>
                      <w:bCs/>
                      <w:color w:val="auto"/>
                      <w:highlight w:val="none"/>
                      <w:lang w:eastAsia="en-US"/>
                    </w:rPr>
                  </w:pPr>
                  <w:r>
                    <w:rPr>
                      <w:b/>
                      <w:bCs/>
                      <w:color w:val="auto"/>
                      <w:highlight w:val="none"/>
                      <w:lang w:eastAsia="en-US"/>
                    </w:rPr>
                    <w:t>相对</w:t>
                  </w:r>
                  <w:r>
                    <w:rPr>
                      <w:rFonts w:hint="eastAsia"/>
                      <w:b/>
                      <w:bCs/>
                      <w:color w:val="auto"/>
                      <w:highlight w:val="none"/>
                      <w:lang w:val="en-US" w:eastAsia="zh-CN"/>
                    </w:rPr>
                    <w:t>厂区</w:t>
                  </w:r>
                  <w:r>
                    <w:rPr>
                      <w:b/>
                      <w:bCs/>
                      <w:color w:val="auto"/>
                      <w:highlight w:val="none"/>
                      <w:lang w:eastAsia="en-US"/>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03" w:type="dxa"/>
                  <w:vMerge w:val="continue"/>
                  <w:noWrap w:val="0"/>
                  <w:vAlign w:val="center"/>
                </w:tcPr>
                <w:p>
                  <w:pPr>
                    <w:pStyle w:val="54"/>
                    <w:rPr>
                      <w:color w:val="auto"/>
                      <w:highlight w:val="none"/>
                      <w:lang w:eastAsia="en-US"/>
                    </w:rPr>
                  </w:pPr>
                </w:p>
              </w:tc>
              <w:tc>
                <w:tcPr>
                  <w:tcW w:w="1097" w:type="dxa"/>
                  <w:noWrap w:val="0"/>
                  <w:vAlign w:val="center"/>
                </w:tcPr>
                <w:p>
                  <w:pPr>
                    <w:pStyle w:val="54"/>
                    <w:rPr>
                      <w:rFonts w:hint="eastAsia" w:eastAsia="宋体"/>
                      <w:b/>
                      <w:bCs/>
                      <w:color w:val="auto"/>
                      <w:highlight w:val="none"/>
                      <w:lang w:eastAsia="zh-CN"/>
                    </w:rPr>
                  </w:pPr>
                  <w:r>
                    <w:rPr>
                      <w:rFonts w:hint="eastAsia"/>
                      <w:b/>
                      <w:bCs/>
                      <w:color w:val="auto"/>
                      <w:highlight w:val="none"/>
                    </w:rPr>
                    <w:t>经度</w:t>
                  </w:r>
                  <w:r>
                    <w:rPr>
                      <w:rFonts w:hint="eastAsia"/>
                      <w:b/>
                      <w:bCs/>
                      <w:color w:val="auto"/>
                      <w:highlight w:val="none"/>
                      <w:lang w:eastAsia="zh-CN"/>
                    </w:rPr>
                    <w:t>（</w:t>
                  </w:r>
                  <w:r>
                    <w:rPr>
                      <w:rFonts w:hint="eastAsia"/>
                      <w:b/>
                      <w:bCs/>
                      <w:color w:val="auto"/>
                      <w:highlight w:val="none"/>
                      <w:lang w:val="en-US" w:eastAsia="zh-CN"/>
                    </w:rPr>
                    <w:t>°</w:t>
                  </w:r>
                  <w:r>
                    <w:rPr>
                      <w:rFonts w:hint="eastAsia"/>
                      <w:b/>
                      <w:bCs/>
                      <w:color w:val="auto"/>
                      <w:highlight w:val="none"/>
                      <w:lang w:eastAsia="zh-CN"/>
                    </w:rPr>
                    <w:t>）</w:t>
                  </w:r>
                </w:p>
              </w:tc>
              <w:tc>
                <w:tcPr>
                  <w:tcW w:w="1060" w:type="dxa"/>
                  <w:noWrap w:val="0"/>
                  <w:vAlign w:val="center"/>
                </w:tcPr>
                <w:p>
                  <w:pPr>
                    <w:pStyle w:val="54"/>
                    <w:rPr>
                      <w:b/>
                      <w:bCs/>
                      <w:color w:val="auto"/>
                      <w:highlight w:val="none"/>
                      <w:lang w:eastAsia="en-US"/>
                    </w:rPr>
                  </w:pPr>
                  <w:r>
                    <w:rPr>
                      <w:rFonts w:hint="eastAsia"/>
                      <w:b/>
                      <w:bCs/>
                      <w:color w:val="auto"/>
                      <w:highlight w:val="none"/>
                    </w:rPr>
                    <w:t>纬度</w:t>
                  </w:r>
                  <w:r>
                    <w:rPr>
                      <w:rFonts w:hint="eastAsia"/>
                      <w:b/>
                      <w:bCs/>
                      <w:color w:val="auto"/>
                      <w:highlight w:val="none"/>
                      <w:lang w:eastAsia="zh-CN"/>
                    </w:rPr>
                    <w:t>（</w:t>
                  </w:r>
                  <w:r>
                    <w:rPr>
                      <w:rFonts w:hint="eastAsia"/>
                      <w:b/>
                      <w:bCs/>
                      <w:color w:val="auto"/>
                      <w:highlight w:val="none"/>
                      <w:lang w:val="en-US" w:eastAsia="zh-CN"/>
                    </w:rPr>
                    <w:t>°</w:t>
                  </w:r>
                  <w:r>
                    <w:rPr>
                      <w:rFonts w:hint="eastAsia"/>
                      <w:b/>
                      <w:bCs/>
                      <w:color w:val="auto"/>
                      <w:highlight w:val="none"/>
                      <w:lang w:eastAsia="zh-CN"/>
                    </w:rPr>
                    <w:t>）</w:t>
                  </w:r>
                </w:p>
              </w:tc>
              <w:tc>
                <w:tcPr>
                  <w:tcW w:w="1009" w:type="dxa"/>
                  <w:vMerge w:val="continue"/>
                  <w:noWrap w:val="0"/>
                  <w:vAlign w:val="center"/>
                </w:tcPr>
                <w:p>
                  <w:pPr>
                    <w:pStyle w:val="54"/>
                    <w:rPr>
                      <w:color w:val="auto"/>
                      <w:highlight w:val="none"/>
                      <w:lang w:eastAsia="en-US"/>
                    </w:rPr>
                  </w:pPr>
                </w:p>
              </w:tc>
              <w:tc>
                <w:tcPr>
                  <w:tcW w:w="1272" w:type="dxa"/>
                  <w:vMerge w:val="continue"/>
                  <w:noWrap w:val="0"/>
                  <w:vAlign w:val="center"/>
                </w:tcPr>
                <w:p>
                  <w:pPr>
                    <w:pStyle w:val="54"/>
                    <w:rPr>
                      <w:color w:val="auto"/>
                      <w:highlight w:val="none"/>
                      <w:lang w:eastAsia="en-US"/>
                    </w:rPr>
                  </w:pPr>
                </w:p>
              </w:tc>
              <w:tc>
                <w:tcPr>
                  <w:tcW w:w="711" w:type="dxa"/>
                  <w:vMerge w:val="continue"/>
                  <w:noWrap w:val="0"/>
                  <w:vAlign w:val="center"/>
                </w:tcPr>
                <w:p>
                  <w:pPr>
                    <w:pStyle w:val="54"/>
                    <w:rPr>
                      <w:color w:val="auto"/>
                      <w:highlight w:val="none"/>
                      <w:lang w:eastAsia="en-US"/>
                    </w:rPr>
                  </w:pPr>
                </w:p>
              </w:tc>
              <w:tc>
                <w:tcPr>
                  <w:tcW w:w="910" w:type="dxa"/>
                  <w:vMerge w:val="continue"/>
                  <w:noWrap w:val="0"/>
                  <w:vAlign w:val="center"/>
                </w:tcPr>
                <w:p>
                  <w:pPr>
                    <w:pStyle w:val="54"/>
                    <w:rPr>
                      <w:color w:val="auto"/>
                      <w:highlight w:val="none"/>
                      <w:lang w:eastAsia="en-US"/>
                    </w:rPr>
                  </w:pPr>
                </w:p>
              </w:tc>
              <w:tc>
                <w:tcPr>
                  <w:tcW w:w="882" w:type="dxa"/>
                  <w:vMerge w:val="continue"/>
                  <w:noWrap w:val="0"/>
                  <w:vAlign w:val="center"/>
                </w:tcPr>
                <w:p>
                  <w:pPr>
                    <w:pStyle w:val="54"/>
                    <w:rPr>
                      <w:color w:val="auto"/>
                      <w:highlight w:val="none"/>
                      <w:lang w:eastAsia="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pStyle w:val="54"/>
                    <w:rPr>
                      <w:rFonts w:hint="default" w:eastAsia="宋体"/>
                      <w:color w:val="auto"/>
                      <w:highlight w:val="none"/>
                      <w:lang w:val="en-US" w:eastAsia="zh-CN"/>
                    </w:rPr>
                  </w:pPr>
                  <w:r>
                    <w:rPr>
                      <w:rFonts w:hint="eastAsia"/>
                      <w:color w:val="auto"/>
                      <w:highlight w:val="none"/>
                    </w:rPr>
                    <w:t>G</w:t>
                  </w:r>
                  <w:r>
                    <w:rPr>
                      <w:color w:val="auto"/>
                      <w:highlight w:val="none"/>
                    </w:rPr>
                    <w:t>1</w:t>
                  </w:r>
                  <w:r>
                    <w:rPr>
                      <w:rFonts w:hint="eastAsia"/>
                      <w:color w:val="auto"/>
                      <w:highlight w:val="none"/>
                      <w:lang w:val="en-US" w:eastAsia="zh-CN"/>
                    </w:rPr>
                    <w:t>钟杨选矿厂</w:t>
                  </w:r>
                </w:p>
              </w:tc>
              <w:tc>
                <w:tcPr>
                  <w:tcW w:w="1097" w:type="dxa"/>
                  <w:noWrap w:val="0"/>
                  <w:vAlign w:val="center"/>
                </w:tcPr>
                <w:p>
                  <w:pPr>
                    <w:pStyle w:val="54"/>
                    <w:rPr>
                      <w:rFonts w:hint="default" w:eastAsia="宋体"/>
                      <w:color w:val="auto"/>
                      <w:highlight w:val="none"/>
                      <w:lang w:val="en-US" w:eastAsia="zh-CN"/>
                    </w:rPr>
                  </w:pPr>
                  <w:r>
                    <w:rPr>
                      <w:rFonts w:hint="eastAsia"/>
                      <w:color w:val="auto"/>
                      <w:highlight w:val="none"/>
                    </w:rPr>
                    <w:t>113.</w:t>
                  </w:r>
                  <w:r>
                    <w:rPr>
                      <w:rFonts w:hint="eastAsia"/>
                      <w:color w:val="auto"/>
                      <w:highlight w:val="none"/>
                      <w:lang w:val="en-US" w:eastAsia="zh-CN"/>
                    </w:rPr>
                    <w:t>204535</w:t>
                  </w:r>
                </w:p>
              </w:tc>
              <w:tc>
                <w:tcPr>
                  <w:tcW w:w="1060" w:type="dxa"/>
                  <w:noWrap w:val="0"/>
                  <w:vAlign w:val="center"/>
                </w:tcPr>
                <w:p>
                  <w:pPr>
                    <w:pStyle w:val="54"/>
                    <w:rPr>
                      <w:rFonts w:hint="default" w:eastAsia="宋体"/>
                      <w:color w:val="auto"/>
                      <w:highlight w:val="none"/>
                      <w:lang w:val="en-US" w:eastAsia="zh-CN"/>
                    </w:rPr>
                  </w:pPr>
                  <w:r>
                    <w:rPr>
                      <w:rFonts w:hint="eastAsia"/>
                      <w:color w:val="auto"/>
                      <w:highlight w:val="none"/>
                    </w:rPr>
                    <w:t>29.</w:t>
                  </w:r>
                  <w:r>
                    <w:rPr>
                      <w:rFonts w:hint="eastAsia"/>
                      <w:color w:val="auto"/>
                      <w:highlight w:val="none"/>
                      <w:lang w:val="en-US" w:eastAsia="zh-CN"/>
                    </w:rPr>
                    <w:t>420082</w:t>
                  </w:r>
                </w:p>
              </w:tc>
              <w:tc>
                <w:tcPr>
                  <w:tcW w:w="1009" w:type="dxa"/>
                  <w:noWrap w:val="0"/>
                  <w:vAlign w:val="center"/>
                </w:tcPr>
                <w:p>
                  <w:pPr>
                    <w:pStyle w:val="54"/>
                    <w:rPr>
                      <w:color w:val="auto"/>
                      <w:highlight w:val="none"/>
                    </w:rPr>
                  </w:pPr>
                  <w:r>
                    <w:rPr>
                      <w:color w:val="auto"/>
                      <w:highlight w:val="none"/>
                    </w:rPr>
                    <w:t>TSP</w:t>
                  </w:r>
                </w:p>
              </w:tc>
              <w:tc>
                <w:tcPr>
                  <w:tcW w:w="1272" w:type="dxa"/>
                  <w:noWrap w:val="0"/>
                  <w:vAlign w:val="center"/>
                </w:tcPr>
                <w:p>
                  <w:pPr>
                    <w:pStyle w:val="54"/>
                    <w:rPr>
                      <w:color w:val="auto"/>
                      <w:highlight w:val="none"/>
                    </w:rPr>
                  </w:pPr>
                  <w:r>
                    <w:rPr>
                      <w:color w:val="auto"/>
                      <w:highlight w:val="none"/>
                    </w:rPr>
                    <w:t>每天监测24时均值</w:t>
                  </w:r>
                </w:p>
              </w:tc>
              <w:tc>
                <w:tcPr>
                  <w:tcW w:w="711" w:type="dxa"/>
                  <w:noWrap w:val="0"/>
                  <w:vAlign w:val="center"/>
                </w:tcPr>
                <w:p>
                  <w:pPr>
                    <w:pStyle w:val="54"/>
                    <w:rPr>
                      <w:color w:val="auto"/>
                      <w:highlight w:val="none"/>
                    </w:rPr>
                  </w:pPr>
                  <w:r>
                    <w:rPr>
                      <w:color w:val="auto"/>
                      <w:highlight w:val="none"/>
                    </w:rPr>
                    <w:t>监测</w:t>
                  </w:r>
                  <w:r>
                    <w:rPr>
                      <w:rFonts w:hint="eastAsia"/>
                      <w:color w:val="auto"/>
                      <w:highlight w:val="none"/>
                      <w:lang w:val="en-US" w:eastAsia="zh-CN"/>
                    </w:rPr>
                    <w:t>7</w:t>
                  </w:r>
                  <w:r>
                    <w:rPr>
                      <w:color w:val="auto"/>
                      <w:highlight w:val="none"/>
                    </w:rPr>
                    <w:t>天</w:t>
                  </w:r>
                </w:p>
              </w:tc>
              <w:tc>
                <w:tcPr>
                  <w:tcW w:w="910" w:type="dxa"/>
                  <w:noWrap w:val="0"/>
                  <w:vAlign w:val="center"/>
                </w:tcPr>
                <w:p>
                  <w:pPr>
                    <w:pStyle w:val="54"/>
                    <w:rPr>
                      <w:rFonts w:hint="default" w:eastAsia="宋体"/>
                      <w:color w:val="auto"/>
                      <w:highlight w:val="none"/>
                      <w:lang w:val="en-US" w:eastAsia="zh-CN"/>
                    </w:rPr>
                  </w:pPr>
                  <w:r>
                    <w:rPr>
                      <w:rFonts w:hint="eastAsia"/>
                      <w:color w:val="auto"/>
                      <w:highlight w:val="none"/>
                      <w:lang w:val="en-US" w:eastAsia="zh-CN"/>
                    </w:rPr>
                    <w:t>西南</w:t>
                  </w:r>
                </w:p>
              </w:tc>
              <w:tc>
                <w:tcPr>
                  <w:tcW w:w="882" w:type="dxa"/>
                  <w:noWrap w:val="0"/>
                  <w:vAlign w:val="center"/>
                </w:tcPr>
                <w:p>
                  <w:pPr>
                    <w:pStyle w:val="54"/>
                    <w:rPr>
                      <w:rFonts w:hint="default" w:eastAsia="宋体"/>
                      <w:color w:val="auto"/>
                      <w:highlight w:val="none"/>
                      <w:lang w:val="en-US" w:eastAsia="zh-CN"/>
                    </w:rPr>
                  </w:pPr>
                  <w:r>
                    <w:rPr>
                      <w:rFonts w:hint="eastAsia"/>
                      <w:color w:val="auto"/>
                      <w:highlight w:val="none"/>
                      <w:lang w:val="en-US" w:eastAsia="zh-CN"/>
                    </w:rPr>
                    <w:t>600</w:t>
                  </w:r>
                </w:p>
              </w:tc>
            </w:tr>
          </w:tbl>
          <w:p>
            <w:pPr>
              <w:autoSpaceDE w:val="0"/>
              <w:autoSpaceDN w:val="0"/>
              <w:spacing w:before="120" w:beforeLines="50" w:line="360" w:lineRule="auto"/>
              <w:ind w:firstLine="480" w:firstLineChars="200"/>
              <w:rPr>
                <w:rFonts w:hint="eastAsia"/>
                <w:color w:val="auto"/>
                <w:sz w:val="24"/>
                <w:szCs w:val="32"/>
                <w:highlight w:val="none"/>
              </w:rPr>
            </w:pPr>
            <w:r>
              <w:rPr>
                <w:rFonts w:hint="eastAsia"/>
                <w:color w:val="auto"/>
                <w:sz w:val="24"/>
                <w:szCs w:val="32"/>
                <w:highlight w:val="none"/>
              </w:rPr>
              <w:t>具体监测结果见下表。</w:t>
            </w:r>
          </w:p>
          <w:p>
            <w:pPr>
              <w:pStyle w:val="54"/>
              <w:snapToGrid w:val="0"/>
              <w:spacing w:before="0" w:after="0" w:line="360" w:lineRule="auto"/>
              <w:rPr>
                <w:rFonts w:hint="eastAsia"/>
                <w:b/>
                <w:bCs/>
                <w:color w:val="auto"/>
                <w:sz w:val="24"/>
                <w:szCs w:val="24"/>
                <w:highlight w:val="none"/>
              </w:rPr>
            </w:pPr>
            <w:r>
              <w:rPr>
                <w:b/>
                <w:bCs/>
                <w:color w:val="auto"/>
                <w:sz w:val="24"/>
                <w:szCs w:val="24"/>
                <w:highlight w:val="none"/>
              </w:rPr>
              <w:t>表3-</w:t>
            </w:r>
            <w:r>
              <w:rPr>
                <w:rFonts w:hint="eastAsia"/>
                <w:b/>
                <w:bCs/>
                <w:color w:val="auto"/>
                <w:sz w:val="24"/>
                <w:szCs w:val="24"/>
                <w:highlight w:val="none"/>
                <w:lang w:val="en-US" w:eastAsia="zh-CN"/>
              </w:rPr>
              <w:t>3</w:t>
            </w:r>
            <w:r>
              <w:rPr>
                <w:b/>
                <w:bCs/>
                <w:color w:val="auto"/>
                <w:sz w:val="24"/>
                <w:szCs w:val="24"/>
                <w:highlight w:val="none"/>
              </w:rPr>
              <w:t xml:space="preserve"> 其他污染物</w:t>
            </w:r>
            <w:r>
              <w:rPr>
                <w:rFonts w:hint="eastAsia"/>
                <w:b/>
                <w:bCs/>
                <w:color w:val="auto"/>
                <w:sz w:val="24"/>
                <w:szCs w:val="24"/>
                <w:highlight w:val="none"/>
              </w:rPr>
              <w:t>检测结果一览表</w:t>
            </w:r>
          </w:p>
          <w:tbl>
            <w:tblPr>
              <w:tblStyle w:val="23"/>
              <w:tblW w:w="80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75"/>
              <w:gridCol w:w="1137"/>
              <w:gridCol w:w="1140"/>
              <w:gridCol w:w="1083"/>
              <w:gridCol w:w="896"/>
              <w:gridCol w:w="800"/>
              <w:gridCol w:w="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restart"/>
                  <w:noWrap w:val="0"/>
                  <w:vAlign w:val="center"/>
                </w:tcPr>
                <w:p>
                  <w:pPr>
                    <w:pStyle w:val="54"/>
                    <w:rPr>
                      <w:b/>
                      <w:bCs/>
                      <w:color w:val="auto"/>
                      <w:highlight w:val="none"/>
                      <w:u w:val="none"/>
                    </w:rPr>
                  </w:pPr>
                  <w:r>
                    <w:rPr>
                      <w:b/>
                      <w:bCs/>
                      <w:color w:val="auto"/>
                      <w:highlight w:val="none"/>
                      <w:u w:val="none"/>
                    </w:rPr>
                    <w:t>监测点名称</w:t>
                  </w:r>
                </w:p>
              </w:tc>
              <w:tc>
                <w:tcPr>
                  <w:tcW w:w="1575" w:type="dxa"/>
                  <w:vMerge w:val="restart"/>
                  <w:noWrap w:val="0"/>
                  <w:vAlign w:val="center"/>
                </w:tcPr>
                <w:p>
                  <w:pPr>
                    <w:pStyle w:val="54"/>
                    <w:rPr>
                      <w:b/>
                      <w:bCs/>
                      <w:color w:val="auto"/>
                      <w:highlight w:val="none"/>
                      <w:u w:val="none"/>
                    </w:rPr>
                  </w:pPr>
                  <w:r>
                    <w:rPr>
                      <w:b/>
                      <w:bCs/>
                      <w:color w:val="auto"/>
                      <w:highlight w:val="none"/>
                      <w:u w:val="none"/>
                    </w:rPr>
                    <w:t>监测因子</w:t>
                  </w:r>
                </w:p>
              </w:tc>
              <w:tc>
                <w:tcPr>
                  <w:tcW w:w="1137" w:type="dxa"/>
                  <w:vMerge w:val="restart"/>
                  <w:noWrap w:val="0"/>
                  <w:vAlign w:val="center"/>
                </w:tcPr>
                <w:p>
                  <w:pPr>
                    <w:pStyle w:val="54"/>
                    <w:rPr>
                      <w:b/>
                      <w:bCs/>
                      <w:color w:val="auto"/>
                      <w:highlight w:val="none"/>
                      <w:u w:val="none"/>
                    </w:rPr>
                  </w:pPr>
                  <w:r>
                    <w:rPr>
                      <w:b/>
                      <w:bCs/>
                      <w:color w:val="auto"/>
                      <w:highlight w:val="none"/>
                      <w:u w:val="none"/>
                    </w:rPr>
                    <w:t>监测</w:t>
                  </w:r>
                </w:p>
                <w:p>
                  <w:pPr>
                    <w:pStyle w:val="54"/>
                    <w:rPr>
                      <w:b/>
                      <w:bCs/>
                      <w:color w:val="auto"/>
                      <w:highlight w:val="none"/>
                      <w:u w:val="none"/>
                    </w:rPr>
                  </w:pPr>
                  <w:r>
                    <w:rPr>
                      <w:b/>
                      <w:bCs/>
                      <w:color w:val="auto"/>
                      <w:highlight w:val="none"/>
                      <w:u w:val="none"/>
                    </w:rPr>
                    <w:t>时段</w:t>
                  </w:r>
                </w:p>
              </w:tc>
              <w:tc>
                <w:tcPr>
                  <w:tcW w:w="1140" w:type="dxa"/>
                  <w:vMerge w:val="restart"/>
                  <w:noWrap w:val="0"/>
                  <w:vAlign w:val="center"/>
                </w:tcPr>
                <w:p>
                  <w:pPr>
                    <w:pStyle w:val="54"/>
                    <w:rPr>
                      <w:b/>
                      <w:bCs/>
                      <w:color w:val="auto"/>
                      <w:highlight w:val="none"/>
                      <w:u w:val="none"/>
                    </w:rPr>
                  </w:pPr>
                  <w:r>
                    <w:rPr>
                      <w:rFonts w:hint="eastAsia"/>
                      <w:b/>
                      <w:bCs/>
                      <w:color w:val="auto"/>
                      <w:highlight w:val="none"/>
                      <w:u w:val="none"/>
                    </w:rPr>
                    <w:t>评价标准</w:t>
                  </w:r>
                  <w:r>
                    <w:rPr>
                      <w:b/>
                      <w:bCs/>
                      <w:color w:val="auto"/>
                      <w:highlight w:val="none"/>
                      <w:u w:val="none"/>
                    </w:rPr>
                    <w:t>（μg/m</w:t>
                  </w:r>
                  <w:r>
                    <w:rPr>
                      <w:b/>
                      <w:bCs/>
                      <w:color w:val="auto"/>
                      <w:highlight w:val="none"/>
                      <w:u w:val="none"/>
                      <w:vertAlign w:val="superscript"/>
                    </w:rPr>
                    <w:t>3</w:t>
                  </w:r>
                  <w:r>
                    <w:rPr>
                      <w:b/>
                      <w:bCs/>
                      <w:color w:val="auto"/>
                      <w:highlight w:val="none"/>
                      <w:u w:val="none"/>
                    </w:rPr>
                    <w:t>）</w:t>
                  </w:r>
                </w:p>
              </w:tc>
              <w:tc>
                <w:tcPr>
                  <w:tcW w:w="1083" w:type="dxa"/>
                  <w:vMerge w:val="restart"/>
                  <w:noWrap w:val="0"/>
                  <w:vAlign w:val="center"/>
                </w:tcPr>
                <w:p>
                  <w:pPr>
                    <w:pStyle w:val="54"/>
                    <w:rPr>
                      <w:b/>
                      <w:bCs/>
                      <w:color w:val="auto"/>
                      <w:highlight w:val="none"/>
                      <w:u w:val="none"/>
                    </w:rPr>
                  </w:pPr>
                  <w:r>
                    <w:rPr>
                      <w:rFonts w:hint="eastAsia"/>
                      <w:b/>
                      <w:bCs/>
                      <w:color w:val="auto"/>
                      <w:highlight w:val="none"/>
                      <w:u w:val="none"/>
                    </w:rPr>
                    <w:t>检测浓度范围</w:t>
                  </w:r>
                  <w:r>
                    <w:rPr>
                      <w:b/>
                      <w:bCs/>
                      <w:color w:val="auto"/>
                      <w:highlight w:val="none"/>
                      <w:u w:val="none"/>
                    </w:rPr>
                    <w:t>（μg/m</w:t>
                  </w:r>
                  <w:r>
                    <w:rPr>
                      <w:b/>
                      <w:bCs/>
                      <w:color w:val="auto"/>
                      <w:highlight w:val="none"/>
                      <w:u w:val="none"/>
                      <w:vertAlign w:val="superscript"/>
                    </w:rPr>
                    <w:t>3</w:t>
                  </w:r>
                  <w:r>
                    <w:rPr>
                      <w:b/>
                      <w:bCs/>
                      <w:color w:val="auto"/>
                      <w:highlight w:val="none"/>
                      <w:u w:val="none"/>
                    </w:rPr>
                    <w:t>）</w:t>
                  </w:r>
                </w:p>
              </w:tc>
              <w:tc>
                <w:tcPr>
                  <w:tcW w:w="896" w:type="dxa"/>
                  <w:vMerge w:val="restart"/>
                  <w:noWrap w:val="0"/>
                  <w:vAlign w:val="center"/>
                </w:tcPr>
                <w:p>
                  <w:pPr>
                    <w:pStyle w:val="54"/>
                    <w:rPr>
                      <w:rFonts w:hint="eastAsia"/>
                      <w:b/>
                      <w:bCs/>
                      <w:color w:val="auto"/>
                      <w:highlight w:val="none"/>
                      <w:u w:val="none"/>
                    </w:rPr>
                  </w:pPr>
                  <w:r>
                    <w:rPr>
                      <w:rFonts w:hint="eastAsia"/>
                      <w:b/>
                      <w:bCs/>
                      <w:color w:val="auto"/>
                      <w:highlight w:val="none"/>
                      <w:u w:val="none"/>
                    </w:rPr>
                    <w:t>最大浓度占标率/%</w:t>
                  </w:r>
                </w:p>
              </w:tc>
              <w:tc>
                <w:tcPr>
                  <w:tcW w:w="800" w:type="dxa"/>
                  <w:vMerge w:val="restart"/>
                  <w:noWrap w:val="0"/>
                  <w:vAlign w:val="center"/>
                </w:tcPr>
                <w:p>
                  <w:pPr>
                    <w:pStyle w:val="54"/>
                    <w:rPr>
                      <w:b/>
                      <w:bCs/>
                      <w:color w:val="auto"/>
                      <w:highlight w:val="none"/>
                      <w:u w:val="none"/>
                    </w:rPr>
                  </w:pPr>
                  <w:r>
                    <w:rPr>
                      <w:rFonts w:hint="eastAsia"/>
                      <w:b/>
                      <w:bCs/>
                      <w:color w:val="auto"/>
                      <w:highlight w:val="none"/>
                      <w:u w:val="none"/>
                    </w:rPr>
                    <w:t>超标率/%</w:t>
                  </w:r>
                </w:p>
              </w:tc>
              <w:tc>
                <w:tcPr>
                  <w:tcW w:w="767" w:type="dxa"/>
                  <w:vMerge w:val="restart"/>
                  <w:noWrap w:val="0"/>
                  <w:vAlign w:val="center"/>
                </w:tcPr>
                <w:p>
                  <w:pPr>
                    <w:pStyle w:val="54"/>
                    <w:rPr>
                      <w:rFonts w:hint="eastAsia"/>
                      <w:b/>
                      <w:bCs/>
                      <w:color w:val="auto"/>
                      <w:highlight w:val="none"/>
                      <w:u w:val="none"/>
                    </w:rPr>
                  </w:pPr>
                  <w:r>
                    <w:rPr>
                      <w:rFonts w:hint="eastAsia"/>
                      <w:b/>
                      <w:bCs/>
                      <w:color w:val="auto"/>
                      <w:highlight w:val="none"/>
                      <w:u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continue"/>
                  <w:noWrap w:val="0"/>
                  <w:vAlign w:val="center"/>
                </w:tcPr>
                <w:p>
                  <w:pPr>
                    <w:pStyle w:val="54"/>
                    <w:rPr>
                      <w:color w:val="auto"/>
                      <w:highlight w:val="none"/>
                      <w:u w:val="none"/>
                    </w:rPr>
                  </w:pPr>
                </w:p>
              </w:tc>
              <w:tc>
                <w:tcPr>
                  <w:tcW w:w="1575" w:type="dxa"/>
                  <w:vMerge w:val="continue"/>
                  <w:noWrap w:val="0"/>
                  <w:vAlign w:val="center"/>
                </w:tcPr>
                <w:p>
                  <w:pPr>
                    <w:pStyle w:val="54"/>
                    <w:rPr>
                      <w:color w:val="auto"/>
                      <w:highlight w:val="none"/>
                      <w:u w:val="none"/>
                    </w:rPr>
                  </w:pPr>
                </w:p>
              </w:tc>
              <w:tc>
                <w:tcPr>
                  <w:tcW w:w="1137" w:type="dxa"/>
                  <w:vMerge w:val="continue"/>
                  <w:noWrap w:val="0"/>
                  <w:vAlign w:val="center"/>
                </w:tcPr>
                <w:p>
                  <w:pPr>
                    <w:pStyle w:val="54"/>
                    <w:rPr>
                      <w:color w:val="auto"/>
                      <w:highlight w:val="none"/>
                      <w:u w:val="none"/>
                    </w:rPr>
                  </w:pPr>
                </w:p>
              </w:tc>
              <w:tc>
                <w:tcPr>
                  <w:tcW w:w="1140" w:type="dxa"/>
                  <w:vMerge w:val="continue"/>
                  <w:noWrap w:val="0"/>
                  <w:vAlign w:val="center"/>
                </w:tcPr>
                <w:p>
                  <w:pPr>
                    <w:pStyle w:val="54"/>
                    <w:rPr>
                      <w:color w:val="auto"/>
                      <w:highlight w:val="none"/>
                      <w:u w:val="none"/>
                    </w:rPr>
                  </w:pPr>
                </w:p>
              </w:tc>
              <w:tc>
                <w:tcPr>
                  <w:tcW w:w="1083" w:type="dxa"/>
                  <w:vMerge w:val="continue"/>
                  <w:noWrap w:val="0"/>
                  <w:vAlign w:val="center"/>
                </w:tcPr>
                <w:p>
                  <w:pPr>
                    <w:pStyle w:val="54"/>
                    <w:rPr>
                      <w:color w:val="auto"/>
                      <w:highlight w:val="none"/>
                      <w:u w:val="none"/>
                    </w:rPr>
                  </w:pPr>
                </w:p>
              </w:tc>
              <w:tc>
                <w:tcPr>
                  <w:tcW w:w="896" w:type="dxa"/>
                  <w:vMerge w:val="continue"/>
                  <w:noWrap w:val="0"/>
                  <w:vAlign w:val="center"/>
                </w:tcPr>
                <w:p>
                  <w:pPr>
                    <w:pStyle w:val="54"/>
                    <w:rPr>
                      <w:color w:val="auto"/>
                      <w:highlight w:val="none"/>
                      <w:u w:val="none"/>
                    </w:rPr>
                  </w:pPr>
                </w:p>
              </w:tc>
              <w:tc>
                <w:tcPr>
                  <w:tcW w:w="800" w:type="dxa"/>
                  <w:vMerge w:val="continue"/>
                  <w:noWrap w:val="0"/>
                  <w:vAlign w:val="center"/>
                </w:tcPr>
                <w:p>
                  <w:pPr>
                    <w:pStyle w:val="54"/>
                    <w:rPr>
                      <w:color w:val="auto"/>
                      <w:highlight w:val="none"/>
                      <w:u w:val="none"/>
                    </w:rPr>
                  </w:pPr>
                </w:p>
              </w:tc>
              <w:tc>
                <w:tcPr>
                  <w:tcW w:w="767" w:type="dxa"/>
                  <w:vMerge w:val="continue"/>
                  <w:noWrap w:val="0"/>
                  <w:vAlign w:val="center"/>
                </w:tcPr>
                <w:p>
                  <w:pPr>
                    <w:pStyle w:val="54"/>
                    <w:rPr>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restart"/>
                  <w:noWrap w:val="0"/>
                  <w:vAlign w:val="center"/>
                </w:tcPr>
                <w:p>
                  <w:pPr>
                    <w:pStyle w:val="54"/>
                    <w:rPr>
                      <w:color w:val="auto"/>
                      <w:highlight w:val="none"/>
                      <w:u w:val="none"/>
                    </w:rPr>
                  </w:pPr>
                  <w:r>
                    <w:rPr>
                      <w:rFonts w:hint="eastAsia"/>
                      <w:color w:val="auto"/>
                      <w:highlight w:val="none"/>
                      <w:u w:val="none"/>
                    </w:rPr>
                    <w:t>G</w:t>
                  </w:r>
                  <w:r>
                    <w:rPr>
                      <w:color w:val="auto"/>
                      <w:highlight w:val="none"/>
                      <w:u w:val="none"/>
                    </w:rPr>
                    <w:t>1</w:t>
                  </w:r>
                </w:p>
              </w:tc>
              <w:tc>
                <w:tcPr>
                  <w:tcW w:w="1575" w:type="dxa"/>
                  <w:vMerge w:val="restart"/>
                  <w:noWrap w:val="0"/>
                  <w:vAlign w:val="center"/>
                </w:tcPr>
                <w:p>
                  <w:pPr>
                    <w:jc w:val="center"/>
                    <w:rPr>
                      <w:color w:val="auto"/>
                      <w:highlight w:val="none"/>
                      <w:u w:val="none"/>
                    </w:rPr>
                  </w:pPr>
                  <w:r>
                    <w:rPr>
                      <w:rFonts w:hint="eastAsia"/>
                      <w:color w:val="auto"/>
                      <w:szCs w:val="21"/>
                      <w:highlight w:val="none"/>
                      <w:u w:val="none"/>
                    </w:rPr>
                    <w:t>总悬浮颗粒物</w:t>
                  </w:r>
                </w:p>
              </w:tc>
              <w:tc>
                <w:tcPr>
                  <w:tcW w:w="1137" w:type="dxa"/>
                  <w:vMerge w:val="restart"/>
                  <w:noWrap w:val="0"/>
                  <w:vAlign w:val="center"/>
                </w:tcPr>
                <w:p>
                  <w:pPr>
                    <w:pStyle w:val="54"/>
                    <w:rPr>
                      <w:color w:val="auto"/>
                      <w:highlight w:val="none"/>
                      <w:u w:val="none"/>
                    </w:rPr>
                  </w:pPr>
                  <w:r>
                    <w:rPr>
                      <w:rFonts w:hint="eastAsia"/>
                      <w:color w:val="auto"/>
                      <w:highlight w:val="none"/>
                      <w:u w:val="none"/>
                    </w:rPr>
                    <w:t>日均值</w:t>
                  </w:r>
                </w:p>
              </w:tc>
              <w:tc>
                <w:tcPr>
                  <w:tcW w:w="1140" w:type="dxa"/>
                  <w:vMerge w:val="restart"/>
                  <w:noWrap w:val="0"/>
                  <w:vAlign w:val="center"/>
                </w:tcPr>
                <w:p>
                  <w:pPr>
                    <w:pStyle w:val="54"/>
                    <w:rPr>
                      <w:color w:val="auto"/>
                      <w:highlight w:val="none"/>
                      <w:u w:val="none"/>
                    </w:rPr>
                  </w:pPr>
                  <w:r>
                    <w:rPr>
                      <w:rFonts w:hint="eastAsia"/>
                      <w:color w:val="auto"/>
                      <w:highlight w:val="none"/>
                      <w:u w:val="none"/>
                    </w:rPr>
                    <w:t>300</w:t>
                  </w:r>
                </w:p>
              </w:tc>
              <w:tc>
                <w:tcPr>
                  <w:tcW w:w="1083" w:type="dxa"/>
                  <w:noWrap w:val="0"/>
                  <w:vAlign w:val="center"/>
                </w:tcPr>
                <w:p>
                  <w:pPr>
                    <w:pStyle w:val="54"/>
                    <w:rPr>
                      <w:rFonts w:hint="default" w:eastAsia="宋体"/>
                      <w:color w:val="auto"/>
                      <w:highlight w:val="none"/>
                      <w:u w:val="none"/>
                      <w:lang w:val="en-US" w:eastAsia="zh-CN"/>
                    </w:rPr>
                  </w:pPr>
                  <w:r>
                    <w:rPr>
                      <w:rFonts w:hint="eastAsia"/>
                      <w:color w:val="auto"/>
                      <w:highlight w:val="none"/>
                      <w:u w:val="none"/>
                      <w:lang w:val="en-US" w:eastAsia="zh-CN"/>
                    </w:rPr>
                    <w:t>109</w:t>
                  </w:r>
                </w:p>
              </w:tc>
              <w:tc>
                <w:tcPr>
                  <w:tcW w:w="896" w:type="dxa"/>
                  <w:noWrap w:val="0"/>
                  <w:vAlign w:val="center"/>
                </w:tcPr>
                <w:p>
                  <w:pPr>
                    <w:pStyle w:val="54"/>
                    <w:rPr>
                      <w:rFonts w:hint="default" w:eastAsia="宋体"/>
                      <w:color w:val="auto"/>
                      <w:highlight w:val="none"/>
                      <w:u w:val="none"/>
                      <w:lang w:val="en-US" w:eastAsia="zh-CN"/>
                    </w:rPr>
                  </w:pPr>
                  <w:r>
                    <w:rPr>
                      <w:rFonts w:hint="eastAsia" w:eastAsia="宋体"/>
                      <w:color w:val="auto"/>
                      <w:highlight w:val="none"/>
                      <w:u w:val="none"/>
                      <w:lang w:val="en-US" w:eastAsia="zh-CN"/>
                    </w:rPr>
                    <w:t>36.3</w:t>
                  </w:r>
                </w:p>
              </w:tc>
              <w:tc>
                <w:tcPr>
                  <w:tcW w:w="800" w:type="dxa"/>
                  <w:noWrap w:val="0"/>
                  <w:vAlign w:val="center"/>
                </w:tcPr>
                <w:p>
                  <w:pPr>
                    <w:pStyle w:val="54"/>
                    <w:rPr>
                      <w:color w:val="auto"/>
                      <w:highlight w:val="none"/>
                      <w:u w:val="none"/>
                    </w:rPr>
                  </w:pPr>
                  <w:r>
                    <w:rPr>
                      <w:rFonts w:hint="eastAsia"/>
                      <w:color w:val="auto"/>
                      <w:highlight w:val="none"/>
                      <w:u w:val="none"/>
                    </w:rPr>
                    <w:t>0</w:t>
                  </w:r>
                </w:p>
              </w:tc>
              <w:tc>
                <w:tcPr>
                  <w:tcW w:w="767" w:type="dxa"/>
                  <w:noWrap w:val="0"/>
                  <w:vAlign w:val="center"/>
                </w:tcPr>
                <w:p>
                  <w:pPr>
                    <w:pStyle w:val="54"/>
                    <w:jc w:val="center"/>
                    <w:rPr>
                      <w:rFonts w:hint="eastAsia"/>
                      <w:color w:val="auto"/>
                      <w:highlight w:val="none"/>
                      <w:u w:val="none"/>
                    </w:rPr>
                  </w:pPr>
                  <w:r>
                    <w:rPr>
                      <w:rFonts w:hint="eastAsia"/>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continue"/>
                  <w:noWrap w:val="0"/>
                  <w:vAlign w:val="center"/>
                </w:tcPr>
                <w:p>
                  <w:pPr>
                    <w:pStyle w:val="54"/>
                    <w:rPr>
                      <w:rFonts w:hint="eastAsia"/>
                      <w:color w:val="auto"/>
                      <w:highlight w:val="none"/>
                      <w:u w:val="none"/>
                    </w:rPr>
                  </w:pPr>
                </w:p>
              </w:tc>
              <w:tc>
                <w:tcPr>
                  <w:tcW w:w="1575" w:type="dxa"/>
                  <w:vMerge w:val="continue"/>
                  <w:noWrap w:val="0"/>
                  <w:vAlign w:val="center"/>
                </w:tcPr>
                <w:p>
                  <w:pPr>
                    <w:jc w:val="center"/>
                    <w:rPr>
                      <w:rFonts w:hint="eastAsia"/>
                      <w:color w:val="auto"/>
                      <w:szCs w:val="21"/>
                      <w:highlight w:val="none"/>
                      <w:u w:val="none"/>
                    </w:rPr>
                  </w:pPr>
                </w:p>
              </w:tc>
              <w:tc>
                <w:tcPr>
                  <w:tcW w:w="1137" w:type="dxa"/>
                  <w:vMerge w:val="continue"/>
                  <w:noWrap w:val="0"/>
                  <w:vAlign w:val="center"/>
                </w:tcPr>
                <w:p>
                  <w:pPr>
                    <w:pStyle w:val="54"/>
                    <w:rPr>
                      <w:rFonts w:hint="eastAsia"/>
                      <w:color w:val="auto"/>
                      <w:highlight w:val="none"/>
                      <w:u w:val="none"/>
                    </w:rPr>
                  </w:pPr>
                </w:p>
              </w:tc>
              <w:tc>
                <w:tcPr>
                  <w:tcW w:w="1140" w:type="dxa"/>
                  <w:vMerge w:val="continue"/>
                  <w:noWrap w:val="0"/>
                  <w:vAlign w:val="center"/>
                </w:tcPr>
                <w:p>
                  <w:pPr>
                    <w:pStyle w:val="54"/>
                    <w:rPr>
                      <w:rFonts w:hint="eastAsia"/>
                      <w:color w:val="auto"/>
                      <w:highlight w:val="none"/>
                      <w:u w:val="none"/>
                    </w:rPr>
                  </w:pPr>
                </w:p>
              </w:tc>
              <w:tc>
                <w:tcPr>
                  <w:tcW w:w="1083"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113</w:t>
                  </w:r>
                </w:p>
              </w:tc>
              <w:tc>
                <w:tcPr>
                  <w:tcW w:w="896"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37.7</w:t>
                  </w:r>
                </w:p>
              </w:tc>
              <w:tc>
                <w:tcPr>
                  <w:tcW w:w="800" w:type="dxa"/>
                  <w:noWrap w:val="0"/>
                  <w:vAlign w:val="center"/>
                </w:tcPr>
                <w:p>
                  <w:pPr>
                    <w:pStyle w:val="54"/>
                    <w:rPr>
                      <w:rFonts w:hint="eastAsia"/>
                      <w:color w:val="auto"/>
                      <w:highlight w:val="none"/>
                      <w:u w:val="none"/>
                    </w:rPr>
                  </w:pPr>
                  <w:r>
                    <w:rPr>
                      <w:rFonts w:hint="eastAsia"/>
                      <w:color w:val="auto"/>
                      <w:highlight w:val="none"/>
                      <w:u w:val="none"/>
                    </w:rPr>
                    <w:t>0</w:t>
                  </w:r>
                </w:p>
              </w:tc>
              <w:tc>
                <w:tcPr>
                  <w:tcW w:w="767" w:type="dxa"/>
                  <w:noWrap w:val="0"/>
                  <w:vAlign w:val="center"/>
                </w:tcPr>
                <w:p>
                  <w:pPr>
                    <w:pStyle w:val="54"/>
                    <w:jc w:val="center"/>
                    <w:rPr>
                      <w:rFonts w:hint="eastAsia"/>
                      <w:color w:val="auto"/>
                      <w:highlight w:val="none"/>
                      <w:u w:val="none"/>
                    </w:rPr>
                  </w:pPr>
                  <w:r>
                    <w:rPr>
                      <w:rFonts w:hint="eastAsia"/>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continue"/>
                  <w:noWrap w:val="0"/>
                  <w:vAlign w:val="center"/>
                </w:tcPr>
                <w:p>
                  <w:pPr>
                    <w:pStyle w:val="54"/>
                    <w:rPr>
                      <w:rFonts w:hint="eastAsia"/>
                      <w:color w:val="auto"/>
                      <w:highlight w:val="none"/>
                      <w:u w:val="none"/>
                    </w:rPr>
                  </w:pPr>
                </w:p>
              </w:tc>
              <w:tc>
                <w:tcPr>
                  <w:tcW w:w="1575" w:type="dxa"/>
                  <w:vMerge w:val="continue"/>
                  <w:noWrap w:val="0"/>
                  <w:vAlign w:val="center"/>
                </w:tcPr>
                <w:p>
                  <w:pPr>
                    <w:jc w:val="center"/>
                    <w:rPr>
                      <w:rFonts w:hint="eastAsia"/>
                      <w:color w:val="auto"/>
                      <w:szCs w:val="21"/>
                      <w:highlight w:val="none"/>
                      <w:u w:val="none"/>
                    </w:rPr>
                  </w:pPr>
                </w:p>
              </w:tc>
              <w:tc>
                <w:tcPr>
                  <w:tcW w:w="1137" w:type="dxa"/>
                  <w:vMerge w:val="continue"/>
                  <w:noWrap w:val="0"/>
                  <w:vAlign w:val="center"/>
                </w:tcPr>
                <w:p>
                  <w:pPr>
                    <w:pStyle w:val="54"/>
                    <w:rPr>
                      <w:rFonts w:hint="eastAsia"/>
                      <w:color w:val="auto"/>
                      <w:highlight w:val="none"/>
                      <w:u w:val="none"/>
                    </w:rPr>
                  </w:pPr>
                </w:p>
              </w:tc>
              <w:tc>
                <w:tcPr>
                  <w:tcW w:w="1140" w:type="dxa"/>
                  <w:vMerge w:val="continue"/>
                  <w:noWrap w:val="0"/>
                  <w:vAlign w:val="center"/>
                </w:tcPr>
                <w:p>
                  <w:pPr>
                    <w:pStyle w:val="54"/>
                    <w:rPr>
                      <w:rFonts w:hint="eastAsia"/>
                      <w:color w:val="auto"/>
                      <w:highlight w:val="none"/>
                      <w:u w:val="none"/>
                    </w:rPr>
                  </w:pPr>
                </w:p>
              </w:tc>
              <w:tc>
                <w:tcPr>
                  <w:tcW w:w="1083"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97</w:t>
                  </w:r>
                </w:p>
              </w:tc>
              <w:tc>
                <w:tcPr>
                  <w:tcW w:w="896"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32.3</w:t>
                  </w:r>
                </w:p>
              </w:tc>
              <w:tc>
                <w:tcPr>
                  <w:tcW w:w="800" w:type="dxa"/>
                  <w:noWrap w:val="0"/>
                  <w:vAlign w:val="center"/>
                </w:tcPr>
                <w:p>
                  <w:pPr>
                    <w:pStyle w:val="54"/>
                    <w:rPr>
                      <w:rFonts w:hint="eastAsia"/>
                      <w:color w:val="auto"/>
                      <w:highlight w:val="none"/>
                      <w:u w:val="none"/>
                    </w:rPr>
                  </w:pPr>
                  <w:r>
                    <w:rPr>
                      <w:rFonts w:hint="eastAsia"/>
                      <w:color w:val="auto"/>
                      <w:highlight w:val="none"/>
                      <w:u w:val="none"/>
                    </w:rPr>
                    <w:t>0</w:t>
                  </w:r>
                </w:p>
              </w:tc>
              <w:tc>
                <w:tcPr>
                  <w:tcW w:w="767" w:type="dxa"/>
                  <w:noWrap w:val="0"/>
                  <w:vAlign w:val="center"/>
                </w:tcPr>
                <w:p>
                  <w:pPr>
                    <w:pStyle w:val="54"/>
                    <w:jc w:val="center"/>
                    <w:rPr>
                      <w:rFonts w:hint="eastAsia"/>
                      <w:color w:val="auto"/>
                      <w:highlight w:val="none"/>
                      <w:u w:val="none"/>
                    </w:rPr>
                  </w:pPr>
                  <w:r>
                    <w:rPr>
                      <w:rFonts w:hint="eastAsia"/>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continue"/>
                  <w:noWrap w:val="0"/>
                  <w:vAlign w:val="center"/>
                </w:tcPr>
                <w:p>
                  <w:pPr>
                    <w:pStyle w:val="54"/>
                    <w:rPr>
                      <w:rFonts w:hint="eastAsia"/>
                      <w:color w:val="auto"/>
                      <w:highlight w:val="none"/>
                      <w:u w:val="none"/>
                    </w:rPr>
                  </w:pPr>
                </w:p>
              </w:tc>
              <w:tc>
                <w:tcPr>
                  <w:tcW w:w="1575" w:type="dxa"/>
                  <w:vMerge w:val="continue"/>
                  <w:noWrap w:val="0"/>
                  <w:vAlign w:val="center"/>
                </w:tcPr>
                <w:p>
                  <w:pPr>
                    <w:jc w:val="center"/>
                    <w:rPr>
                      <w:rFonts w:hint="eastAsia"/>
                      <w:color w:val="auto"/>
                      <w:szCs w:val="21"/>
                      <w:highlight w:val="none"/>
                      <w:u w:val="none"/>
                    </w:rPr>
                  </w:pPr>
                </w:p>
              </w:tc>
              <w:tc>
                <w:tcPr>
                  <w:tcW w:w="1137" w:type="dxa"/>
                  <w:vMerge w:val="continue"/>
                  <w:noWrap w:val="0"/>
                  <w:vAlign w:val="center"/>
                </w:tcPr>
                <w:p>
                  <w:pPr>
                    <w:pStyle w:val="54"/>
                    <w:rPr>
                      <w:rFonts w:hint="eastAsia"/>
                      <w:color w:val="auto"/>
                      <w:highlight w:val="none"/>
                      <w:u w:val="none"/>
                    </w:rPr>
                  </w:pPr>
                </w:p>
              </w:tc>
              <w:tc>
                <w:tcPr>
                  <w:tcW w:w="1140" w:type="dxa"/>
                  <w:vMerge w:val="continue"/>
                  <w:noWrap w:val="0"/>
                  <w:vAlign w:val="center"/>
                </w:tcPr>
                <w:p>
                  <w:pPr>
                    <w:pStyle w:val="54"/>
                    <w:rPr>
                      <w:rFonts w:hint="eastAsia"/>
                      <w:color w:val="auto"/>
                      <w:highlight w:val="none"/>
                      <w:u w:val="none"/>
                    </w:rPr>
                  </w:pPr>
                </w:p>
              </w:tc>
              <w:tc>
                <w:tcPr>
                  <w:tcW w:w="1083"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108</w:t>
                  </w:r>
                </w:p>
              </w:tc>
              <w:tc>
                <w:tcPr>
                  <w:tcW w:w="896"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36</w:t>
                  </w:r>
                </w:p>
              </w:tc>
              <w:tc>
                <w:tcPr>
                  <w:tcW w:w="800" w:type="dxa"/>
                  <w:noWrap w:val="0"/>
                  <w:vAlign w:val="center"/>
                </w:tcPr>
                <w:p>
                  <w:pPr>
                    <w:pStyle w:val="54"/>
                    <w:rPr>
                      <w:rFonts w:hint="eastAsia" w:eastAsia="宋体"/>
                      <w:color w:val="auto"/>
                      <w:highlight w:val="none"/>
                      <w:u w:val="none"/>
                      <w:lang w:val="en-US" w:eastAsia="zh-CN"/>
                    </w:rPr>
                  </w:pPr>
                  <w:r>
                    <w:rPr>
                      <w:rFonts w:hint="eastAsia"/>
                      <w:color w:val="auto"/>
                      <w:highlight w:val="none"/>
                      <w:u w:val="none"/>
                      <w:lang w:val="en-US" w:eastAsia="zh-CN"/>
                    </w:rPr>
                    <w:t>0</w:t>
                  </w:r>
                </w:p>
              </w:tc>
              <w:tc>
                <w:tcPr>
                  <w:tcW w:w="767" w:type="dxa"/>
                  <w:noWrap w:val="0"/>
                  <w:vAlign w:val="center"/>
                </w:tcPr>
                <w:p>
                  <w:pPr>
                    <w:jc w:val="center"/>
                    <w:rPr>
                      <w:rFonts w:hint="eastAsia"/>
                      <w:color w:val="auto"/>
                      <w:highlight w:val="none"/>
                      <w:u w:val="none"/>
                    </w:rPr>
                  </w:pPr>
                  <w:r>
                    <w:rPr>
                      <w:rFonts w:hint="eastAsia"/>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continue"/>
                  <w:noWrap w:val="0"/>
                  <w:vAlign w:val="center"/>
                </w:tcPr>
                <w:p>
                  <w:pPr>
                    <w:pStyle w:val="54"/>
                    <w:rPr>
                      <w:rFonts w:hint="eastAsia"/>
                      <w:color w:val="auto"/>
                      <w:highlight w:val="none"/>
                      <w:u w:val="none"/>
                    </w:rPr>
                  </w:pPr>
                </w:p>
              </w:tc>
              <w:tc>
                <w:tcPr>
                  <w:tcW w:w="1575" w:type="dxa"/>
                  <w:vMerge w:val="continue"/>
                  <w:noWrap w:val="0"/>
                  <w:vAlign w:val="center"/>
                </w:tcPr>
                <w:p>
                  <w:pPr>
                    <w:jc w:val="center"/>
                    <w:rPr>
                      <w:rFonts w:hint="eastAsia"/>
                      <w:color w:val="auto"/>
                      <w:szCs w:val="21"/>
                      <w:highlight w:val="none"/>
                      <w:u w:val="none"/>
                    </w:rPr>
                  </w:pPr>
                </w:p>
              </w:tc>
              <w:tc>
                <w:tcPr>
                  <w:tcW w:w="1137" w:type="dxa"/>
                  <w:vMerge w:val="continue"/>
                  <w:noWrap w:val="0"/>
                  <w:vAlign w:val="center"/>
                </w:tcPr>
                <w:p>
                  <w:pPr>
                    <w:pStyle w:val="54"/>
                    <w:rPr>
                      <w:rFonts w:hint="eastAsia"/>
                      <w:color w:val="auto"/>
                      <w:highlight w:val="none"/>
                      <w:u w:val="none"/>
                    </w:rPr>
                  </w:pPr>
                </w:p>
              </w:tc>
              <w:tc>
                <w:tcPr>
                  <w:tcW w:w="1140" w:type="dxa"/>
                  <w:vMerge w:val="continue"/>
                  <w:noWrap w:val="0"/>
                  <w:vAlign w:val="center"/>
                </w:tcPr>
                <w:p>
                  <w:pPr>
                    <w:pStyle w:val="54"/>
                    <w:rPr>
                      <w:rFonts w:hint="eastAsia"/>
                      <w:color w:val="auto"/>
                      <w:highlight w:val="none"/>
                      <w:u w:val="none"/>
                    </w:rPr>
                  </w:pPr>
                </w:p>
              </w:tc>
              <w:tc>
                <w:tcPr>
                  <w:tcW w:w="1083"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116</w:t>
                  </w:r>
                </w:p>
              </w:tc>
              <w:tc>
                <w:tcPr>
                  <w:tcW w:w="896"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38.7</w:t>
                  </w:r>
                </w:p>
              </w:tc>
              <w:tc>
                <w:tcPr>
                  <w:tcW w:w="800" w:type="dxa"/>
                  <w:noWrap w:val="0"/>
                  <w:vAlign w:val="center"/>
                </w:tcPr>
                <w:p>
                  <w:pPr>
                    <w:pStyle w:val="54"/>
                    <w:rPr>
                      <w:rFonts w:hint="eastAsia" w:eastAsia="宋体"/>
                      <w:color w:val="auto"/>
                      <w:highlight w:val="none"/>
                      <w:u w:val="none"/>
                      <w:lang w:val="en-US" w:eastAsia="zh-CN"/>
                    </w:rPr>
                  </w:pPr>
                  <w:r>
                    <w:rPr>
                      <w:rFonts w:hint="eastAsia"/>
                      <w:color w:val="auto"/>
                      <w:highlight w:val="none"/>
                      <w:u w:val="none"/>
                      <w:lang w:val="en-US" w:eastAsia="zh-CN"/>
                    </w:rPr>
                    <w:t>0</w:t>
                  </w:r>
                </w:p>
              </w:tc>
              <w:tc>
                <w:tcPr>
                  <w:tcW w:w="767" w:type="dxa"/>
                  <w:noWrap w:val="0"/>
                  <w:vAlign w:val="center"/>
                </w:tcPr>
                <w:p>
                  <w:pPr>
                    <w:jc w:val="center"/>
                    <w:rPr>
                      <w:rFonts w:hint="eastAsia"/>
                      <w:color w:val="auto"/>
                      <w:highlight w:val="none"/>
                      <w:u w:val="none"/>
                    </w:rPr>
                  </w:pPr>
                  <w:r>
                    <w:rPr>
                      <w:rFonts w:hint="eastAsia"/>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continue"/>
                  <w:noWrap w:val="0"/>
                  <w:vAlign w:val="center"/>
                </w:tcPr>
                <w:p>
                  <w:pPr>
                    <w:pStyle w:val="54"/>
                    <w:rPr>
                      <w:rFonts w:hint="eastAsia"/>
                      <w:color w:val="auto"/>
                      <w:highlight w:val="none"/>
                      <w:u w:val="none"/>
                    </w:rPr>
                  </w:pPr>
                </w:p>
              </w:tc>
              <w:tc>
                <w:tcPr>
                  <w:tcW w:w="1575" w:type="dxa"/>
                  <w:vMerge w:val="continue"/>
                  <w:noWrap w:val="0"/>
                  <w:vAlign w:val="center"/>
                </w:tcPr>
                <w:p>
                  <w:pPr>
                    <w:jc w:val="center"/>
                    <w:rPr>
                      <w:rFonts w:hint="eastAsia"/>
                      <w:color w:val="auto"/>
                      <w:szCs w:val="21"/>
                      <w:highlight w:val="none"/>
                      <w:u w:val="none"/>
                    </w:rPr>
                  </w:pPr>
                </w:p>
              </w:tc>
              <w:tc>
                <w:tcPr>
                  <w:tcW w:w="1137" w:type="dxa"/>
                  <w:vMerge w:val="continue"/>
                  <w:noWrap w:val="0"/>
                  <w:vAlign w:val="center"/>
                </w:tcPr>
                <w:p>
                  <w:pPr>
                    <w:pStyle w:val="54"/>
                    <w:rPr>
                      <w:rFonts w:hint="eastAsia"/>
                      <w:color w:val="auto"/>
                      <w:highlight w:val="none"/>
                      <w:u w:val="none"/>
                    </w:rPr>
                  </w:pPr>
                </w:p>
              </w:tc>
              <w:tc>
                <w:tcPr>
                  <w:tcW w:w="1140" w:type="dxa"/>
                  <w:vMerge w:val="continue"/>
                  <w:noWrap w:val="0"/>
                  <w:vAlign w:val="center"/>
                </w:tcPr>
                <w:p>
                  <w:pPr>
                    <w:pStyle w:val="54"/>
                    <w:rPr>
                      <w:rFonts w:hint="eastAsia"/>
                      <w:color w:val="auto"/>
                      <w:highlight w:val="none"/>
                      <w:u w:val="none"/>
                    </w:rPr>
                  </w:pPr>
                </w:p>
              </w:tc>
              <w:tc>
                <w:tcPr>
                  <w:tcW w:w="1083"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82</w:t>
                  </w:r>
                </w:p>
              </w:tc>
              <w:tc>
                <w:tcPr>
                  <w:tcW w:w="896"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27.3</w:t>
                  </w:r>
                </w:p>
              </w:tc>
              <w:tc>
                <w:tcPr>
                  <w:tcW w:w="800" w:type="dxa"/>
                  <w:noWrap w:val="0"/>
                  <w:vAlign w:val="center"/>
                </w:tcPr>
                <w:p>
                  <w:pPr>
                    <w:pStyle w:val="54"/>
                    <w:rPr>
                      <w:rFonts w:hint="eastAsia" w:eastAsia="宋体"/>
                      <w:color w:val="auto"/>
                      <w:highlight w:val="none"/>
                      <w:u w:val="none"/>
                      <w:lang w:val="en-US" w:eastAsia="zh-CN"/>
                    </w:rPr>
                  </w:pPr>
                  <w:r>
                    <w:rPr>
                      <w:rFonts w:hint="eastAsia"/>
                      <w:color w:val="auto"/>
                      <w:highlight w:val="none"/>
                      <w:u w:val="none"/>
                      <w:lang w:val="en-US" w:eastAsia="zh-CN"/>
                    </w:rPr>
                    <w:t>0</w:t>
                  </w:r>
                </w:p>
              </w:tc>
              <w:tc>
                <w:tcPr>
                  <w:tcW w:w="767" w:type="dxa"/>
                  <w:noWrap w:val="0"/>
                  <w:vAlign w:val="center"/>
                </w:tcPr>
                <w:p>
                  <w:pPr>
                    <w:jc w:val="center"/>
                    <w:rPr>
                      <w:rFonts w:hint="eastAsia"/>
                      <w:color w:val="auto"/>
                      <w:highlight w:val="none"/>
                      <w:u w:val="none"/>
                    </w:rPr>
                  </w:pPr>
                  <w:r>
                    <w:rPr>
                      <w:rFonts w:hint="eastAsia"/>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8" w:type="dxa"/>
                  <w:vMerge w:val="continue"/>
                  <w:noWrap w:val="0"/>
                  <w:vAlign w:val="center"/>
                </w:tcPr>
                <w:p>
                  <w:pPr>
                    <w:pStyle w:val="54"/>
                    <w:rPr>
                      <w:rFonts w:hint="eastAsia"/>
                      <w:color w:val="auto"/>
                      <w:highlight w:val="none"/>
                      <w:u w:val="none"/>
                    </w:rPr>
                  </w:pPr>
                </w:p>
              </w:tc>
              <w:tc>
                <w:tcPr>
                  <w:tcW w:w="1575" w:type="dxa"/>
                  <w:vMerge w:val="continue"/>
                  <w:noWrap w:val="0"/>
                  <w:vAlign w:val="center"/>
                </w:tcPr>
                <w:p>
                  <w:pPr>
                    <w:jc w:val="center"/>
                    <w:rPr>
                      <w:rFonts w:hint="eastAsia"/>
                      <w:color w:val="auto"/>
                      <w:szCs w:val="21"/>
                      <w:highlight w:val="none"/>
                      <w:u w:val="none"/>
                    </w:rPr>
                  </w:pPr>
                </w:p>
              </w:tc>
              <w:tc>
                <w:tcPr>
                  <w:tcW w:w="1137" w:type="dxa"/>
                  <w:vMerge w:val="continue"/>
                  <w:noWrap w:val="0"/>
                  <w:vAlign w:val="center"/>
                </w:tcPr>
                <w:p>
                  <w:pPr>
                    <w:pStyle w:val="54"/>
                    <w:rPr>
                      <w:rFonts w:hint="eastAsia"/>
                      <w:color w:val="auto"/>
                      <w:highlight w:val="none"/>
                      <w:u w:val="none"/>
                    </w:rPr>
                  </w:pPr>
                </w:p>
              </w:tc>
              <w:tc>
                <w:tcPr>
                  <w:tcW w:w="1140" w:type="dxa"/>
                  <w:vMerge w:val="continue"/>
                  <w:noWrap w:val="0"/>
                  <w:vAlign w:val="center"/>
                </w:tcPr>
                <w:p>
                  <w:pPr>
                    <w:pStyle w:val="54"/>
                    <w:rPr>
                      <w:rFonts w:hint="eastAsia"/>
                      <w:color w:val="auto"/>
                      <w:highlight w:val="none"/>
                      <w:u w:val="none"/>
                    </w:rPr>
                  </w:pPr>
                </w:p>
              </w:tc>
              <w:tc>
                <w:tcPr>
                  <w:tcW w:w="1083"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86</w:t>
                  </w:r>
                </w:p>
              </w:tc>
              <w:tc>
                <w:tcPr>
                  <w:tcW w:w="896" w:type="dxa"/>
                  <w:noWrap w:val="0"/>
                  <w:vAlign w:val="center"/>
                </w:tcPr>
                <w:p>
                  <w:pPr>
                    <w:pStyle w:val="54"/>
                    <w:rPr>
                      <w:rFonts w:hint="default"/>
                      <w:color w:val="auto"/>
                      <w:highlight w:val="none"/>
                      <w:u w:val="none"/>
                      <w:lang w:val="en-US" w:eastAsia="zh-CN"/>
                    </w:rPr>
                  </w:pPr>
                  <w:r>
                    <w:rPr>
                      <w:rFonts w:hint="eastAsia"/>
                      <w:color w:val="auto"/>
                      <w:highlight w:val="none"/>
                      <w:u w:val="none"/>
                      <w:lang w:val="en-US" w:eastAsia="zh-CN"/>
                    </w:rPr>
                    <w:t>28.7</w:t>
                  </w:r>
                </w:p>
              </w:tc>
              <w:tc>
                <w:tcPr>
                  <w:tcW w:w="800" w:type="dxa"/>
                  <w:noWrap w:val="0"/>
                  <w:vAlign w:val="center"/>
                </w:tcPr>
                <w:p>
                  <w:pPr>
                    <w:pStyle w:val="54"/>
                    <w:rPr>
                      <w:rFonts w:hint="eastAsia" w:eastAsia="宋体"/>
                      <w:color w:val="auto"/>
                      <w:highlight w:val="none"/>
                      <w:u w:val="none"/>
                      <w:lang w:val="en-US" w:eastAsia="zh-CN"/>
                    </w:rPr>
                  </w:pPr>
                  <w:r>
                    <w:rPr>
                      <w:rFonts w:hint="eastAsia"/>
                      <w:color w:val="auto"/>
                      <w:highlight w:val="none"/>
                      <w:u w:val="none"/>
                      <w:lang w:val="en-US" w:eastAsia="zh-CN"/>
                    </w:rPr>
                    <w:t>0</w:t>
                  </w:r>
                </w:p>
              </w:tc>
              <w:tc>
                <w:tcPr>
                  <w:tcW w:w="767" w:type="dxa"/>
                  <w:noWrap w:val="0"/>
                  <w:vAlign w:val="center"/>
                </w:tcPr>
                <w:p>
                  <w:pPr>
                    <w:jc w:val="center"/>
                    <w:rPr>
                      <w:rFonts w:hint="eastAsia"/>
                      <w:color w:val="auto"/>
                      <w:highlight w:val="none"/>
                      <w:u w:val="none"/>
                    </w:rPr>
                  </w:pPr>
                  <w:r>
                    <w:rPr>
                      <w:rFonts w:hint="eastAsia"/>
                      <w:color w:val="auto"/>
                      <w:highlight w:val="none"/>
                      <w:u w:val="none"/>
                    </w:rPr>
                    <w:t>达标</w:t>
                  </w:r>
                </w:p>
              </w:tc>
            </w:tr>
          </w:tbl>
          <w:p>
            <w:pPr>
              <w:autoSpaceDE w:val="0"/>
              <w:autoSpaceDN w:val="0"/>
              <w:spacing w:before="120" w:beforeLines="50" w:line="360" w:lineRule="auto"/>
              <w:ind w:firstLine="480" w:firstLineChars="200"/>
              <w:rPr>
                <w:rFonts w:hint="eastAsia"/>
                <w:color w:val="auto"/>
                <w:sz w:val="24"/>
                <w:szCs w:val="32"/>
                <w:highlight w:val="none"/>
              </w:rPr>
            </w:pPr>
            <w:r>
              <w:rPr>
                <w:rFonts w:hint="eastAsia"/>
                <w:color w:val="auto"/>
                <w:sz w:val="24"/>
                <w:szCs w:val="32"/>
                <w:highlight w:val="none"/>
              </w:rPr>
              <w:t>根据上表可知，本项目</w:t>
            </w:r>
            <w:r>
              <w:rPr>
                <w:rFonts w:hint="eastAsia"/>
                <w:color w:val="auto"/>
                <w:sz w:val="24"/>
                <w:szCs w:val="32"/>
                <w:highlight w:val="none"/>
                <w:lang w:val="en-US" w:eastAsia="zh-CN"/>
              </w:rPr>
              <w:t>区域内</w:t>
            </w:r>
            <w:r>
              <w:rPr>
                <w:rFonts w:hint="eastAsia"/>
                <w:color w:val="auto"/>
                <w:sz w:val="24"/>
                <w:szCs w:val="32"/>
                <w:highlight w:val="none"/>
              </w:rPr>
              <w:t>其他</w:t>
            </w:r>
            <w:r>
              <w:rPr>
                <w:rFonts w:hint="eastAsia"/>
                <w:color w:val="auto"/>
                <w:sz w:val="24"/>
                <w:szCs w:val="32"/>
                <w:highlight w:val="none"/>
                <w:lang w:val="en-US" w:eastAsia="zh-CN"/>
              </w:rPr>
              <w:t>特征</w:t>
            </w:r>
            <w:r>
              <w:rPr>
                <w:rFonts w:hint="eastAsia"/>
                <w:color w:val="auto"/>
                <w:sz w:val="24"/>
                <w:szCs w:val="32"/>
                <w:highlight w:val="none"/>
              </w:rPr>
              <w:t>污染物总悬浮颗粒物能满足《环境空气质量标准》(GB3095-2012)二级标准及其修改单要求。</w:t>
            </w:r>
          </w:p>
          <w:p>
            <w:pPr>
              <w:autoSpaceDE w:val="0"/>
              <w:autoSpaceDN w:val="0"/>
              <w:spacing w:before="120" w:beforeLines="50" w:line="360" w:lineRule="auto"/>
              <w:ind w:firstLine="482" w:firstLineChars="200"/>
              <w:rPr>
                <w:rFonts w:hint="eastAsia"/>
                <w:b/>
                <w:bCs/>
                <w:color w:val="auto"/>
                <w:sz w:val="24"/>
                <w:szCs w:val="32"/>
                <w:highlight w:val="none"/>
              </w:rPr>
            </w:pPr>
            <w:r>
              <w:rPr>
                <w:rFonts w:hint="eastAsia"/>
                <w:b/>
                <w:bCs/>
                <w:color w:val="auto"/>
                <w:sz w:val="24"/>
                <w:szCs w:val="32"/>
                <w:highlight w:val="none"/>
              </w:rPr>
              <w:t>二、地表水环境质量现状调查与评价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32"/>
                <w:highlight w:val="none"/>
                <w:u w:val="none"/>
              </w:rPr>
            </w:pPr>
            <w:r>
              <w:rPr>
                <w:rFonts w:hint="eastAsia"/>
                <w:color w:val="auto"/>
                <w:sz w:val="24"/>
                <w:szCs w:val="32"/>
                <w:highlight w:val="none"/>
              </w:rPr>
              <w:t>本项目生活污水经化粪池处理后，用作农肥不外排。根据湖南省生态环境厅公示的数据，2023年6月，项目所在区域上游的游港河龙源水库断面水质达到《地表水环境质量标准》（GB3838-2002）Ⅱ类标准，下游的游港河东湖庙断面达到《地表水环境质量标准》（GB3838-2002）Ⅲ类标准。本项目周边最近的地表水体为</w:t>
            </w:r>
            <w:r>
              <w:rPr>
                <w:rFonts w:hint="eastAsia"/>
                <w:color w:val="auto"/>
                <w:sz w:val="24"/>
                <w:szCs w:val="32"/>
                <w:highlight w:val="none"/>
                <w:lang w:val="en-US" w:eastAsia="zh-CN"/>
              </w:rPr>
              <w:t>北侧20m的</w:t>
            </w:r>
            <w:r>
              <w:rPr>
                <w:rFonts w:hint="eastAsia"/>
                <w:color w:val="auto"/>
                <w:sz w:val="24"/>
                <w:szCs w:val="32"/>
                <w:highlight w:val="none"/>
              </w:rPr>
              <w:t>游港河，因此区域地表水环境质量良好。</w:t>
            </w:r>
          </w:p>
          <w:p>
            <w:pPr>
              <w:autoSpaceDE w:val="0"/>
              <w:autoSpaceDN w:val="0"/>
              <w:spacing w:before="120" w:beforeLines="50" w:line="360" w:lineRule="auto"/>
              <w:ind w:firstLine="482" w:firstLineChars="200"/>
              <w:rPr>
                <w:b/>
                <w:bCs/>
                <w:color w:val="auto"/>
                <w:sz w:val="24"/>
                <w:szCs w:val="32"/>
                <w:highlight w:val="none"/>
              </w:rPr>
            </w:pPr>
            <w:r>
              <w:rPr>
                <w:rFonts w:hint="eastAsia"/>
                <w:b/>
                <w:bCs/>
                <w:color w:val="auto"/>
                <w:sz w:val="24"/>
                <w:szCs w:val="32"/>
                <w:highlight w:val="none"/>
              </w:rPr>
              <w:t>三、声环境质量现状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sz w:val="24"/>
                <w:szCs w:val="32"/>
                <w:highlight w:val="none"/>
              </w:rPr>
            </w:pPr>
            <w:r>
              <w:rPr>
                <w:rFonts w:hint="eastAsia"/>
                <w:color w:val="auto"/>
                <w:sz w:val="24"/>
                <w:szCs w:val="32"/>
                <w:highlight w:val="none"/>
              </w:rPr>
              <w:t>本项目厂界外周边50米范围不存在声环境保护目标，无需进行声环境监测。</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eastAsia="宋体" w:cs="Times New Roman"/>
                <w:b/>
                <w:bCs/>
                <w:color w:val="auto"/>
                <w:sz w:val="24"/>
                <w:szCs w:val="32"/>
                <w:highlight w:val="none"/>
                <w:lang w:val="en-US" w:eastAsia="zh-CN"/>
              </w:rPr>
              <w:t>四、地下水、土壤环境质量现状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根据《建设项目环境影响报告表编制技术指南》（污染影响类）（试行），“原则上不开展环境质量现状调查，建设项目存在土壤、地下水环境污染途径的，应结合污染源、保护目标分布情况开展现状调查以留作背景值”。本项目地面均进行硬化处理，项目危废暂存间也进行硬化等防渗处理，生产过程中不会污染地下水和土壤，因此本项目可不开展土壤和地下水现状调查。</w:t>
            </w:r>
          </w:p>
          <w:p>
            <w:pPr>
              <w:autoSpaceDE w:val="0"/>
              <w:autoSpaceDN w:val="0"/>
              <w:spacing w:before="120" w:beforeLines="50" w:line="360" w:lineRule="auto"/>
              <w:ind w:firstLine="482" w:firstLineChars="200"/>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eastAsia="宋体" w:cs="Times New Roman"/>
                <w:b/>
                <w:bCs/>
                <w:color w:val="auto"/>
                <w:sz w:val="24"/>
                <w:szCs w:val="32"/>
                <w:highlight w:val="none"/>
                <w:lang w:val="en-US" w:eastAsia="zh-CN"/>
              </w:rPr>
              <w:t>五、生态环境现状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Cs w:val="21"/>
                <w:highlight w:val="none"/>
                <w:lang w:val="en-US" w:eastAsia="zh-CN"/>
              </w:rPr>
            </w:pPr>
            <w:r>
              <w:rPr>
                <w:rFonts w:hint="eastAsia"/>
                <w:color w:val="auto"/>
                <w:sz w:val="24"/>
                <w:szCs w:val="32"/>
                <w:highlight w:val="none"/>
                <w:lang w:val="en-US" w:eastAsia="zh-CN"/>
              </w:rPr>
              <w:t>根据《建设项目环境影响报告表编制技术指南》（污染影响类）（试行），“产业园区外建设项目新增用地且用地范围内含有生态环境保护目标时，应进行生态现状调查”。本项目租用原有已建厂房，不新增用地，且经现场调查核实，本项目占地范围内无自然保护区、风景名胜区及天然湿地等生态环境保护目标。因此，无需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00" w:type="dxa"/>
            <w:noWrap w:val="0"/>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环境</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保护</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目标</w:t>
            </w:r>
          </w:p>
        </w:tc>
        <w:tc>
          <w:tcPr>
            <w:tcW w:w="8190" w:type="dxa"/>
            <w:noWrap w:val="0"/>
            <w:vAlign w:val="center"/>
          </w:tcPr>
          <w:p>
            <w:pPr>
              <w:adjustRightInd w:val="0"/>
              <w:snapToGrid w:val="0"/>
              <w:spacing w:before="120" w:beforeLines="50"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color w:val="auto"/>
                <w:kern w:val="0"/>
                <w:sz w:val="24"/>
                <w:highlight w:val="none"/>
              </w:rPr>
              <w:t>根据《建设项目环境影响报告表编制技术指南》（污染影响类）（试行），大气环境需明确厂界外500米范围内的保护目标的名称及与建设项目厂界位置关系；声环境需明确厂界外50米范围内声环境保护目标；地下水环境需明确厂界外500米范围内的地下水集中式饮用水水源和热水、矿泉水、温泉等特殊地下水资源</w:t>
            </w:r>
            <w:r>
              <w:rPr>
                <w:rFonts w:hint="default" w:ascii="Times New Roman" w:hAnsi="Times New Roman" w:cs="Times New Roman"/>
                <w:bCs/>
                <w:color w:val="auto"/>
                <w:sz w:val="24"/>
                <w:highlight w:val="none"/>
              </w:rPr>
              <w:t>。</w:t>
            </w:r>
          </w:p>
          <w:p>
            <w:pPr>
              <w:pStyle w:val="2"/>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1、大气环境</w:t>
            </w:r>
          </w:p>
          <w:p>
            <w:pPr>
              <w:adjustRightInd w:val="0"/>
              <w:snapToGrid w:val="0"/>
              <w:spacing w:line="360" w:lineRule="auto"/>
              <w:jc w:val="center"/>
              <w:rPr>
                <w:bCs/>
                <w:color w:val="auto"/>
                <w:sz w:val="32"/>
                <w:szCs w:val="32"/>
                <w:highlight w:val="none"/>
                <w:u w:val="none"/>
              </w:rPr>
            </w:pPr>
            <w:r>
              <w:rPr>
                <w:rFonts w:hint="eastAsia"/>
                <w:b/>
                <w:color w:val="auto"/>
                <w:sz w:val="24"/>
                <w:highlight w:val="none"/>
                <w:u w:val="none"/>
              </w:rPr>
              <w:t>表3-</w:t>
            </w:r>
            <w:r>
              <w:rPr>
                <w:rFonts w:hint="eastAsia"/>
                <w:b/>
                <w:color w:val="auto"/>
                <w:sz w:val="24"/>
                <w:highlight w:val="none"/>
                <w:u w:val="none"/>
                <w:lang w:val="en-US" w:eastAsia="zh-CN"/>
              </w:rPr>
              <w:t>4</w:t>
            </w:r>
            <w:r>
              <w:rPr>
                <w:rFonts w:hint="eastAsia"/>
                <w:b/>
                <w:color w:val="auto"/>
                <w:sz w:val="24"/>
                <w:highlight w:val="none"/>
                <w:u w:val="none"/>
              </w:rPr>
              <w:t xml:space="preserve"> 大气环境保护目标一览表</w:t>
            </w:r>
          </w:p>
          <w:tbl>
            <w:tblPr>
              <w:tblStyle w:val="23"/>
              <w:tblW w:w="4947" w:type="pct"/>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64"/>
              <w:gridCol w:w="1091"/>
              <w:gridCol w:w="1050"/>
              <w:gridCol w:w="1063"/>
              <w:gridCol w:w="928"/>
              <w:gridCol w:w="1009"/>
              <w:gridCol w:w="1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 w:type="pct"/>
                  <w:vMerge w:val="restart"/>
                  <w:noWrap w:val="0"/>
                  <w:vAlign w:val="center"/>
                </w:tcPr>
                <w:p>
                  <w:pPr>
                    <w:pStyle w:val="22"/>
                    <w:adjustRightInd w:val="0"/>
                    <w:snapToGrid w:val="0"/>
                    <w:spacing w:after="0"/>
                    <w:ind w:left="0" w:leftChars="0" w:firstLine="0"/>
                    <w:jc w:val="center"/>
                    <w:rPr>
                      <w:b/>
                      <w:bCs/>
                      <w:color w:val="auto"/>
                      <w:szCs w:val="21"/>
                      <w:highlight w:val="none"/>
                      <w:u w:val="none"/>
                      <w:lang w:val="en-US" w:eastAsia="zh-CN"/>
                    </w:rPr>
                  </w:pPr>
                  <w:r>
                    <w:rPr>
                      <w:b/>
                      <w:bCs/>
                      <w:color w:val="auto"/>
                      <w:szCs w:val="21"/>
                      <w:highlight w:val="none"/>
                      <w:u w:val="none"/>
                      <w:lang w:val="en-US" w:eastAsia="zh-CN"/>
                    </w:rPr>
                    <w:t>类别</w:t>
                  </w:r>
                </w:p>
              </w:tc>
              <w:tc>
                <w:tcPr>
                  <w:tcW w:w="676" w:type="pct"/>
                  <w:vMerge w:val="restart"/>
                  <w:noWrap w:val="0"/>
                  <w:vAlign w:val="center"/>
                </w:tcPr>
                <w:p>
                  <w:pPr>
                    <w:pStyle w:val="22"/>
                    <w:adjustRightInd w:val="0"/>
                    <w:snapToGrid w:val="0"/>
                    <w:spacing w:after="0"/>
                    <w:ind w:left="0" w:leftChars="0" w:firstLine="0"/>
                    <w:jc w:val="center"/>
                    <w:rPr>
                      <w:b/>
                      <w:bCs/>
                      <w:color w:val="auto"/>
                      <w:szCs w:val="21"/>
                      <w:highlight w:val="none"/>
                      <w:u w:val="none"/>
                      <w:lang w:val="en-US" w:eastAsia="zh-CN"/>
                    </w:rPr>
                  </w:pPr>
                  <w:r>
                    <w:rPr>
                      <w:b/>
                      <w:bCs/>
                      <w:color w:val="auto"/>
                      <w:szCs w:val="21"/>
                      <w:highlight w:val="none"/>
                      <w:u w:val="none"/>
                      <w:lang w:val="en-US" w:eastAsia="zh-CN"/>
                    </w:rPr>
                    <w:t>保护目标</w:t>
                  </w:r>
                </w:p>
              </w:tc>
              <w:tc>
                <w:tcPr>
                  <w:tcW w:w="1361" w:type="pct"/>
                  <w:gridSpan w:val="2"/>
                  <w:noWrap w:val="0"/>
                  <w:vAlign w:val="center"/>
                </w:tcPr>
                <w:p>
                  <w:pPr>
                    <w:pStyle w:val="22"/>
                    <w:adjustRightInd w:val="0"/>
                    <w:snapToGrid w:val="0"/>
                    <w:spacing w:after="0"/>
                    <w:ind w:left="0" w:leftChars="0" w:firstLine="0"/>
                    <w:jc w:val="center"/>
                    <w:rPr>
                      <w:b/>
                      <w:bCs/>
                      <w:color w:val="auto"/>
                      <w:szCs w:val="21"/>
                      <w:highlight w:val="none"/>
                      <w:u w:val="none"/>
                      <w:lang w:val="en-US" w:eastAsia="zh-CN"/>
                    </w:rPr>
                  </w:pPr>
                  <w:r>
                    <w:rPr>
                      <w:b/>
                      <w:bCs/>
                      <w:color w:val="auto"/>
                      <w:szCs w:val="21"/>
                      <w:highlight w:val="none"/>
                      <w:u w:val="none"/>
                      <w:lang w:val="en-US" w:eastAsia="zh-CN"/>
                    </w:rPr>
                    <w:t>坐标</w:t>
                  </w:r>
                </w:p>
              </w:tc>
              <w:tc>
                <w:tcPr>
                  <w:tcW w:w="676" w:type="pct"/>
                  <w:vMerge w:val="restart"/>
                  <w:noWrap w:val="0"/>
                  <w:vAlign w:val="center"/>
                </w:tcPr>
                <w:p>
                  <w:pPr>
                    <w:pStyle w:val="22"/>
                    <w:adjustRightInd w:val="0"/>
                    <w:snapToGrid w:val="0"/>
                    <w:spacing w:after="0"/>
                    <w:ind w:left="0" w:leftChars="0" w:firstLine="0"/>
                    <w:jc w:val="center"/>
                    <w:rPr>
                      <w:b/>
                      <w:bCs/>
                      <w:color w:val="auto"/>
                      <w:szCs w:val="21"/>
                      <w:highlight w:val="none"/>
                      <w:u w:val="none"/>
                      <w:lang w:val="en-US" w:eastAsia="zh-CN"/>
                    </w:rPr>
                  </w:pPr>
                  <w:r>
                    <w:rPr>
                      <w:b/>
                      <w:bCs/>
                      <w:color w:val="auto"/>
                      <w:szCs w:val="21"/>
                      <w:highlight w:val="none"/>
                      <w:u w:val="none"/>
                      <w:lang w:val="en-US" w:eastAsia="zh-CN"/>
                    </w:rPr>
                    <w:t>规模</w:t>
                  </w:r>
                </w:p>
              </w:tc>
              <w:tc>
                <w:tcPr>
                  <w:tcW w:w="590" w:type="pct"/>
                  <w:vMerge w:val="restart"/>
                  <w:noWrap w:val="0"/>
                  <w:vAlign w:val="center"/>
                </w:tcPr>
                <w:p>
                  <w:pPr>
                    <w:pStyle w:val="22"/>
                    <w:adjustRightInd w:val="0"/>
                    <w:snapToGrid w:val="0"/>
                    <w:spacing w:after="0"/>
                    <w:ind w:left="0" w:leftChars="0" w:firstLine="0"/>
                    <w:jc w:val="center"/>
                    <w:rPr>
                      <w:b/>
                      <w:bCs/>
                      <w:color w:val="auto"/>
                      <w:szCs w:val="21"/>
                      <w:highlight w:val="none"/>
                      <w:u w:val="none"/>
                      <w:lang w:val="en-US" w:eastAsia="zh-CN"/>
                    </w:rPr>
                  </w:pPr>
                  <w:r>
                    <w:rPr>
                      <w:b/>
                      <w:bCs/>
                      <w:color w:val="auto"/>
                      <w:szCs w:val="21"/>
                      <w:highlight w:val="none"/>
                      <w:u w:val="none"/>
                      <w:lang w:val="en-US" w:eastAsia="zh-CN"/>
                    </w:rPr>
                    <w:t>环境功能区</w:t>
                  </w:r>
                </w:p>
              </w:tc>
              <w:tc>
                <w:tcPr>
                  <w:tcW w:w="641" w:type="pct"/>
                  <w:vMerge w:val="restart"/>
                  <w:noWrap w:val="0"/>
                  <w:vAlign w:val="center"/>
                </w:tcPr>
                <w:p>
                  <w:pPr>
                    <w:pStyle w:val="22"/>
                    <w:adjustRightInd w:val="0"/>
                    <w:snapToGrid w:val="0"/>
                    <w:spacing w:after="0"/>
                    <w:ind w:left="0" w:leftChars="0" w:firstLine="0"/>
                    <w:jc w:val="center"/>
                    <w:rPr>
                      <w:b/>
                      <w:bCs/>
                      <w:color w:val="auto"/>
                      <w:szCs w:val="21"/>
                      <w:highlight w:val="none"/>
                      <w:u w:val="none"/>
                      <w:lang w:val="en-US" w:eastAsia="zh-CN"/>
                    </w:rPr>
                  </w:pPr>
                  <w:r>
                    <w:rPr>
                      <w:b/>
                      <w:bCs/>
                      <w:color w:val="auto"/>
                      <w:szCs w:val="21"/>
                      <w:highlight w:val="none"/>
                      <w:u w:val="none"/>
                      <w:lang w:val="en-US" w:eastAsia="zh-CN"/>
                    </w:rPr>
                    <w:t>相对</w:t>
                  </w:r>
                  <w:r>
                    <w:rPr>
                      <w:rFonts w:hint="eastAsia"/>
                      <w:b/>
                      <w:bCs/>
                      <w:color w:val="auto"/>
                      <w:szCs w:val="21"/>
                      <w:highlight w:val="none"/>
                      <w:u w:val="none"/>
                      <w:lang w:val="en-US" w:eastAsia="zh-CN"/>
                    </w:rPr>
                    <w:t>厂区</w:t>
                  </w:r>
                  <w:r>
                    <w:rPr>
                      <w:b/>
                      <w:bCs/>
                      <w:color w:val="auto"/>
                      <w:szCs w:val="21"/>
                      <w:highlight w:val="none"/>
                      <w:u w:val="none"/>
                      <w:lang w:val="en-US" w:eastAsia="zh-CN"/>
                    </w:rPr>
                    <w:t>方位</w:t>
                  </w:r>
                </w:p>
              </w:tc>
              <w:tc>
                <w:tcPr>
                  <w:tcW w:w="711" w:type="pct"/>
                  <w:vMerge w:val="restart"/>
                  <w:noWrap w:val="0"/>
                  <w:vAlign w:val="center"/>
                </w:tcPr>
                <w:p>
                  <w:pPr>
                    <w:pStyle w:val="22"/>
                    <w:adjustRightInd w:val="0"/>
                    <w:snapToGrid w:val="0"/>
                    <w:spacing w:after="0"/>
                    <w:ind w:left="-63" w:leftChars="-30" w:right="-63" w:rightChars="-30" w:firstLine="0"/>
                    <w:jc w:val="center"/>
                    <w:rPr>
                      <w:b/>
                      <w:bCs/>
                      <w:color w:val="auto"/>
                      <w:szCs w:val="21"/>
                      <w:highlight w:val="none"/>
                      <w:u w:val="none"/>
                      <w:lang w:val="en-US" w:eastAsia="zh-CN"/>
                    </w:rPr>
                  </w:pPr>
                  <w:r>
                    <w:rPr>
                      <w:b/>
                      <w:bCs/>
                      <w:color w:val="auto"/>
                      <w:szCs w:val="21"/>
                      <w:highlight w:val="none"/>
                      <w:u w:val="none"/>
                      <w:lang w:val="en-US" w:eastAsia="zh-CN"/>
                    </w:rPr>
                    <w:t>相对</w:t>
                  </w:r>
                  <w:r>
                    <w:rPr>
                      <w:rFonts w:hint="eastAsia"/>
                      <w:b/>
                      <w:bCs/>
                      <w:color w:val="auto"/>
                      <w:szCs w:val="21"/>
                      <w:highlight w:val="none"/>
                      <w:u w:val="none"/>
                      <w:lang w:val="en-US" w:eastAsia="zh-CN"/>
                    </w:rPr>
                    <w:t>厂区最近</w:t>
                  </w:r>
                  <w:r>
                    <w:rPr>
                      <w:b/>
                      <w:bCs/>
                      <w:color w:val="auto"/>
                      <w:szCs w:val="21"/>
                      <w:highlight w:val="none"/>
                      <w:u w:val="none"/>
                      <w:lang w:val="en-US" w:eastAsia="zh-CN"/>
                    </w:rPr>
                    <w:t>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41" w:type="pct"/>
                  <w:vMerge w:val="continue"/>
                  <w:noWrap w:val="0"/>
                  <w:vAlign w:val="center"/>
                </w:tcPr>
                <w:p>
                  <w:pPr>
                    <w:pStyle w:val="22"/>
                    <w:adjustRightInd w:val="0"/>
                    <w:snapToGrid w:val="0"/>
                    <w:spacing w:after="0"/>
                    <w:ind w:left="0" w:leftChars="0" w:firstLine="0"/>
                    <w:jc w:val="center"/>
                    <w:rPr>
                      <w:color w:val="auto"/>
                      <w:szCs w:val="21"/>
                      <w:highlight w:val="none"/>
                      <w:u w:val="none"/>
                      <w:lang w:val="en-US" w:eastAsia="zh-CN"/>
                    </w:rPr>
                  </w:pPr>
                </w:p>
              </w:tc>
              <w:tc>
                <w:tcPr>
                  <w:tcW w:w="676" w:type="pct"/>
                  <w:vMerge w:val="continue"/>
                  <w:noWrap w:val="0"/>
                  <w:vAlign w:val="center"/>
                </w:tcPr>
                <w:p>
                  <w:pPr>
                    <w:pStyle w:val="22"/>
                    <w:adjustRightInd w:val="0"/>
                    <w:snapToGrid w:val="0"/>
                    <w:spacing w:after="0"/>
                    <w:ind w:left="0" w:leftChars="0" w:firstLine="0"/>
                    <w:jc w:val="center"/>
                    <w:rPr>
                      <w:color w:val="auto"/>
                      <w:szCs w:val="21"/>
                      <w:highlight w:val="none"/>
                      <w:u w:val="none"/>
                      <w:lang w:val="en-US" w:eastAsia="zh-CN"/>
                    </w:rPr>
                  </w:pPr>
                </w:p>
              </w:tc>
              <w:tc>
                <w:tcPr>
                  <w:tcW w:w="694" w:type="pct"/>
                  <w:noWrap w:val="0"/>
                  <w:vAlign w:val="center"/>
                </w:tcPr>
                <w:p>
                  <w:pPr>
                    <w:pStyle w:val="61"/>
                    <w:spacing w:line="240" w:lineRule="auto"/>
                    <w:rPr>
                      <w:b/>
                      <w:bCs/>
                      <w:color w:val="auto"/>
                      <w:szCs w:val="21"/>
                      <w:highlight w:val="none"/>
                      <w:u w:val="none"/>
                    </w:rPr>
                  </w:pPr>
                  <w:r>
                    <w:rPr>
                      <w:b/>
                      <w:bCs/>
                      <w:color w:val="auto"/>
                      <w:szCs w:val="21"/>
                      <w:highlight w:val="none"/>
                      <w:u w:val="none"/>
                    </w:rPr>
                    <w:t>经度</w:t>
                  </w:r>
                </w:p>
              </w:tc>
              <w:tc>
                <w:tcPr>
                  <w:tcW w:w="667" w:type="pct"/>
                  <w:noWrap w:val="0"/>
                  <w:vAlign w:val="center"/>
                </w:tcPr>
                <w:p>
                  <w:pPr>
                    <w:pStyle w:val="61"/>
                    <w:spacing w:line="240" w:lineRule="auto"/>
                    <w:rPr>
                      <w:b/>
                      <w:bCs/>
                      <w:color w:val="auto"/>
                      <w:szCs w:val="21"/>
                      <w:highlight w:val="none"/>
                      <w:u w:val="none"/>
                    </w:rPr>
                  </w:pPr>
                  <w:r>
                    <w:rPr>
                      <w:b/>
                      <w:bCs/>
                      <w:color w:val="auto"/>
                      <w:szCs w:val="21"/>
                      <w:highlight w:val="none"/>
                      <w:u w:val="none"/>
                    </w:rPr>
                    <w:t>纬度</w:t>
                  </w:r>
                </w:p>
              </w:tc>
              <w:tc>
                <w:tcPr>
                  <w:tcW w:w="676" w:type="pct"/>
                  <w:vMerge w:val="continue"/>
                  <w:noWrap w:val="0"/>
                  <w:vAlign w:val="center"/>
                </w:tcPr>
                <w:p>
                  <w:pPr>
                    <w:pStyle w:val="22"/>
                    <w:adjustRightInd w:val="0"/>
                    <w:snapToGrid w:val="0"/>
                    <w:spacing w:after="0"/>
                    <w:ind w:left="0" w:leftChars="0" w:firstLine="0"/>
                    <w:jc w:val="center"/>
                    <w:rPr>
                      <w:color w:val="auto"/>
                      <w:szCs w:val="21"/>
                      <w:highlight w:val="none"/>
                      <w:u w:val="none"/>
                      <w:lang w:val="en-US" w:eastAsia="zh-CN"/>
                    </w:rPr>
                  </w:pPr>
                </w:p>
              </w:tc>
              <w:tc>
                <w:tcPr>
                  <w:tcW w:w="590" w:type="pct"/>
                  <w:vMerge w:val="continue"/>
                  <w:noWrap w:val="0"/>
                  <w:vAlign w:val="center"/>
                </w:tcPr>
                <w:p>
                  <w:pPr>
                    <w:pStyle w:val="22"/>
                    <w:adjustRightInd w:val="0"/>
                    <w:snapToGrid w:val="0"/>
                    <w:spacing w:after="0"/>
                    <w:ind w:left="0" w:leftChars="0" w:firstLine="0"/>
                    <w:jc w:val="center"/>
                    <w:rPr>
                      <w:color w:val="auto"/>
                      <w:szCs w:val="21"/>
                      <w:highlight w:val="none"/>
                      <w:u w:val="none"/>
                      <w:lang w:val="en-US" w:eastAsia="zh-CN"/>
                    </w:rPr>
                  </w:pPr>
                </w:p>
              </w:tc>
              <w:tc>
                <w:tcPr>
                  <w:tcW w:w="641" w:type="pct"/>
                  <w:vMerge w:val="continue"/>
                  <w:noWrap w:val="0"/>
                  <w:vAlign w:val="center"/>
                </w:tcPr>
                <w:p>
                  <w:pPr>
                    <w:pStyle w:val="22"/>
                    <w:adjustRightInd w:val="0"/>
                    <w:snapToGrid w:val="0"/>
                    <w:spacing w:after="0"/>
                    <w:ind w:left="0" w:leftChars="0" w:firstLine="0"/>
                    <w:jc w:val="center"/>
                    <w:rPr>
                      <w:color w:val="auto"/>
                      <w:szCs w:val="21"/>
                      <w:highlight w:val="none"/>
                      <w:u w:val="none"/>
                      <w:lang w:val="en-US" w:eastAsia="zh-CN"/>
                    </w:rPr>
                  </w:pPr>
                </w:p>
              </w:tc>
              <w:tc>
                <w:tcPr>
                  <w:tcW w:w="711" w:type="pct"/>
                  <w:vMerge w:val="continue"/>
                  <w:noWrap w:val="0"/>
                  <w:vAlign w:val="center"/>
                </w:tcPr>
                <w:p>
                  <w:pPr>
                    <w:pStyle w:val="22"/>
                    <w:adjustRightInd w:val="0"/>
                    <w:snapToGrid w:val="0"/>
                    <w:spacing w:after="0"/>
                    <w:ind w:left="0" w:leftChars="0" w:firstLine="0"/>
                    <w:jc w:val="center"/>
                    <w:rPr>
                      <w:color w:val="auto"/>
                      <w:szCs w:val="21"/>
                      <w:highlight w:val="none"/>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 w:type="pct"/>
                  <w:vMerge w:val="restart"/>
                  <w:noWrap w:val="0"/>
                  <w:vAlign w:val="center"/>
                </w:tcPr>
                <w:p>
                  <w:pPr>
                    <w:pStyle w:val="22"/>
                    <w:adjustRightInd w:val="0"/>
                    <w:snapToGrid w:val="0"/>
                    <w:spacing w:after="0"/>
                    <w:ind w:left="0" w:leftChars="0" w:firstLine="0"/>
                    <w:jc w:val="center"/>
                    <w:rPr>
                      <w:color w:val="auto"/>
                      <w:szCs w:val="21"/>
                      <w:highlight w:val="none"/>
                      <w:u w:val="none"/>
                      <w:lang w:val="en-US" w:eastAsia="zh-CN"/>
                    </w:rPr>
                  </w:pPr>
                  <w:r>
                    <w:rPr>
                      <w:color w:val="auto"/>
                      <w:szCs w:val="21"/>
                      <w:highlight w:val="none"/>
                      <w:u w:val="none"/>
                      <w:lang w:val="en-US" w:eastAsia="zh-CN"/>
                    </w:rPr>
                    <w:t>大气环境</w:t>
                  </w:r>
                </w:p>
              </w:tc>
              <w:tc>
                <w:tcPr>
                  <w:tcW w:w="676" w:type="pct"/>
                  <w:noWrap w:val="0"/>
                  <w:vAlign w:val="center"/>
                </w:tcPr>
                <w:p>
                  <w:pPr>
                    <w:adjustRightInd w:val="0"/>
                    <w:snapToGrid w:val="0"/>
                    <w:jc w:val="center"/>
                    <w:rPr>
                      <w:rFonts w:hint="default" w:eastAsia="宋体"/>
                      <w:color w:val="auto"/>
                      <w:szCs w:val="21"/>
                      <w:highlight w:val="none"/>
                      <w:u w:val="none"/>
                      <w:lang w:val="en-US" w:eastAsia="zh-CN"/>
                    </w:rPr>
                  </w:pPr>
                  <w:r>
                    <w:rPr>
                      <w:rFonts w:hint="eastAsia" w:eastAsia="宋体"/>
                      <w:bCs/>
                      <w:color w:val="auto"/>
                      <w:sz w:val="21"/>
                      <w:szCs w:val="21"/>
                      <w:highlight w:val="none"/>
                      <w:lang w:val="en-US" w:eastAsia="zh-CN"/>
                    </w:rPr>
                    <w:t>汀畈社区下张家垄</w:t>
                  </w:r>
                </w:p>
              </w:tc>
              <w:tc>
                <w:tcPr>
                  <w:tcW w:w="694" w:type="pct"/>
                  <w:noWrap w:val="0"/>
                  <w:vAlign w:val="center"/>
                </w:tcPr>
                <w:p>
                  <w:pPr>
                    <w:pStyle w:val="61"/>
                    <w:spacing w:line="240" w:lineRule="auto"/>
                    <w:rPr>
                      <w:rFonts w:hint="default" w:eastAsia="宋体"/>
                      <w:color w:val="auto"/>
                      <w:szCs w:val="21"/>
                      <w:highlight w:val="none"/>
                      <w:u w:val="none"/>
                      <w:lang w:val="en-US" w:eastAsia="zh-CN"/>
                    </w:rPr>
                  </w:pPr>
                  <w:r>
                    <w:rPr>
                      <w:rFonts w:hint="eastAsia"/>
                      <w:color w:val="auto"/>
                      <w:szCs w:val="21"/>
                      <w:highlight w:val="none"/>
                      <w:u w:val="none"/>
                    </w:rPr>
                    <w:t>E113.</w:t>
                  </w:r>
                  <w:r>
                    <w:rPr>
                      <w:rFonts w:hint="eastAsia"/>
                      <w:color w:val="auto"/>
                      <w:szCs w:val="21"/>
                      <w:highlight w:val="none"/>
                      <w:u w:val="none"/>
                      <w:lang w:val="en-US" w:eastAsia="zh-CN"/>
                    </w:rPr>
                    <w:t>282111</w:t>
                  </w:r>
                </w:p>
              </w:tc>
              <w:tc>
                <w:tcPr>
                  <w:tcW w:w="667" w:type="pct"/>
                  <w:noWrap w:val="0"/>
                  <w:vAlign w:val="center"/>
                </w:tcPr>
                <w:p>
                  <w:pPr>
                    <w:pStyle w:val="61"/>
                    <w:spacing w:line="240" w:lineRule="auto"/>
                    <w:rPr>
                      <w:rFonts w:hint="default" w:eastAsia="宋体"/>
                      <w:color w:val="auto"/>
                      <w:szCs w:val="21"/>
                      <w:highlight w:val="none"/>
                      <w:u w:val="none"/>
                      <w:lang w:val="en-US" w:eastAsia="zh-CN"/>
                    </w:rPr>
                  </w:pPr>
                  <w:r>
                    <w:rPr>
                      <w:rFonts w:hint="eastAsia"/>
                      <w:color w:val="auto"/>
                      <w:szCs w:val="21"/>
                      <w:highlight w:val="none"/>
                      <w:u w:val="none"/>
                    </w:rPr>
                    <w:t>N29.</w:t>
                  </w:r>
                  <w:r>
                    <w:rPr>
                      <w:rFonts w:hint="eastAsia"/>
                      <w:color w:val="auto"/>
                      <w:szCs w:val="21"/>
                      <w:highlight w:val="none"/>
                      <w:u w:val="none"/>
                      <w:lang w:val="en-US" w:eastAsia="zh-CN"/>
                    </w:rPr>
                    <w:t>213348</w:t>
                  </w:r>
                </w:p>
              </w:tc>
              <w:tc>
                <w:tcPr>
                  <w:tcW w:w="676" w:type="pct"/>
                  <w:noWrap w:val="0"/>
                  <w:vAlign w:val="center"/>
                </w:tcPr>
                <w:p>
                  <w:pPr>
                    <w:pStyle w:val="61"/>
                    <w:spacing w:line="240" w:lineRule="auto"/>
                    <w:rPr>
                      <w:color w:val="auto"/>
                      <w:szCs w:val="21"/>
                      <w:highlight w:val="none"/>
                      <w:u w:val="none"/>
                    </w:rPr>
                  </w:pPr>
                  <w:r>
                    <w:rPr>
                      <w:rFonts w:hint="eastAsia"/>
                      <w:color w:val="auto"/>
                      <w:szCs w:val="21"/>
                      <w:highlight w:val="none"/>
                      <w:u w:val="none"/>
                    </w:rPr>
                    <w:t>约</w:t>
                  </w:r>
                  <w:r>
                    <w:rPr>
                      <w:rFonts w:hint="eastAsia"/>
                      <w:color w:val="auto"/>
                      <w:szCs w:val="21"/>
                      <w:highlight w:val="none"/>
                      <w:u w:val="none"/>
                      <w:lang w:val="en-US" w:eastAsia="zh-CN"/>
                    </w:rPr>
                    <w:t>30</w:t>
                  </w:r>
                  <w:r>
                    <w:rPr>
                      <w:rFonts w:hint="eastAsia"/>
                      <w:color w:val="auto"/>
                      <w:szCs w:val="21"/>
                      <w:highlight w:val="none"/>
                      <w:u w:val="none"/>
                    </w:rPr>
                    <w:t>户</w:t>
                  </w:r>
                </w:p>
              </w:tc>
              <w:tc>
                <w:tcPr>
                  <w:tcW w:w="590" w:type="pct"/>
                  <w:noWrap w:val="0"/>
                  <w:vAlign w:val="center"/>
                </w:tcPr>
                <w:p>
                  <w:pPr>
                    <w:pStyle w:val="22"/>
                    <w:adjustRightInd w:val="0"/>
                    <w:snapToGrid w:val="0"/>
                    <w:spacing w:after="0"/>
                    <w:ind w:left="0" w:leftChars="0" w:firstLine="0"/>
                    <w:jc w:val="center"/>
                    <w:rPr>
                      <w:color w:val="auto"/>
                      <w:szCs w:val="21"/>
                      <w:highlight w:val="none"/>
                      <w:u w:val="none"/>
                      <w:lang w:val="en-US" w:eastAsia="zh-CN"/>
                    </w:rPr>
                  </w:pPr>
                  <w:r>
                    <w:rPr>
                      <w:color w:val="auto"/>
                      <w:szCs w:val="21"/>
                      <w:highlight w:val="none"/>
                      <w:u w:val="none"/>
                      <w:lang w:val="en-US" w:eastAsia="zh-CN"/>
                    </w:rPr>
                    <w:t>二类</w:t>
                  </w:r>
                </w:p>
              </w:tc>
              <w:tc>
                <w:tcPr>
                  <w:tcW w:w="641" w:type="pct"/>
                  <w:noWrap w:val="0"/>
                  <w:vAlign w:val="center"/>
                </w:tcPr>
                <w:p>
                  <w:pPr>
                    <w:pStyle w:val="61"/>
                    <w:spacing w:line="240" w:lineRule="auto"/>
                    <w:rPr>
                      <w:rFonts w:hint="default" w:eastAsia="宋体"/>
                      <w:color w:val="auto"/>
                      <w:szCs w:val="21"/>
                      <w:highlight w:val="none"/>
                      <w:u w:val="none"/>
                      <w:lang w:val="en-US" w:eastAsia="zh-CN"/>
                    </w:rPr>
                  </w:pPr>
                  <w:r>
                    <w:rPr>
                      <w:rFonts w:hint="eastAsia" w:eastAsia="宋体"/>
                      <w:color w:val="auto"/>
                      <w:szCs w:val="21"/>
                      <w:highlight w:val="none"/>
                      <w:u w:val="none"/>
                      <w:lang w:val="en-US" w:eastAsia="zh-CN"/>
                    </w:rPr>
                    <w:t>北</w:t>
                  </w:r>
                </w:p>
              </w:tc>
              <w:tc>
                <w:tcPr>
                  <w:tcW w:w="711" w:type="pct"/>
                  <w:noWrap w:val="0"/>
                  <w:vAlign w:val="center"/>
                </w:tcPr>
                <w:p>
                  <w:pPr>
                    <w:pStyle w:val="61"/>
                    <w:spacing w:line="240" w:lineRule="auto"/>
                    <w:rPr>
                      <w:color w:val="auto"/>
                      <w:szCs w:val="21"/>
                      <w:highlight w:val="none"/>
                      <w:u w:val="none"/>
                    </w:rPr>
                  </w:pPr>
                  <w:r>
                    <w:rPr>
                      <w:rFonts w:hint="eastAsia"/>
                      <w:color w:val="auto"/>
                      <w:szCs w:val="21"/>
                      <w:highlight w:val="none"/>
                      <w:u w:val="none"/>
                      <w:lang w:val="en-US" w:eastAsia="zh-CN"/>
                    </w:rPr>
                    <w:t>200</w:t>
                  </w:r>
                  <w:r>
                    <w:rPr>
                      <w:rFonts w:hint="eastAsia"/>
                      <w:color w:val="auto"/>
                      <w:szCs w:val="21"/>
                      <w:highlight w:val="none"/>
                      <w:u w:val="none"/>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 w:type="pct"/>
                  <w:vMerge w:val="continue"/>
                  <w:noWrap w:val="0"/>
                  <w:vAlign w:val="center"/>
                </w:tcPr>
                <w:p>
                  <w:pPr>
                    <w:pStyle w:val="22"/>
                    <w:adjustRightInd w:val="0"/>
                    <w:snapToGrid w:val="0"/>
                    <w:spacing w:after="0"/>
                    <w:ind w:left="0" w:leftChars="0" w:firstLine="0"/>
                    <w:jc w:val="center"/>
                    <w:rPr>
                      <w:color w:val="auto"/>
                      <w:szCs w:val="21"/>
                      <w:highlight w:val="none"/>
                      <w:u w:val="none"/>
                      <w:lang w:val="en-US" w:eastAsia="zh-CN"/>
                    </w:rPr>
                  </w:pPr>
                </w:p>
              </w:tc>
              <w:tc>
                <w:tcPr>
                  <w:tcW w:w="676" w:type="pct"/>
                  <w:noWrap w:val="0"/>
                  <w:vAlign w:val="center"/>
                </w:tcPr>
                <w:p>
                  <w:pPr>
                    <w:adjustRightInd w:val="0"/>
                    <w:snapToGrid w:val="0"/>
                    <w:jc w:val="center"/>
                    <w:rPr>
                      <w:rFonts w:hint="eastAsia"/>
                      <w:color w:val="auto"/>
                      <w:szCs w:val="21"/>
                      <w:highlight w:val="none"/>
                      <w:u w:val="none"/>
                      <w:lang w:val="en-US" w:eastAsia="zh-CN"/>
                    </w:rPr>
                  </w:pPr>
                  <w:r>
                    <w:rPr>
                      <w:rFonts w:hint="eastAsia"/>
                      <w:color w:val="auto"/>
                      <w:szCs w:val="21"/>
                      <w:highlight w:val="none"/>
                      <w:u w:val="none"/>
                      <w:lang w:val="en-US" w:eastAsia="zh-CN"/>
                    </w:rPr>
                    <w:t>汀畈社区七房组</w:t>
                  </w:r>
                </w:p>
              </w:tc>
              <w:tc>
                <w:tcPr>
                  <w:tcW w:w="1091" w:type="dxa"/>
                  <w:noWrap w:val="0"/>
                  <w:vAlign w:val="center"/>
                </w:tcPr>
                <w:p>
                  <w:pPr>
                    <w:pStyle w:val="61"/>
                    <w:spacing w:line="240" w:lineRule="auto"/>
                    <w:rPr>
                      <w:rFonts w:hint="default"/>
                      <w:color w:val="auto"/>
                      <w:szCs w:val="21"/>
                      <w:highlight w:val="none"/>
                      <w:u w:val="none"/>
                      <w:lang w:val="en-US"/>
                    </w:rPr>
                  </w:pPr>
                  <w:r>
                    <w:rPr>
                      <w:rFonts w:hint="eastAsia"/>
                      <w:color w:val="auto"/>
                      <w:szCs w:val="21"/>
                      <w:highlight w:val="none"/>
                      <w:u w:val="none"/>
                    </w:rPr>
                    <w:t>E113.</w:t>
                  </w:r>
                  <w:r>
                    <w:rPr>
                      <w:rFonts w:hint="eastAsia"/>
                      <w:color w:val="auto"/>
                      <w:szCs w:val="21"/>
                      <w:highlight w:val="none"/>
                      <w:u w:val="none"/>
                      <w:lang w:val="en-US" w:eastAsia="zh-CN"/>
                    </w:rPr>
                    <w:t>283285</w:t>
                  </w:r>
                </w:p>
              </w:tc>
              <w:tc>
                <w:tcPr>
                  <w:tcW w:w="1050" w:type="dxa"/>
                  <w:noWrap w:val="0"/>
                  <w:vAlign w:val="center"/>
                </w:tcPr>
                <w:p>
                  <w:pPr>
                    <w:pStyle w:val="61"/>
                    <w:spacing w:line="240" w:lineRule="auto"/>
                    <w:rPr>
                      <w:rFonts w:hint="default"/>
                      <w:color w:val="auto"/>
                      <w:szCs w:val="21"/>
                      <w:highlight w:val="none"/>
                      <w:u w:val="none"/>
                      <w:lang w:val="en-US"/>
                    </w:rPr>
                  </w:pPr>
                  <w:r>
                    <w:rPr>
                      <w:rFonts w:hint="eastAsia"/>
                      <w:color w:val="auto"/>
                      <w:szCs w:val="21"/>
                      <w:highlight w:val="none"/>
                      <w:u w:val="none"/>
                    </w:rPr>
                    <w:t>N29.</w:t>
                  </w:r>
                  <w:r>
                    <w:rPr>
                      <w:rFonts w:hint="eastAsia"/>
                      <w:color w:val="auto"/>
                      <w:szCs w:val="21"/>
                      <w:highlight w:val="none"/>
                      <w:u w:val="none"/>
                      <w:lang w:val="en-US" w:eastAsia="zh-CN"/>
                    </w:rPr>
                    <w:t>2117532</w:t>
                  </w:r>
                </w:p>
              </w:tc>
              <w:tc>
                <w:tcPr>
                  <w:tcW w:w="676" w:type="pct"/>
                  <w:noWrap w:val="0"/>
                  <w:vAlign w:val="center"/>
                </w:tcPr>
                <w:p>
                  <w:pPr>
                    <w:pStyle w:val="61"/>
                    <w:spacing w:line="240" w:lineRule="auto"/>
                    <w:rPr>
                      <w:rFonts w:hint="eastAsia"/>
                      <w:color w:val="auto"/>
                      <w:szCs w:val="21"/>
                      <w:highlight w:val="none"/>
                      <w:u w:val="none"/>
                    </w:rPr>
                  </w:pPr>
                  <w:r>
                    <w:rPr>
                      <w:rFonts w:hint="eastAsia"/>
                      <w:color w:val="auto"/>
                      <w:szCs w:val="21"/>
                      <w:highlight w:val="none"/>
                      <w:u w:val="none"/>
                    </w:rPr>
                    <w:t>约</w:t>
                  </w:r>
                  <w:r>
                    <w:rPr>
                      <w:rFonts w:hint="eastAsia"/>
                      <w:color w:val="auto"/>
                      <w:szCs w:val="21"/>
                      <w:highlight w:val="none"/>
                      <w:u w:val="none"/>
                      <w:lang w:val="en-US" w:eastAsia="zh-CN"/>
                    </w:rPr>
                    <w:t>9</w:t>
                  </w:r>
                  <w:r>
                    <w:rPr>
                      <w:rFonts w:hint="eastAsia"/>
                      <w:color w:val="auto"/>
                      <w:szCs w:val="21"/>
                      <w:highlight w:val="none"/>
                      <w:u w:val="none"/>
                    </w:rPr>
                    <w:t>户</w:t>
                  </w:r>
                </w:p>
              </w:tc>
              <w:tc>
                <w:tcPr>
                  <w:tcW w:w="928" w:type="dxa"/>
                  <w:noWrap w:val="0"/>
                  <w:vAlign w:val="center"/>
                </w:tcPr>
                <w:p>
                  <w:pPr>
                    <w:pStyle w:val="22"/>
                    <w:adjustRightInd w:val="0"/>
                    <w:snapToGrid w:val="0"/>
                    <w:spacing w:after="0"/>
                    <w:ind w:left="0" w:leftChars="0" w:firstLine="0" w:firstLineChars="0"/>
                    <w:jc w:val="center"/>
                    <w:rPr>
                      <w:color w:val="auto"/>
                      <w:szCs w:val="21"/>
                      <w:highlight w:val="none"/>
                      <w:u w:val="none"/>
                      <w:lang w:val="en-US" w:eastAsia="zh-CN"/>
                    </w:rPr>
                  </w:pPr>
                  <w:r>
                    <w:rPr>
                      <w:color w:val="auto"/>
                      <w:szCs w:val="21"/>
                      <w:highlight w:val="none"/>
                      <w:u w:val="none"/>
                      <w:lang w:val="en-US" w:eastAsia="zh-CN"/>
                    </w:rPr>
                    <w:t>二类</w:t>
                  </w:r>
                </w:p>
              </w:tc>
              <w:tc>
                <w:tcPr>
                  <w:tcW w:w="1009" w:type="dxa"/>
                  <w:noWrap w:val="0"/>
                  <w:vAlign w:val="center"/>
                </w:tcPr>
                <w:p>
                  <w:pPr>
                    <w:pStyle w:val="61"/>
                    <w:spacing w:line="240" w:lineRule="auto"/>
                    <w:rPr>
                      <w:rFonts w:hint="eastAsia"/>
                      <w:color w:val="auto"/>
                      <w:szCs w:val="21"/>
                      <w:highlight w:val="none"/>
                      <w:u w:val="none"/>
                      <w:lang w:val="en-US" w:eastAsia="zh-CN"/>
                    </w:rPr>
                  </w:pPr>
                  <w:r>
                    <w:rPr>
                      <w:rFonts w:hint="eastAsia" w:eastAsia="宋体"/>
                      <w:color w:val="auto"/>
                      <w:szCs w:val="21"/>
                      <w:highlight w:val="none"/>
                      <w:u w:val="none"/>
                      <w:lang w:val="en-US" w:eastAsia="zh-CN"/>
                    </w:rPr>
                    <w:t>南</w:t>
                  </w:r>
                </w:p>
              </w:tc>
              <w:tc>
                <w:tcPr>
                  <w:tcW w:w="1118" w:type="dxa"/>
                  <w:noWrap w:val="0"/>
                  <w:vAlign w:val="center"/>
                </w:tcPr>
                <w:p>
                  <w:pPr>
                    <w:pStyle w:val="61"/>
                    <w:spacing w:line="240" w:lineRule="auto"/>
                    <w:rPr>
                      <w:rFonts w:hint="eastAsia"/>
                      <w:color w:val="auto"/>
                      <w:szCs w:val="21"/>
                      <w:highlight w:val="none"/>
                      <w:u w:val="none"/>
                      <w:lang w:val="en-US" w:eastAsia="zh-CN"/>
                    </w:rPr>
                  </w:pPr>
                  <w:r>
                    <w:rPr>
                      <w:rFonts w:hint="eastAsia"/>
                      <w:color w:val="auto"/>
                      <w:szCs w:val="21"/>
                      <w:highlight w:val="none"/>
                      <w:u w:val="none"/>
                      <w:lang w:val="en-US" w:eastAsia="zh-CN"/>
                    </w:rPr>
                    <w:t>270</w:t>
                  </w:r>
                  <w:r>
                    <w:rPr>
                      <w:rFonts w:hint="eastAsia"/>
                      <w:color w:val="auto"/>
                      <w:szCs w:val="21"/>
                      <w:highlight w:val="none"/>
                      <w:u w:val="none"/>
                    </w:rPr>
                    <w:t>m</w:t>
                  </w: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地表水</w:t>
            </w:r>
          </w:p>
          <w:p>
            <w:pPr>
              <w:numPr>
                <w:ilvl w:val="0"/>
                <w:numId w:val="0"/>
              </w:numPr>
              <w:adjustRightInd w:val="0"/>
              <w:snapToGrid w:val="0"/>
              <w:spacing w:line="360" w:lineRule="auto"/>
              <w:ind w:leftChars="200"/>
              <w:jc w:val="center"/>
              <w:rPr>
                <w:rFonts w:hint="eastAsia"/>
                <w:b/>
                <w:color w:val="auto"/>
                <w:sz w:val="24"/>
                <w:highlight w:val="none"/>
                <w:u w:val="single"/>
              </w:rPr>
            </w:pPr>
          </w:p>
          <w:p>
            <w:pPr>
              <w:numPr>
                <w:ilvl w:val="0"/>
                <w:numId w:val="0"/>
              </w:numPr>
              <w:adjustRightInd w:val="0"/>
              <w:snapToGrid w:val="0"/>
              <w:spacing w:line="360" w:lineRule="auto"/>
              <w:ind w:leftChars="200"/>
              <w:jc w:val="center"/>
              <w:rPr>
                <w:bCs/>
                <w:color w:val="auto"/>
                <w:sz w:val="32"/>
                <w:szCs w:val="32"/>
                <w:highlight w:val="none"/>
                <w:u w:val="single"/>
              </w:rPr>
            </w:pPr>
            <w:r>
              <w:rPr>
                <w:rFonts w:hint="eastAsia"/>
                <w:b/>
                <w:color w:val="auto"/>
                <w:sz w:val="24"/>
                <w:highlight w:val="none"/>
                <w:u w:val="single"/>
              </w:rPr>
              <w:t>表3-</w:t>
            </w:r>
            <w:r>
              <w:rPr>
                <w:rFonts w:hint="eastAsia"/>
                <w:b/>
                <w:color w:val="auto"/>
                <w:sz w:val="24"/>
                <w:highlight w:val="none"/>
                <w:u w:val="single"/>
                <w:lang w:val="en-US" w:eastAsia="zh-CN"/>
              </w:rPr>
              <w:t>5</w:t>
            </w:r>
            <w:r>
              <w:rPr>
                <w:rFonts w:hint="eastAsia"/>
                <w:b/>
                <w:color w:val="auto"/>
                <w:sz w:val="24"/>
                <w:highlight w:val="none"/>
                <w:u w:val="single"/>
              </w:rPr>
              <w:t xml:space="preserve"> </w:t>
            </w:r>
            <w:r>
              <w:rPr>
                <w:rFonts w:hint="eastAsia"/>
                <w:b/>
                <w:color w:val="auto"/>
                <w:sz w:val="24"/>
                <w:highlight w:val="none"/>
                <w:u w:val="single"/>
                <w:lang w:val="en-US" w:eastAsia="zh-CN"/>
              </w:rPr>
              <w:t>地表水</w:t>
            </w:r>
            <w:r>
              <w:rPr>
                <w:rFonts w:hint="eastAsia"/>
                <w:b/>
                <w:color w:val="auto"/>
                <w:sz w:val="24"/>
                <w:highlight w:val="none"/>
                <w:u w:val="single"/>
              </w:rPr>
              <w:t>保护目标一览表</w:t>
            </w:r>
          </w:p>
          <w:tbl>
            <w:tblPr>
              <w:tblStyle w:val="23"/>
              <w:tblW w:w="4947" w:type="pct"/>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50"/>
              <w:gridCol w:w="1530"/>
              <w:gridCol w:w="1128"/>
              <w:gridCol w:w="928"/>
              <w:gridCol w:w="1009"/>
              <w:gridCol w:w="1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70" w:type="pct"/>
                  <w:noWrap w:val="0"/>
                  <w:vAlign w:val="center"/>
                </w:tcPr>
                <w:p>
                  <w:pPr>
                    <w:pStyle w:val="22"/>
                    <w:adjustRightInd w:val="0"/>
                    <w:snapToGrid w:val="0"/>
                    <w:spacing w:after="0"/>
                    <w:ind w:left="0" w:leftChars="0" w:firstLine="0"/>
                    <w:jc w:val="center"/>
                    <w:rPr>
                      <w:b/>
                      <w:bCs/>
                      <w:color w:val="auto"/>
                      <w:szCs w:val="21"/>
                      <w:highlight w:val="none"/>
                      <w:u w:val="single"/>
                      <w:lang w:val="en-US" w:eastAsia="zh-CN"/>
                    </w:rPr>
                  </w:pPr>
                  <w:r>
                    <w:rPr>
                      <w:b/>
                      <w:bCs/>
                      <w:color w:val="auto"/>
                      <w:szCs w:val="21"/>
                      <w:highlight w:val="none"/>
                      <w:u w:val="single"/>
                      <w:lang w:val="en-US" w:eastAsia="zh-CN"/>
                    </w:rPr>
                    <w:t>类别</w:t>
                  </w:r>
                </w:p>
              </w:tc>
              <w:tc>
                <w:tcPr>
                  <w:tcW w:w="795" w:type="pct"/>
                  <w:noWrap w:val="0"/>
                  <w:vAlign w:val="center"/>
                </w:tcPr>
                <w:p>
                  <w:pPr>
                    <w:pStyle w:val="22"/>
                    <w:adjustRightInd w:val="0"/>
                    <w:snapToGrid w:val="0"/>
                    <w:spacing w:after="0"/>
                    <w:ind w:left="0" w:leftChars="0" w:firstLine="0"/>
                    <w:jc w:val="center"/>
                    <w:rPr>
                      <w:b/>
                      <w:bCs/>
                      <w:color w:val="auto"/>
                      <w:szCs w:val="21"/>
                      <w:highlight w:val="none"/>
                      <w:u w:val="single"/>
                      <w:lang w:val="en-US" w:eastAsia="zh-CN"/>
                    </w:rPr>
                  </w:pPr>
                  <w:r>
                    <w:rPr>
                      <w:b/>
                      <w:bCs/>
                      <w:color w:val="auto"/>
                      <w:szCs w:val="21"/>
                      <w:highlight w:val="none"/>
                      <w:u w:val="single"/>
                      <w:lang w:val="en-US" w:eastAsia="zh-CN"/>
                    </w:rPr>
                    <w:t>保护目标</w:t>
                  </w:r>
                </w:p>
              </w:tc>
              <w:tc>
                <w:tcPr>
                  <w:tcW w:w="973" w:type="pct"/>
                  <w:noWrap w:val="0"/>
                  <w:vAlign w:val="center"/>
                </w:tcPr>
                <w:p>
                  <w:pPr>
                    <w:pStyle w:val="22"/>
                    <w:adjustRightInd w:val="0"/>
                    <w:snapToGrid w:val="0"/>
                    <w:spacing w:after="0"/>
                    <w:ind w:left="0" w:leftChars="0" w:firstLine="0"/>
                    <w:jc w:val="center"/>
                    <w:rPr>
                      <w:b/>
                      <w:bCs/>
                      <w:color w:val="auto"/>
                      <w:szCs w:val="21"/>
                      <w:highlight w:val="none"/>
                      <w:u w:val="single"/>
                      <w:lang w:val="en-US" w:eastAsia="zh-CN"/>
                    </w:rPr>
                  </w:pPr>
                  <w:r>
                    <w:rPr>
                      <w:rFonts w:hint="eastAsia"/>
                      <w:b/>
                      <w:bCs/>
                      <w:color w:val="auto"/>
                      <w:szCs w:val="21"/>
                      <w:highlight w:val="none"/>
                      <w:u w:val="single"/>
                      <w:lang w:val="en-US" w:eastAsia="zh-CN"/>
                    </w:rPr>
                    <w:t>功能</w:t>
                  </w:r>
                </w:p>
              </w:tc>
              <w:tc>
                <w:tcPr>
                  <w:tcW w:w="717" w:type="pct"/>
                  <w:noWrap w:val="0"/>
                  <w:vAlign w:val="center"/>
                </w:tcPr>
                <w:p>
                  <w:pPr>
                    <w:pStyle w:val="22"/>
                    <w:adjustRightInd w:val="0"/>
                    <w:snapToGrid w:val="0"/>
                    <w:spacing w:after="0"/>
                    <w:ind w:left="0" w:leftChars="0" w:firstLine="0"/>
                    <w:jc w:val="center"/>
                    <w:rPr>
                      <w:b/>
                      <w:bCs/>
                      <w:color w:val="auto"/>
                      <w:szCs w:val="21"/>
                      <w:highlight w:val="none"/>
                      <w:u w:val="single"/>
                      <w:lang w:val="en-US" w:eastAsia="zh-CN"/>
                    </w:rPr>
                  </w:pPr>
                  <w:r>
                    <w:rPr>
                      <w:b/>
                      <w:bCs/>
                      <w:color w:val="auto"/>
                      <w:szCs w:val="21"/>
                      <w:highlight w:val="none"/>
                      <w:u w:val="single"/>
                      <w:lang w:val="en-US" w:eastAsia="zh-CN"/>
                    </w:rPr>
                    <w:t>规模</w:t>
                  </w:r>
                </w:p>
              </w:tc>
              <w:tc>
                <w:tcPr>
                  <w:tcW w:w="590" w:type="pct"/>
                  <w:noWrap w:val="0"/>
                  <w:vAlign w:val="center"/>
                </w:tcPr>
                <w:p>
                  <w:pPr>
                    <w:pStyle w:val="22"/>
                    <w:adjustRightInd w:val="0"/>
                    <w:snapToGrid w:val="0"/>
                    <w:spacing w:after="0"/>
                    <w:ind w:left="0" w:leftChars="0" w:firstLine="0"/>
                    <w:jc w:val="center"/>
                    <w:rPr>
                      <w:b/>
                      <w:bCs/>
                      <w:color w:val="auto"/>
                      <w:szCs w:val="21"/>
                      <w:highlight w:val="none"/>
                      <w:u w:val="single"/>
                      <w:lang w:val="en-US" w:eastAsia="zh-CN"/>
                    </w:rPr>
                  </w:pPr>
                  <w:r>
                    <w:rPr>
                      <w:b/>
                      <w:bCs/>
                      <w:color w:val="auto"/>
                      <w:szCs w:val="21"/>
                      <w:highlight w:val="none"/>
                      <w:u w:val="single"/>
                      <w:lang w:val="en-US" w:eastAsia="zh-CN"/>
                    </w:rPr>
                    <w:t>环境功能区</w:t>
                  </w:r>
                </w:p>
              </w:tc>
              <w:tc>
                <w:tcPr>
                  <w:tcW w:w="641" w:type="pct"/>
                  <w:noWrap w:val="0"/>
                  <w:vAlign w:val="center"/>
                </w:tcPr>
                <w:p>
                  <w:pPr>
                    <w:pStyle w:val="22"/>
                    <w:adjustRightInd w:val="0"/>
                    <w:snapToGrid w:val="0"/>
                    <w:spacing w:after="0"/>
                    <w:ind w:left="0" w:leftChars="0" w:firstLine="0"/>
                    <w:jc w:val="center"/>
                    <w:rPr>
                      <w:b/>
                      <w:bCs/>
                      <w:color w:val="auto"/>
                      <w:szCs w:val="21"/>
                      <w:highlight w:val="none"/>
                      <w:u w:val="single"/>
                      <w:lang w:val="en-US" w:eastAsia="zh-CN"/>
                    </w:rPr>
                  </w:pPr>
                  <w:r>
                    <w:rPr>
                      <w:b/>
                      <w:bCs/>
                      <w:color w:val="auto"/>
                      <w:szCs w:val="21"/>
                      <w:highlight w:val="none"/>
                      <w:u w:val="single"/>
                      <w:lang w:val="en-US" w:eastAsia="zh-CN"/>
                    </w:rPr>
                    <w:t>相对</w:t>
                  </w:r>
                  <w:r>
                    <w:rPr>
                      <w:rFonts w:hint="eastAsia"/>
                      <w:b/>
                      <w:bCs/>
                      <w:color w:val="auto"/>
                      <w:szCs w:val="21"/>
                      <w:highlight w:val="none"/>
                      <w:u w:val="single"/>
                      <w:lang w:val="en-US" w:eastAsia="zh-CN"/>
                    </w:rPr>
                    <w:t>厂区</w:t>
                  </w:r>
                  <w:r>
                    <w:rPr>
                      <w:b/>
                      <w:bCs/>
                      <w:color w:val="auto"/>
                      <w:szCs w:val="21"/>
                      <w:highlight w:val="none"/>
                      <w:u w:val="single"/>
                      <w:lang w:val="en-US" w:eastAsia="zh-CN"/>
                    </w:rPr>
                    <w:t>方位</w:t>
                  </w:r>
                </w:p>
              </w:tc>
              <w:tc>
                <w:tcPr>
                  <w:tcW w:w="711" w:type="pct"/>
                  <w:noWrap w:val="0"/>
                  <w:vAlign w:val="center"/>
                </w:tcPr>
                <w:p>
                  <w:pPr>
                    <w:pStyle w:val="22"/>
                    <w:adjustRightInd w:val="0"/>
                    <w:snapToGrid w:val="0"/>
                    <w:spacing w:after="0"/>
                    <w:ind w:left="-63" w:leftChars="-30" w:right="-63" w:rightChars="-30" w:firstLine="0"/>
                    <w:jc w:val="center"/>
                    <w:rPr>
                      <w:b/>
                      <w:bCs/>
                      <w:color w:val="auto"/>
                      <w:szCs w:val="21"/>
                      <w:highlight w:val="none"/>
                      <w:u w:val="single"/>
                      <w:lang w:val="en-US" w:eastAsia="zh-CN"/>
                    </w:rPr>
                  </w:pPr>
                  <w:r>
                    <w:rPr>
                      <w:b/>
                      <w:bCs/>
                      <w:color w:val="auto"/>
                      <w:szCs w:val="21"/>
                      <w:highlight w:val="none"/>
                      <w:u w:val="single"/>
                      <w:lang w:val="en-US" w:eastAsia="zh-CN"/>
                    </w:rPr>
                    <w:t>相对</w:t>
                  </w:r>
                  <w:r>
                    <w:rPr>
                      <w:rFonts w:hint="eastAsia"/>
                      <w:b/>
                      <w:bCs/>
                      <w:color w:val="auto"/>
                      <w:szCs w:val="21"/>
                      <w:highlight w:val="none"/>
                      <w:u w:val="single"/>
                      <w:lang w:val="en-US" w:eastAsia="zh-CN"/>
                    </w:rPr>
                    <w:t>厂区最近</w:t>
                  </w:r>
                  <w:r>
                    <w:rPr>
                      <w:b/>
                      <w:bCs/>
                      <w:color w:val="auto"/>
                      <w:szCs w:val="21"/>
                      <w:highlight w:val="none"/>
                      <w:u w:val="single"/>
                      <w:lang w:val="en-US" w:eastAsia="zh-CN"/>
                    </w:rPr>
                    <w:t>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0" w:type="pct"/>
                  <w:noWrap w:val="0"/>
                  <w:vAlign w:val="center"/>
                </w:tcPr>
                <w:p>
                  <w:pPr>
                    <w:pStyle w:val="22"/>
                    <w:adjustRightInd w:val="0"/>
                    <w:snapToGrid w:val="0"/>
                    <w:spacing w:after="0"/>
                    <w:ind w:left="0" w:leftChars="0" w:firstLine="0"/>
                    <w:jc w:val="center"/>
                    <w:rPr>
                      <w:color w:val="auto"/>
                      <w:szCs w:val="21"/>
                      <w:highlight w:val="none"/>
                      <w:u w:val="single"/>
                      <w:lang w:val="en-US" w:eastAsia="zh-CN"/>
                    </w:rPr>
                  </w:pPr>
                  <w:r>
                    <w:rPr>
                      <w:rFonts w:hint="eastAsia"/>
                      <w:color w:val="auto"/>
                      <w:szCs w:val="21"/>
                      <w:highlight w:val="none"/>
                      <w:u w:val="single"/>
                      <w:lang w:val="en-US" w:eastAsia="zh-CN"/>
                    </w:rPr>
                    <w:t>地表水</w:t>
                  </w:r>
                </w:p>
              </w:tc>
              <w:tc>
                <w:tcPr>
                  <w:tcW w:w="795" w:type="pct"/>
                  <w:noWrap w:val="0"/>
                  <w:vAlign w:val="center"/>
                </w:tcPr>
                <w:p>
                  <w:pPr>
                    <w:adjustRightInd w:val="0"/>
                    <w:snapToGrid w:val="0"/>
                    <w:jc w:val="center"/>
                    <w:rPr>
                      <w:rFonts w:hint="eastAsia"/>
                      <w:color w:val="auto"/>
                      <w:szCs w:val="21"/>
                      <w:highlight w:val="none"/>
                      <w:u w:val="single"/>
                      <w:lang w:val="en-US" w:eastAsia="zh-CN"/>
                    </w:rPr>
                  </w:pPr>
                  <w:r>
                    <w:rPr>
                      <w:rFonts w:hint="eastAsia"/>
                      <w:color w:val="auto"/>
                      <w:szCs w:val="21"/>
                      <w:highlight w:val="none"/>
                      <w:u w:val="single"/>
                      <w:lang w:val="en-US" w:eastAsia="zh-CN"/>
                    </w:rPr>
                    <w:t>游港河</w:t>
                  </w:r>
                </w:p>
              </w:tc>
              <w:tc>
                <w:tcPr>
                  <w:tcW w:w="973" w:type="pct"/>
                  <w:noWrap w:val="0"/>
                  <w:vAlign w:val="center"/>
                </w:tcPr>
                <w:p>
                  <w:pPr>
                    <w:pStyle w:val="61"/>
                    <w:spacing w:line="240" w:lineRule="auto"/>
                    <w:rPr>
                      <w:rFonts w:hint="default" w:eastAsia="宋体"/>
                      <w:color w:val="auto"/>
                      <w:szCs w:val="21"/>
                      <w:highlight w:val="none"/>
                      <w:u w:val="single"/>
                      <w:lang w:val="en-US" w:eastAsia="zh-CN"/>
                    </w:rPr>
                  </w:pPr>
                  <w:r>
                    <w:rPr>
                      <w:rFonts w:hint="eastAsia"/>
                      <w:color w:val="auto"/>
                      <w:szCs w:val="21"/>
                      <w:highlight w:val="none"/>
                      <w:u w:val="single"/>
                      <w:lang w:val="en-US" w:eastAsia="zh-CN"/>
                    </w:rPr>
                    <w:t>农业用水</w:t>
                  </w:r>
                </w:p>
              </w:tc>
              <w:tc>
                <w:tcPr>
                  <w:tcW w:w="717" w:type="pct"/>
                  <w:noWrap w:val="0"/>
                  <w:vAlign w:val="center"/>
                </w:tcPr>
                <w:p>
                  <w:pPr>
                    <w:pStyle w:val="61"/>
                    <w:spacing w:line="240" w:lineRule="auto"/>
                    <w:rPr>
                      <w:rFonts w:hint="eastAsia" w:eastAsia="宋体"/>
                      <w:color w:val="auto"/>
                      <w:szCs w:val="21"/>
                      <w:highlight w:val="none"/>
                      <w:u w:val="single"/>
                      <w:lang w:eastAsia="zh-CN"/>
                    </w:rPr>
                  </w:pPr>
                  <w:r>
                    <w:rPr>
                      <w:rFonts w:hint="eastAsia"/>
                      <w:color w:val="auto"/>
                      <w:szCs w:val="21"/>
                      <w:highlight w:val="none"/>
                      <w:u w:val="single"/>
                      <w:lang w:val="en-US" w:eastAsia="zh-CN"/>
                    </w:rPr>
                    <w:t>小河</w:t>
                  </w:r>
                </w:p>
              </w:tc>
              <w:tc>
                <w:tcPr>
                  <w:tcW w:w="590" w:type="pct"/>
                  <w:noWrap w:val="0"/>
                  <w:vAlign w:val="center"/>
                </w:tcPr>
                <w:p>
                  <w:pPr>
                    <w:pStyle w:val="22"/>
                    <w:adjustRightInd w:val="0"/>
                    <w:snapToGrid w:val="0"/>
                    <w:spacing w:after="0"/>
                    <w:ind w:left="0" w:leftChars="0" w:firstLine="0"/>
                    <w:jc w:val="center"/>
                    <w:rPr>
                      <w:color w:val="auto"/>
                      <w:szCs w:val="21"/>
                      <w:highlight w:val="none"/>
                      <w:u w:val="single"/>
                      <w:lang w:val="en-US" w:eastAsia="zh-CN"/>
                    </w:rPr>
                  </w:pPr>
                  <w:r>
                    <w:rPr>
                      <w:rFonts w:hint="eastAsia"/>
                      <w:color w:val="auto"/>
                      <w:szCs w:val="21"/>
                      <w:highlight w:val="none"/>
                      <w:u w:val="single"/>
                      <w:lang w:val="en-US" w:eastAsia="zh-CN"/>
                    </w:rPr>
                    <w:t>三</w:t>
                  </w:r>
                  <w:r>
                    <w:rPr>
                      <w:color w:val="auto"/>
                      <w:szCs w:val="21"/>
                      <w:highlight w:val="none"/>
                      <w:u w:val="single"/>
                      <w:lang w:val="en-US" w:eastAsia="zh-CN"/>
                    </w:rPr>
                    <w:t>类</w:t>
                  </w:r>
                </w:p>
              </w:tc>
              <w:tc>
                <w:tcPr>
                  <w:tcW w:w="641" w:type="pct"/>
                  <w:noWrap w:val="0"/>
                  <w:vAlign w:val="center"/>
                </w:tcPr>
                <w:p>
                  <w:pPr>
                    <w:pStyle w:val="61"/>
                    <w:spacing w:line="240" w:lineRule="auto"/>
                    <w:rPr>
                      <w:rFonts w:hint="default" w:eastAsia="宋体"/>
                      <w:color w:val="auto"/>
                      <w:szCs w:val="21"/>
                      <w:highlight w:val="none"/>
                      <w:u w:val="single"/>
                      <w:lang w:val="en-US" w:eastAsia="zh-CN"/>
                    </w:rPr>
                  </w:pPr>
                  <w:r>
                    <w:rPr>
                      <w:rFonts w:hint="eastAsia" w:eastAsia="宋体"/>
                      <w:color w:val="auto"/>
                      <w:szCs w:val="21"/>
                      <w:highlight w:val="none"/>
                      <w:u w:val="single"/>
                      <w:lang w:val="en-US" w:eastAsia="zh-CN"/>
                    </w:rPr>
                    <w:t>北</w:t>
                  </w:r>
                </w:p>
              </w:tc>
              <w:tc>
                <w:tcPr>
                  <w:tcW w:w="711" w:type="pct"/>
                  <w:noWrap w:val="0"/>
                  <w:vAlign w:val="center"/>
                </w:tcPr>
                <w:p>
                  <w:pPr>
                    <w:pStyle w:val="61"/>
                    <w:spacing w:line="240" w:lineRule="auto"/>
                    <w:rPr>
                      <w:rFonts w:hint="default"/>
                      <w:color w:val="auto"/>
                      <w:szCs w:val="21"/>
                      <w:highlight w:val="none"/>
                      <w:u w:val="single"/>
                      <w:lang w:val="en-US" w:eastAsia="zh-CN"/>
                    </w:rPr>
                  </w:pPr>
                  <w:r>
                    <w:rPr>
                      <w:rFonts w:hint="eastAsia"/>
                      <w:color w:val="auto"/>
                      <w:szCs w:val="21"/>
                      <w:highlight w:val="none"/>
                      <w:u w:val="single"/>
                      <w:lang w:val="en-US" w:eastAsia="zh-CN"/>
                    </w:rPr>
                    <w:t>20</w:t>
                  </w:r>
                </w:p>
              </w:tc>
            </w:tr>
          </w:tbl>
          <w:p>
            <w:pPr>
              <w:pStyle w:val="2"/>
              <w:spacing w:line="360" w:lineRule="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、声环境：项目周边50米范围内无声环境保护目标。</w:t>
            </w:r>
          </w:p>
          <w:p>
            <w:pPr>
              <w:pStyle w:val="2"/>
              <w:spacing w:line="360" w:lineRule="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color w:val="auto"/>
                <w:kern w:val="0"/>
                <w:sz w:val="24"/>
                <w:szCs w:val="24"/>
                <w:highlight w:val="none"/>
                <w:lang w:val="en-US" w:eastAsia="zh-CN" w:bidi="ar-SA"/>
              </w:rPr>
              <w:t>、地下水环境：厂界外500米范围内无地下水集中式饮用水水源和热水、矿泉水、温泉等特殊地下水资源。</w:t>
            </w:r>
          </w:p>
          <w:p>
            <w:pPr>
              <w:pStyle w:val="2"/>
              <w:spacing w:line="360" w:lineRule="auto"/>
              <w:rPr>
                <w:rFonts w:hint="default"/>
                <w:color w:val="auto"/>
                <w:highlight w:val="none"/>
                <w:lang w:val="en-US" w:eastAsia="zh-CN"/>
              </w:rPr>
            </w:pPr>
            <w:r>
              <w:rPr>
                <w:rFonts w:hint="eastAsia" w:ascii="Times New Roman" w:hAnsi="Times New Roman" w:eastAsia="宋体" w:cs="Times New Roman"/>
                <w:color w:val="auto"/>
                <w:kern w:val="0"/>
                <w:sz w:val="24"/>
                <w:szCs w:val="24"/>
                <w:highlight w:val="none"/>
                <w:lang w:val="en-US" w:eastAsia="zh-CN" w:bidi="ar-SA"/>
              </w:rPr>
              <w:t>5</w:t>
            </w:r>
            <w:r>
              <w:rPr>
                <w:rFonts w:hint="default" w:ascii="Times New Roman" w:hAnsi="Times New Roman" w:eastAsia="宋体" w:cs="Times New Roman"/>
                <w:color w:val="auto"/>
                <w:kern w:val="0"/>
                <w:sz w:val="24"/>
                <w:szCs w:val="24"/>
                <w:highlight w:val="none"/>
                <w:lang w:val="en-US" w:eastAsia="zh-CN" w:bidi="ar-SA"/>
              </w:rPr>
              <w:t>、生态环境：评价范围内无珍稀濒危植物，不涉及生态环境保护目标。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污染</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物排</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放控</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制标</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准</w:t>
            </w:r>
          </w:p>
        </w:tc>
        <w:tc>
          <w:tcPr>
            <w:tcW w:w="8190" w:type="dxa"/>
            <w:noWrap w:val="0"/>
            <w:vAlign w:val="center"/>
          </w:tcPr>
          <w:p>
            <w:pPr>
              <w:spacing w:before="120" w:beforeLines="50" w:line="360" w:lineRule="auto"/>
              <w:ind w:firstLine="420"/>
              <w:rPr>
                <w:color w:val="auto"/>
                <w:sz w:val="24"/>
                <w:highlight w:val="none"/>
              </w:rPr>
            </w:pPr>
            <w:r>
              <w:rPr>
                <w:color w:val="auto"/>
                <w:sz w:val="24"/>
                <w:highlight w:val="none"/>
              </w:rPr>
              <w:t>1、废气</w:t>
            </w:r>
          </w:p>
          <w:p>
            <w:pPr>
              <w:spacing w:line="360" w:lineRule="auto"/>
              <w:ind w:firstLine="420"/>
              <w:rPr>
                <w:color w:val="auto"/>
                <w:sz w:val="24"/>
                <w:highlight w:val="none"/>
              </w:rPr>
            </w:pPr>
            <w:r>
              <w:rPr>
                <w:rFonts w:hint="eastAsia"/>
                <w:color w:val="auto"/>
                <w:sz w:val="24"/>
                <w:highlight w:val="none"/>
                <w:u w:val="single"/>
                <w:lang w:val="en-US" w:eastAsia="zh-CN"/>
              </w:rPr>
              <w:t>因项目全厂共用一个排气筒，应从严执行，废气中的氮氧化物执行《大气污染物综合排放标准》（GB16297-1996）表2标准；废气中的颗粒物、二氧化硫执行《湖南省工业炉窑大气污染综合治理实施方案》中附件一表中的工业炉窑标准限值；</w:t>
            </w:r>
            <w:r>
              <w:rPr>
                <w:rFonts w:hint="eastAsia"/>
                <w:color w:val="auto"/>
                <w:sz w:val="24"/>
                <w:highlight w:val="none"/>
                <w:u w:val="single"/>
                <w:lang w:val="en-US" w:eastAsia="zh-CN"/>
              </w:rPr>
              <w:t>烟气黑度执行《工业炉窑大气污染物排放标准》（GB9078-1996）表2标准；</w:t>
            </w:r>
            <w:r>
              <w:rPr>
                <w:color w:val="auto"/>
                <w:sz w:val="24"/>
                <w:highlight w:val="none"/>
              </w:rPr>
              <w:t>无组织排放的颗粒物执行《大气污染物综合排放标准》（GB16297-1996）表2中</w:t>
            </w:r>
            <w:r>
              <w:rPr>
                <w:rFonts w:hint="eastAsia"/>
                <w:color w:val="auto"/>
                <w:sz w:val="24"/>
                <w:highlight w:val="none"/>
              </w:rPr>
              <w:t>无组织排放监控浓度限值</w:t>
            </w:r>
            <w:r>
              <w:rPr>
                <w:color w:val="auto"/>
                <w:sz w:val="24"/>
                <w:highlight w:val="none"/>
              </w:rPr>
              <w:t>。</w:t>
            </w:r>
          </w:p>
          <w:p>
            <w:pPr>
              <w:spacing w:line="360" w:lineRule="auto"/>
              <w:jc w:val="center"/>
              <w:rPr>
                <w:rFonts w:hint="eastAsia"/>
                <w:b/>
                <w:bCs/>
                <w:color w:val="auto"/>
                <w:sz w:val="24"/>
                <w:highlight w:val="none"/>
              </w:rPr>
            </w:pPr>
            <w:r>
              <w:rPr>
                <w:rFonts w:hint="eastAsia"/>
                <w:b/>
                <w:bCs/>
                <w:color w:val="auto"/>
                <w:sz w:val="24"/>
                <w:highlight w:val="none"/>
              </w:rPr>
              <w:t>表3-</w:t>
            </w:r>
            <w:r>
              <w:rPr>
                <w:rFonts w:hint="eastAsia"/>
                <w:b/>
                <w:bCs/>
                <w:color w:val="auto"/>
                <w:sz w:val="24"/>
                <w:highlight w:val="none"/>
                <w:lang w:val="en-US" w:eastAsia="zh-CN"/>
              </w:rPr>
              <w:t>6</w:t>
            </w:r>
            <w:r>
              <w:rPr>
                <w:rFonts w:hint="eastAsia"/>
                <w:b/>
                <w:bCs/>
                <w:color w:val="auto"/>
                <w:sz w:val="24"/>
                <w:highlight w:val="none"/>
              </w:rPr>
              <w:t xml:space="preserve"> 废气排放标准限值一览表</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5"/>
              <w:gridCol w:w="864"/>
              <w:gridCol w:w="1487"/>
              <w:gridCol w:w="1454"/>
              <w:gridCol w:w="14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vMerge w:val="restart"/>
                  <w:noWrap/>
                  <w:vAlign w:val="center"/>
                </w:tcPr>
                <w:p>
                  <w:pPr>
                    <w:jc w:val="center"/>
                    <w:rPr>
                      <w:b/>
                      <w:bCs/>
                      <w:color w:val="auto"/>
                      <w:szCs w:val="21"/>
                      <w:highlight w:val="none"/>
                    </w:rPr>
                  </w:pPr>
                  <w:r>
                    <w:rPr>
                      <w:b/>
                      <w:bCs/>
                      <w:color w:val="auto"/>
                      <w:szCs w:val="21"/>
                      <w:highlight w:val="none"/>
                    </w:rPr>
                    <w:t>污染物种类</w:t>
                  </w:r>
                </w:p>
              </w:tc>
              <w:tc>
                <w:tcPr>
                  <w:tcW w:w="2389" w:type="pct"/>
                  <w:gridSpan w:val="3"/>
                  <w:noWrap/>
                  <w:vAlign w:val="center"/>
                </w:tcPr>
                <w:p>
                  <w:pPr>
                    <w:jc w:val="center"/>
                    <w:rPr>
                      <w:rFonts w:hint="default" w:eastAsia="宋体"/>
                      <w:b/>
                      <w:bCs/>
                      <w:color w:val="auto"/>
                      <w:szCs w:val="21"/>
                      <w:highlight w:val="none"/>
                      <w:lang w:val="en-US" w:eastAsia="zh-CN"/>
                    </w:rPr>
                  </w:pPr>
                  <w:r>
                    <w:rPr>
                      <w:rFonts w:hint="eastAsia"/>
                      <w:b/>
                      <w:bCs/>
                      <w:color w:val="auto"/>
                      <w:szCs w:val="21"/>
                      <w:highlight w:val="none"/>
                      <w:lang w:val="en-US" w:eastAsia="zh-CN"/>
                    </w:rPr>
                    <w:t>有组织排放监控浓度限值</w:t>
                  </w:r>
                </w:p>
              </w:tc>
              <w:tc>
                <w:tcPr>
                  <w:tcW w:w="1830" w:type="pct"/>
                  <w:gridSpan w:val="2"/>
                  <w:noWrap/>
                  <w:vAlign w:val="center"/>
                </w:tcPr>
                <w:p>
                  <w:pPr>
                    <w:jc w:val="center"/>
                    <w:rPr>
                      <w:rFonts w:hint="default" w:eastAsia="宋体"/>
                      <w:b/>
                      <w:bCs/>
                      <w:color w:val="auto"/>
                      <w:szCs w:val="21"/>
                      <w:highlight w:val="none"/>
                      <w:lang w:val="en-US" w:eastAsia="zh-CN"/>
                    </w:rPr>
                  </w:pPr>
                  <w:r>
                    <w:rPr>
                      <w:rFonts w:hint="eastAsia"/>
                      <w:b/>
                      <w:bCs/>
                      <w:color w:val="auto"/>
                      <w:szCs w:val="21"/>
                      <w:highlight w:val="none"/>
                      <w:lang w:val="en-US" w:eastAsia="zh-CN"/>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vMerge w:val="continue"/>
                  <w:noWrap/>
                  <w:vAlign w:val="center"/>
                </w:tcPr>
                <w:p>
                  <w:pPr>
                    <w:jc w:val="center"/>
                    <w:rPr>
                      <w:b/>
                      <w:bCs/>
                      <w:color w:val="auto"/>
                      <w:szCs w:val="21"/>
                      <w:highlight w:val="none"/>
                    </w:rPr>
                  </w:pPr>
                </w:p>
              </w:tc>
              <w:tc>
                <w:tcPr>
                  <w:tcW w:w="909" w:type="pct"/>
                  <w:noWrap/>
                  <w:vAlign w:val="center"/>
                </w:tcPr>
                <w:p>
                  <w:pPr>
                    <w:jc w:val="center"/>
                    <w:rPr>
                      <w:b/>
                      <w:bCs/>
                      <w:color w:val="auto"/>
                      <w:szCs w:val="21"/>
                      <w:highlight w:val="none"/>
                    </w:rPr>
                  </w:pPr>
                  <w:r>
                    <w:rPr>
                      <w:b/>
                      <w:bCs/>
                      <w:color w:val="auto"/>
                      <w:szCs w:val="21"/>
                      <w:highlight w:val="none"/>
                    </w:rPr>
                    <w:t>最高允许排放浓度（mg/m</w:t>
                  </w:r>
                  <w:r>
                    <w:rPr>
                      <w:b/>
                      <w:bCs/>
                      <w:color w:val="auto"/>
                      <w:szCs w:val="21"/>
                      <w:highlight w:val="none"/>
                      <w:vertAlign w:val="superscript"/>
                    </w:rPr>
                    <w:t>3</w:t>
                  </w:r>
                  <w:r>
                    <w:rPr>
                      <w:b/>
                      <w:bCs/>
                      <w:color w:val="auto"/>
                      <w:szCs w:val="21"/>
                      <w:highlight w:val="none"/>
                    </w:rPr>
                    <w:t>）</w:t>
                  </w:r>
                </w:p>
              </w:tc>
              <w:tc>
                <w:tcPr>
                  <w:tcW w:w="543" w:type="pct"/>
                  <w:noWrap/>
                  <w:vAlign w:val="center"/>
                </w:tcPr>
                <w:p>
                  <w:pPr>
                    <w:jc w:val="center"/>
                    <w:rPr>
                      <w:b/>
                      <w:bCs/>
                      <w:color w:val="auto"/>
                      <w:szCs w:val="21"/>
                      <w:highlight w:val="none"/>
                    </w:rPr>
                  </w:pPr>
                  <w:r>
                    <w:rPr>
                      <w:rFonts w:hint="eastAsia"/>
                      <w:b/>
                      <w:bCs/>
                      <w:color w:val="auto"/>
                      <w:szCs w:val="21"/>
                      <w:highlight w:val="none"/>
                    </w:rPr>
                    <w:t>排气筒高度</w:t>
                  </w:r>
                </w:p>
              </w:tc>
              <w:tc>
                <w:tcPr>
                  <w:tcW w:w="935" w:type="pct"/>
                  <w:noWrap/>
                  <w:vAlign w:val="center"/>
                </w:tcPr>
                <w:p>
                  <w:pPr>
                    <w:jc w:val="center"/>
                    <w:rPr>
                      <w:b/>
                      <w:bCs/>
                      <w:color w:val="auto"/>
                      <w:szCs w:val="21"/>
                      <w:highlight w:val="none"/>
                    </w:rPr>
                  </w:pPr>
                  <w:r>
                    <w:rPr>
                      <w:b/>
                      <w:bCs/>
                      <w:color w:val="auto"/>
                      <w:szCs w:val="21"/>
                      <w:highlight w:val="none"/>
                    </w:rPr>
                    <w:t>最高允许排放速率（kg/h）</w:t>
                  </w:r>
                </w:p>
              </w:tc>
              <w:tc>
                <w:tcPr>
                  <w:tcW w:w="915" w:type="pct"/>
                  <w:noWrap/>
                  <w:vAlign w:val="center"/>
                </w:tcPr>
                <w:p>
                  <w:pPr>
                    <w:jc w:val="center"/>
                    <w:rPr>
                      <w:rFonts w:hint="default" w:eastAsia="宋体"/>
                      <w:b/>
                      <w:bCs/>
                      <w:color w:val="auto"/>
                      <w:szCs w:val="21"/>
                      <w:highlight w:val="none"/>
                      <w:lang w:val="en-US" w:eastAsia="zh-CN"/>
                    </w:rPr>
                  </w:pPr>
                  <w:r>
                    <w:rPr>
                      <w:rFonts w:hint="eastAsia"/>
                      <w:b/>
                      <w:bCs/>
                      <w:color w:val="auto"/>
                      <w:szCs w:val="21"/>
                      <w:highlight w:val="none"/>
                      <w:lang w:val="en-US" w:eastAsia="zh-CN"/>
                    </w:rPr>
                    <w:t>监控点</w:t>
                  </w:r>
                </w:p>
              </w:tc>
              <w:tc>
                <w:tcPr>
                  <w:tcW w:w="915" w:type="pct"/>
                  <w:noWrap/>
                  <w:vAlign w:val="center"/>
                </w:tcPr>
                <w:p>
                  <w:pPr>
                    <w:jc w:val="center"/>
                    <w:rPr>
                      <w:rFonts w:hint="eastAsia" w:eastAsia="宋体"/>
                      <w:b/>
                      <w:bCs/>
                      <w:color w:val="auto"/>
                      <w:szCs w:val="21"/>
                      <w:highlight w:val="none"/>
                      <w:lang w:val="en-US" w:eastAsia="zh-CN"/>
                    </w:rPr>
                  </w:pPr>
                  <w:r>
                    <w:rPr>
                      <w:rFonts w:hint="eastAsia"/>
                      <w:b/>
                      <w:bCs/>
                      <w:color w:val="auto"/>
                      <w:szCs w:val="21"/>
                      <w:highlight w:val="none"/>
                      <w:lang w:val="en-US" w:eastAsia="zh-CN"/>
                    </w:rPr>
                    <w:t>浓度</w:t>
                  </w:r>
                  <w:r>
                    <w:rPr>
                      <w:b/>
                      <w:bCs/>
                      <w:color w:val="auto"/>
                      <w:szCs w:val="21"/>
                      <w:highlight w:val="none"/>
                    </w:rPr>
                    <w:t>（mg/m</w:t>
                  </w:r>
                  <w:r>
                    <w:rPr>
                      <w:b/>
                      <w:bCs/>
                      <w:color w:val="auto"/>
                      <w:szCs w:val="21"/>
                      <w:highlight w:val="none"/>
                      <w:vertAlign w:val="superscript"/>
                    </w:rPr>
                    <w:t>3</w:t>
                  </w:r>
                  <w:r>
                    <w:rPr>
                      <w:b/>
                      <w:bCs/>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noWrap/>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颗粒物</w:t>
                  </w:r>
                </w:p>
              </w:tc>
              <w:tc>
                <w:tcPr>
                  <w:tcW w:w="909" w:type="pct"/>
                  <w:noWrap/>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543" w:type="pct"/>
                  <w:noWrap/>
                  <w:vAlign w:val="center"/>
                </w:tcPr>
                <w:p>
                  <w:pPr>
                    <w:jc w:val="center"/>
                    <w:rPr>
                      <w:color w:val="auto"/>
                      <w:szCs w:val="21"/>
                      <w:highlight w:val="none"/>
                    </w:rPr>
                  </w:pPr>
                  <w:r>
                    <w:rPr>
                      <w:rFonts w:hint="eastAsia"/>
                      <w:color w:val="auto"/>
                      <w:szCs w:val="21"/>
                      <w:highlight w:val="none"/>
                    </w:rPr>
                    <w:t>15</w:t>
                  </w:r>
                </w:p>
              </w:tc>
              <w:tc>
                <w:tcPr>
                  <w:tcW w:w="935" w:type="pct"/>
                  <w:noWrap/>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915" w:type="pct"/>
                  <w:noWrap/>
                  <w:vAlign w:val="center"/>
                </w:tcPr>
                <w:p>
                  <w:pPr>
                    <w:jc w:val="center"/>
                    <w:rPr>
                      <w:rFonts w:hint="default" w:eastAsia="宋体"/>
                      <w:color w:val="auto"/>
                      <w:szCs w:val="21"/>
                      <w:highlight w:val="none"/>
                      <w:lang w:val="en-US" w:eastAsia="zh-CN"/>
                    </w:rPr>
                  </w:pPr>
                  <w:r>
                    <w:rPr>
                      <w:rFonts w:hint="eastAsia"/>
                      <w:color w:val="auto"/>
                      <w:szCs w:val="21"/>
                      <w:highlight w:val="none"/>
                    </w:rPr>
                    <w:t>厂界外浓度最高点</w:t>
                  </w:r>
                </w:p>
              </w:tc>
              <w:tc>
                <w:tcPr>
                  <w:tcW w:w="915" w:type="pct"/>
                  <w:noWrap/>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noWrap/>
                  <w:vAlign w:val="center"/>
                </w:tcPr>
                <w:p>
                  <w:pPr>
                    <w:keepNext w:val="0"/>
                    <w:keepLines w:val="0"/>
                    <w:widowControl/>
                    <w:suppressLineNumbers w:val="0"/>
                    <w:jc w:val="center"/>
                    <w:rPr>
                      <w:rFonts w:hint="eastAsia"/>
                      <w:color w:val="auto"/>
                      <w:szCs w:val="21"/>
                      <w:highlight w:val="none"/>
                      <w:lang w:val="en-US" w:eastAsia="zh-CN"/>
                    </w:rPr>
                  </w:pPr>
                  <w:r>
                    <w:rPr>
                      <w:rFonts w:hint="default" w:ascii="Times New Roman" w:hAnsi="Times New Roman" w:eastAsia="宋体" w:cs="Times New Roman"/>
                      <w:color w:val="auto"/>
                      <w:kern w:val="0"/>
                      <w:sz w:val="20"/>
                      <w:szCs w:val="20"/>
                      <w:highlight w:val="none"/>
                      <w:lang w:val="en-US" w:eastAsia="zh-CN" w:bidi="ar"/>
                    </w:rPr>
                    <w:t>SO</w:t>
                  </w:r>
                  <w:r>
                    <w:rPr>
                      <w:rFonts w:hint="default" w:ascii="Times New Roman" w:hAnsi="Times New Roman" w:eastAsia="宋体" w:cs="Times New Roman"/>
                      <w:color w:val="auto"/>
                      <w:kern w:val="0"/>
                      <w:sz w:val="13"/>
                      <w:szCs w:val="13"/>
                      <w:highlight w:val="none"/>
                      <w:lang w:val="en-US" w:eastAsia="zh-CN" w:bidi="ar"/>
                    </w:rPr>
                    <w:t>2</w:t>
                  </w:r>
                </w:p>
              </w:tc>
              <w:tc>
                <w:tcPr>
                  <w:tcW w:w="909" w:type="pct"/>
                  <w:noWrap/>
                  <w:vAlign w:val="center"/>
                </w:tcPr>
                <w:p>
                  <w:pPr>
                    <w:jc w:val="center"/>
                    <w:rPr>
                      <w:rFonts w:hint="default"/>
                      <w:color w:val="auto"/>
                      <w:szCs w:val="21"/>
                      <w:highlight w:val="none"/>
                      <w:lang w:val="en-US" w:eastAsia="zh-CN"/>
                    </w:rPr>
                  </w:pPr>
                  <w:r>
                    <w:rPr>
                      <w:rFonts w:hint="eastAsia"/>
                      <w:color w:val="auto"/>
                      <w:szCs w:val="21"/>
                      <w:highlight w:val="none"/>
                      <w:lang w:val="en-US" w:eastAsia="zh-CN"/>
                    </w:rPr>
                    <w:t>200</w:t>
                  </w:r>
                </w:p>
              </w:tc>
              <w:tc>
                <w:tcPr>
                  <w:tcW w:w="543" w:type="pct"/>
                  <w:noWrap/>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935" w:type="pct"/>
                  <w:noWrap/>
                  <w:vAlign w:val="center"/>
                </w:tcPr>
                <w:p>
                  <w:pPr>
                    <w:jc w:val="center"/>
                    <w:rPr>
                      <w:rFonts w:hint="default"/>
                      <w:color w:val="auto"/>
                      <w:szCs w:val="21"/>
                      <w:highlight w:val="none"/>
                      <w:lang w:val="en-US" w:eastAsia="zh-CN"/>
                    </w:rPr>
                  </w:pPr>
                  <w:r>
                    <w:rPr>
                      <w:rFonts w:hint="eastAsia"/>
                      <w:color w:val="auto"/>
                      <w:szCs w:val="21"/>
                      <w:highlight w:val="none"/>
                      <w:lang w:val="en-US" w:eastAsia="zh-CN"/>
                    </w:rPr>
                    <w:t>/</w:t>
                  </w:r>
                </w:p>
              </w:tc>
              <w:tc>
                <w:tcPr>
                  <w:tcW w:w="915" w:type="pct"/>
                  <w:noWrap/>
                  <w:vAlign w:val="center"/>
                </w:tcPr>
                <w:p>
                  <w:pPr>
                    <w:jc w:val="center"/>
                    <w:rPr>
                      <w:rFonts w:hint="eastAsia"/>
                      <w:color w:val="auto"/>
                      <w:szCs w:val="21"/>
                      <w:highlight w:val="none"/>
                    </w:rPr>
                  </w:pPr>
                </w:p>
              </w:tc>
              <w:tc>
                <w:tcPr>
                  <w:tcW w:w="915" w:type="pct"/>
                  <w:noWrap/>
                  <w:vAlign w:val="center"/>
                </w:tcPr>
                <w:p>
                  <w:pPr>
                    <w:jc w:val="center"/>
                    <w:rPr>
                      <w:rFonts w:hint="eastAsia"/>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noWrap/>
                  <w:vAlign w:val="center"/>
                </w:tcPr>
                <w:p>
                  <w:pPr>
                    <w:keepNext w:val="0"/>
                    <w:keepLines w:val="0"/>
                    <w:widowControl/>
                    <w:suppressLineNumbers w:val="0"/>
                    <w:jc w:val="center"/>
                    <w:rPr>
                      <w:rFonts w:hint="eastAsia"/>
                      <w:color w:val="auto"/>
                      <w:szCs w:val="21"/>
                      <w:highlight w:val="none"/>
                      <w:lang w:val="en-US" w:eastAsia="zh-CN"/>
                    </w:rPr>
                  </w:pPr>
                  <w:r>
                    <w:rPr>
                      <w:rFonts w:hint="default" w:ascii="Times New Roman" w:hAnsi="Times New Roman" w:eastAsia="宋体" w:cs="Times New Roman"/>
                      <w:color w:val="auto"/>
                      <w:kern w:val="0"/>
                      <w:sz w:val="20"/>
                      <w:szCs w:val="20"/>
                      <w:highlight w:val="none"/>
                      <w:lang w:val="en-US" w:eastAsia="zh-CN" w:bidi="ar"/>
                    </w:rPr>
                    <w:t>NO</w:t>
                  </w:r>
                  <w:r>
                    <w:rPr>
                      <w:rFonts w:hint="default" w:ascii="Times New Roman" w:hAnsi="Times New Roman" w:eastAsia="宋体" w:cs="Times New Roman"/>
                      <w:color w:val="auto"/>
                      <w:kern w:val="0"/>
                      <w:sz w:val="13"/>
                      <w:szCs w:val="13"/>
                      <w:highlight w:val="none"/>
                      <w:lang w:val="en-US" w:eastAsia="zh-CN" w:bidi="ar"/>
                    </w:rPr>
                    <w:t>x</w:t>
                  </w:r>
                </w:p>
              </w:tc>
              <w:tc>
                <w:tcPr>
                  <w:tcW w:w="909" w:type="pct"/>
                  <w:noWrap/>
                  <w:vAlign w:val="center"/>
                </w:tcPr>
                <w:p>
                  <w:pPr>
                    <w:jc w:val="center"/>
                    <w:rPr>
                      <w:rFonts w:hint="default"/>
                      <w:color w:val="auto"/>
                      <w:szCs w:val="21"/>
                      <w:highlight w:val="none"/>
                      <w:lang w:val="en-US" w:eastAsia="zh-CN"/>
                    </w:rPr>
                  </w:pPr>
                  <w:r>
                    <w:rPr>
                      <w:rFonts w:hint="eastAsia"/>
                      <w:color w:val="auto"/>
                      <w:szCs w:val="21"/>
                      <w:highlight w:val="none"/>
                      <w:lang w:val="en-US" w:eastAsia="zh-CN"/>
                    </w:rPr>
                    <w:t>240</w:t>
                  </w:r>
                </w:p>
              </w:tc>
              <w:tc>
                <w:tcPr>
                  <w:tcW w:w="543" w:type="pct"/>
                  <w:noWrap/>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935" w:type="pct"/>
                  <w:noWrap/>
                  <w:vAlign w:val="center"/>
                </w:tcPr>
                <w:p>
                  <w:pPr>
                    <w:jc w:val="center"/>
                    <w:rPr>
                      <w:rFonts w:hint="default"/>
                      <w:color w:val="auto"/>
                      <w:szCs w:val="21"/>
                      <w:highlight w:val="none"/>
                      <w:lang w:val="en-US" w:eastAsia="zh-CN"/>
                    </w:rPr>
                  </w:pPr>
                  <w:r>
                    <w:rPr>
                      <w:rFonts w:hint="eastAsia"/>
                      <w:color w:val="auto"/>
                      <w:szCs w:val="21"/>
                      <w:highlight w:val="none"/>
                      <w:lang w:val="en-US" w:eastAsia="zh-CN"/>
                    </w:rPr>
                    <w:t>/</w:t>
                  </w:r>
                </w:p>
              </w:tc>
              <w:tc>
                <w:tcPr>
                  <w:tcW w:w="915" w:type="pct"/>
                  <w:noWrap/>
                  <w:vAlign w:val="center"/>
                </w:tcPr>
                <w:p>
                  <w:pPr>
                    <w:jc w:val="center"/>
                    <w:rPr>
                      <w:rFonts w:hint="eastAsia"/>
                      <w:color w:val="auto"/>
                      <w:szCs w:val="21"/>
                      <w:highlight w:val="none"/>
                    </w:rPr>
                  </w:pPr>
                </w:p>
              </w:tc>
              <w:tc>
                <w:tcPr>
                  <w:tcW w:w="915" w:type="pct"/>
                  <w:noWrap/>
                  <w:vAlign w:val="center"/>
                </w:tcPr>
                <w:p>
                  <w:pPr>
                    <w:jc w:val="center"/>
                    <w:rPr>
                      <w:rFonts w:hint="eastAsia"/>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noWrap/>
                  <w:vAlign w:val="center"/>
                </w:tcPr>
                <w:p>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olor w:val="auto"/>
                      <w:sz w:val="21"/>
                      <w:szCs w:val="21"/>
                      <w:highlight w:val="none"/>
                      <w:u w:val="single"/>
                      <w:lang w:val="en-US" w:eastAsia="zh-CN"/>
                    </w:rPr>
                    <w:t>烟气黑度</w:t>
                  </w:r>
                </w:p>
              </w:tc>
              <w:tc>
                <w:tcPr>
                  <w:tcW w:w="909" w:type="pct"/>
                  <w:noWrap/>
                  <w:vAlign w:val="center"/>
                </w:tcPr>
                <w:p>
                  <w:pPr>
                    <w:jc w:val="center"/>
                    <w:rPr>
                      <w:rFonts w:hint="default"/>
                      <w:color w:val="auto"/>
                      <w:szCs w:val="21"/>
                      <w:highlight w:val="none"/>
                      <w:lang w:val="en-US" w:eastAsia="zh-CN"/>
                    </w:rPr>
                  </w:pPr>
                  <w:r>
                    <w:rPr>
                      <w:rFonts w:hint="eastAsia"/>
                      <w:color w:val="auto"/>
                      <w:sz w:val="21"/>
                      <w:szCs w:val="21"/>
                      <w:highlight w:val="none"/>
                      <w:u w:val="single"/>
                      <w:lang w:val="en-US" w:eastAsia="zh-CN"/>
                    </w:rPr>
                    <w:t>林格曼级</w:t>
                  </w:r>
                  <w:r>
                    <w:rPr>
                      <w:rFonts w:hint="eastAsia"/>
                      <w:color w:val="auto"/>
                      <w:szCs w:val="21"/>
                      <w:highlight w:val="none"/>
                      <w:u w:val="single"/>
                      <w:lang w:val="en-US" w:eastAsia="zh-CN"/>
                    </w:rPr>
                    <w:t>1级</w:t>
                  </w:r>
                </w:p>
              </w:tc>
              <w:tc>
                <w:tcPr>
                  <w:tcW w:w="543" w:type="pct"/>
                  <w:noWrap/>
                  <w:vAlign w:val="center"/>
                </w:tcPr>
                <w:p>
                  <w:pPr>
                    <w:jc w:val="center"/>
                    <w:rPr>
                      <w:rFonts w:hint="default"/>
                      <w:color w:val="auto"/>
                      <w:szCs w:val="21"/>
                      <w:highlight w:val="none"/>
                      <w:lang w:val="en-US" w:eastAsia="zh-CN"/>
                    </w:rPr>
                  </w:pPr>
                  <w:r>
                    <w:rPr>
                      <w:rFonts w:hint="eastAsia"/>
                      <w:color w:val="auto"/>
                      <w:szCs w:val="21"/>
                      <w:highlight w:val="none"/>
                      <w:lang w:val="en-US" w:eastAsia="zh-CN"/>
                    </w:rPr>
                    <w:t>15</w:t>
                  </w:r>
                </w:p>
              </w:tc>
              <w:tc>
                <w:tcPr>
                  <w:tcW w:w="935" w:type="pct"/>
                  <w:noWrap/>
                  <w:vAlign w:val="center"/>
                </w:tcPr>
                <w:p>
                  <w:pPr>
                    <w:jc w:val="center"/>
                    <w:rPr>
                      <w:rFonts w:hint="default"/>
                      <w:color w:val="auto"/>
                      <w:szCs w:val="21"/>
                      <w:highlight w:val="none"/>
                      <w:lang w:val="en-US" w:eastAsia="zh-CN"/>
                    </w:rPr>
                  </w:pPr>
                  <w:r>
                    <w:rPr>
                      <w:rFonts w:hint="eastAsia"/>
                      <w:color w:val="auto"/>
                      <w:szCs w:val="21"/>
                      <w:highlight w:val="none"/>
                      <w:lang w:val="en-US" w:eastAsia="zh-CN"/>
                    </w:rPr>
                    <w:t>/</w:t>
                  </w:r>
                </w:p>
              </w:tc>
              <w:tc>
                <w:tcPr>
                  <w:tcW w:w="915" w:type="pct"/>
                  <w:noWrap/>
                  <w:vAlign w:val="center"/>
                </w:tcPr>
                <w:p>
                  <w:pPr>
                    <w:jc w:val="center"/>
                    <w:rPr>
                      <w:rFonts w:hint="eastAsia"/>
                      <w:color w:val="auto"/>
                      <w:szCs w:val="21"/>
                      <w:highlight w:val="none"/>
                    </w:rPr>
                  </w:pPr>
                </w:p>
              </w:tc>
              <w:tc>
                <w:tcPr>
                  <w:tcW w:w="915" w:type="pct"/>
                  <w:noWrap/>
                  <w:vAlign w:val="center"/>
                </w:tcPr>
                <w:p>
                  <w:pPr>
                    <w:jc w:val="center"/>
                    <w:rPr>
                      <w:rFonts w:hint="eastAsia"/>
                      <w:color w:val="auto"/>
                      <w:szCs w:val="21"/>
                      <w:highlight w:val="none"/>
                      <w:lang w:val="en-US" w:eastAsia="zh-CN"/>
                    </w:rPr>
                  </w:pPr>
                </w:p>
              </w:tc>
            </w:tr>
          </w:tbl>
          <w:p>
            <w:pPr>
              <w:jc w:val="center"/>
              <w:rPr>
                <w:rFonts w:hint="eastAsia"/>
                <w:b/>
                <w:bCs/>
                <w:color w:val="auto"/>
                <w:szCs w:val="21"/>
                <w:highlight w:val="none"/>
              </w:rPr>
            </w:pPr>
          </w:p>
          <w:p>
            <w:pPr>
              <w:spacing w:before="120" w:beforeLines="50" w:line="360" w:lineRule="auto"/>
              <w:ind w:firstLine="420"/>
              <w:rPr>
                <w:color w:val="auto"/>
                <w:sz w:val="24"/>
                <w:highlight w:val="none"/>
              </w:rPr>
            </w:pPr>
            <w:r>
              <w:rPr>
                <w:color w:val="auto"/>
                <w:sz w:val="24"/>
                <w:highlight w:val="none"/>
              </w:rPr>
              <w:t>2、废水</w:t>
            </w:r>
          </w:p>
          <w:p>
            <w:pPr>
              <w:spacing w:before="120" w:beforeLines="50" w:line="360" w:lineRule="auto"/>
              <w:ind w:firstLine="420"/>
              <w:rPr>
                <w:rFonts w:hint="eastAsia" w:eastAsia="宋体"/>
                <w:color w:val="auto"/>
                <w:sz w:val="24"/>
                <w:highlight w:val="none"/>
                <w:lang w:val="en-US" w:eastAsia="zh-CN"/>
              </w:rPr>
            </w:pPr>
            <w:r>
              <w:rPr>
                <w:rFonts w:hint="eastAsia"/>
                <w:color w:val="auto"/>
                <w:sz w:val="24"/>
                <w:highlight w:val="none"/>
                <w:lang w:val="en-US" w:eastAsia="zh-CN"/>
              </w:rPr>
              <w:t xml:space="preserve">本项目生活污水经化粪池处理后用于周边菜地浇灌，不外排。 </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20"/>
              <w:textAlignment w:val="auto"/>
              <w:rPr>
                <w:color w:val="auto"/>
                <w:sz w:val="24"/>
                <w:highlight w:val="none"/>
              </w:rPr>
            </w:pPr>
            <w:r>
              <w:rPr>
                <w:color w:val="auto"/>
                <w:sz w:val="24"/>
                <w:highlight w:val="none"/>
              </w:rPr>
              <w:t>3、噪声</w:t>
            </w:r>
          </w:p>
          <w:p>
            <w:pPr>
              <w:widowControl/>
              <w:spacing w:line="360" w:lineRule="auto"/>
              <w:ind w:firstLine="420"/>
              <w:rPr>
                <w:color w:val="auto"/>
                <w:sz w:val="24"/>
                <w:highlight w:val="none"/>
                <w:u w:val="none"/>
              </w:rPr>
            </w:pPr>
            <w:r>
              <w:rPr>
                <w:rFonts w:hint="eastAsia"/>
                <w:color w:val="auto"/>
                <w:sz w:val="24"/>
                <w:highlight w:val="none"/>
                <w:u w:val="none"/>
                <w:lang w:val="en-US" w:eastAsia="zh-CN"/>
              </w:rPr>
              <w:t>项目</w:t>
            </w:r>
            <w:r>
              <w:rPr>
                <w:rFonts w:hint="eastAsia"/>
                <w:color w:val="auto"/>
                <w:sz w:val="24"/>
                <w:highlight w:val="none"/>
                <w:u w:val="none"/>
              </w:rPr>
              <w:t>厂界噪声</w:t>
            </w:r>
            <w:r>
              <w:rPr>
                <w:color w:val="auto"/>
                <w:sz w:val="24"/>
                <w:highlight w:val="none"/>
                <w:u w:val="none"/>
              </w:rPr>
              <w:t>执行《工业企业厂界环境噪声排放标准》</w:t>
            </w:r>
            <w:r>
              <w:rPr>
                <w:rFonts w:hint="eastAsia"/>
                <w:color w:val="auto"/>
                <w:sz w:val="24"/>
                <w:highlight w:val="none"/>
                <w:u w:val="none"/>
              </w:rPr>
              <w:t>（</w:t>
            </w:r>
            <w:r>
              <w:rPr>
                <w:color w:val="auto"/>
                <w:sz w:val="24"/>
                <w:highlight w:val="none"/>
                <w:u w:val="none"/>
              </w:rPr>
              <w:t>GB12348-2008</w:t>
            </w:r>
            <w:r>
              <w:rPr>
                <w:rFonts w:hint="eastAsia"/>
                <w:color w:val="auto"/>
                <w:sz w:val="24"/>
                <w:highlight w:val="none"/>
                <w:u w:val="none"/>
              </w:rPr>
              <w:t>）中2</w:t>
            </w:r>
            <w:r>
              <w:rPr>
                <w:color w:val="auto"/>
                <w:sz w:val="24"/>
                <w:highlight w:val="none"/>
                <w:u w:val="none"/>
              </w:rPr>
              <w:t>类</w:t>
            </w:r>
            <w:r>
              <w:rPr>
                <w:rFonts w:hint="eastAsia"/>
                <w:color w:val="auto"/>
                <w:sz w:val="24"/>
                <w:highlight w:val="none"/>
                <w:u w:val="none"/>
              </w:rPr>
              <w:t>标准</w:t>
            </w:r>
            <w:r>
              <w:rPr>
                <w:color w:val="auto"/>
                <w:sz w:val="24"/>
                <w:highlight w:val="none"/>
                <w:u w:val="none"/>
              </w:rPr>
              <w:t>。</w:t>
            </w:r>
          </w:p>
          <w:p>
            <w:pPr>
              <w:adjustRightInd w:val="0"/>
              <w:snapToGrid w:val="0"/>
              <w:spacing w:line="360" w:lineRule="auto"/>
              <w:jc w:val="center"/>
              <w:rPr>
                <w:rFonts w:hint="eastAsia"/>
                <w:b/>
                <w:bCs/>
                <w:color w:val="auto"/>
                <w:sz w:val="24"/>
                <w:highlight w:val="none"/>
                <w:u w:val="none"/>
              </w:rPr>
            </w:pPr>
            <w:r>
              <w:rPr>
                <w:rFonts w:hint="eastAsia"/>
                <w:b/>
                <w:bCs/>
                <w:color w:val="auto"/>
                <w:sz w:val="24"/>
                <w:highlight w:val="none"/>
                <w:u w:val="none"/>
              </w:rPr>
              <w:t>表3-</w:t>
            </w:r>
            <w:r>
              <w:rPr>
                <w:rFonts w:hint="eastAsia"/>
                <w:b/>
                <w:bCs/>
                <w:color w:val="auto"/>
                <w:sz w:val="24"/>
                <w:highlight w:val="none"/>
                <w:u w:val="none"/>
                <w:lang w:val="en-US" w:eastAsia="zh-CN"/>
              </w:rPr>
              <w:t>6</w:t>
            </w:r>
            <w:r>
              <w:rPr>
                <w:rFonts w:hint="eastAsia"/>
                <w:b/>
                <w:bCs/>
                <w:color w:val="auto"/>
                <w:sz w:val="24"/>
                <w:highlight w:val="none"/>
                <w:u w:val="none"/>
              </w:rPr>
              <w:t xml:space="preserve"> 噪声排放标准限值一览表</w:t>
            </w:r>
          </w:p>
          <w:tbl>
            <w:tblPr>
              <w:tblStyle w:val="23"/>
              <w:tblW w:w="79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2658"/>
              <w:gridCol w:w="2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8" w:type="dxa"/>
                  <w:vMerge w:val="restart"/>
                  <w:noWrap w:val="0"/>
                  <w:vAlign w:val="center"/>
                </w:tcPr>
                <w:p>
                  <w:pPr>
                    <w:adjustRightInd w:val="0"/>
                    <w:snapToGrid w:val="0"/>
                    <w:jc w:val="center"/>
                    <w:rPr>
                      <w:b/>
                      <w:bCs/>
                      <w:color w:val="auto"/>
                      <w:szCs w:val="21"/>
                      <w:highlight w:val="none"/>
                      <w:u w:val="none"/>
                    </w:rPr>
                  </w:pPr>
                  <w:r>
                    <w:rPr>
                      <w:rFonts w:hint="eastAsia"/>
                      <w:b/>
                      <w:bCs/>
                      <w:color w:val="auto"/>
                      <w:szCs w:val="21"/>
                      <w:highlight w:val="none"/>
                      <w:u w:val="none"/>
                    </w:rPr>
                    <w:t>类别</w:t>
                  </w:r>
                </w:p>
              </w:tc>
              <w:tc>
                <w:tcPr>
                  <w:tcW w:w="5316" w:type="dxa"/>
                  <w:gridSpan w:val="2"/>
                  <w:noWrap w:val="0"/>
                  <w:vAlign w:val="center"/>
                </w:tcPr>
                <w:p>
                  <w:pPr>
                    <w:adjustRightInd w:val="0"/>
                    <w:snapToGrid w:val="0"/>
                    <w:jc w:val="center"/>
                    <w:rPr>
                      <w:b/>
                      <w:bCs/>
                      <w:color w:val="auto"/>
                      <w:szCs w:val="21"/>
                      <w:highlight w:val="none"/>
                      <w:u w:val="none"/>
                    </w:rPr>
                  </w:pPr>
                  <w:r>
                    <w:rPr>
                      <w:rFonts w:hint="eastAsia"/>
                      <w:b/>
                      <w:bCs/>
                      <w:color w:val="auto"/>
                      <w:szCs w:val="21"/>
                      <w:highlight w:val="none"/>
                      <w:u w:val="none"/>
                    </w:rPr>
                    <w:t>标准限值/db（A）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8" w:type="dxa"/>
                  <w:vMerge w:val="continue"/>
                  <w:noWrap w:val="0"/>
                  <w:vAlign w:val="center"/>
                </w:tcPr>
                <w:p>
                  <w:pPr>
                    <w:adjustRightInd w:val="0"/>
                    <w:snapToGrid w:val="0"/>
                    <w:jc w:val="center"/>
                    <w:rPr>
                      <w:b/>
                      <w:bCs/>
                      <w:color w:val="auto"/>
                      <w:szCs w:val="21"/>
                      <w:highlight w:val="none"/>
                      <w:u w:val="none"/>
                    </w:rPr>
                  </w:pPr>
                </w:p>
              </w:tc>
              <w:tc>
                <w:tcPr>
                  <w:tcW w:w="2658" w:type="dxa"/>
                  <w:noWrap w:val="0"/>
                  <w:vAlign w:val="center"/>
                </w:tcPr>
                <w:p>
                  <w:pPr>
                    <w:adjustRightInd w:val="0"/>
                    <w:snapToGrid w:val="0"/>
                    <w:jc w:val="center"/>
                    <w:rPr>
                      <w:b/>
                      <w:bCs/>
                      <w:color w:val="auto"/>
                      <w:szCs w:val="21"/>
                      <w:highlight w:val="none"/>
                      <w:u w:val="none"/>
                    </w:rPr>
                  </w:pPr>
                  <w:r>
                    <w:rPr>
                      <w:rFonts w:hint="eastAsia"/>
                      <w:b/>
                      <w:bCs/>
                      <w:color w:val="auto"/>
                      <w:szCs w:val="21"/>
                      <w:highlight w:val="none"/>
                      <w:u w:val="none"/>
                    </w:rPr>
                    <w:t>昼间</w:t>
                  </w:r>
                </w:p>
              </w:tc>
              <w:tc>
                <w:tcPr>
                  <w:tcW w:w="2658" w:type="dxa"/>
                  <w:noWrap w:val="0"/>
                  <w:vAlign w:val="center"/>
                </w:tcPr>
                <w:p>
                  <w:pPr>
                    <w:adjustRightInd w:val="0"/>
                    <w:snapToGrid w:val="0"/>
                    <w:jc w:val="center"/>
                    <w:rPr>
                      <w:b/>
                      <w:bCs/>
                      <w:color w:val="auto"/>
                      <w:szCs w:val="21"/>
                      <w:highlight w:val="none"/>
                      <w:u w:val="none"/>
                    </w:rPr>
                  </w:pPr>
                  <w:r>
                    <w:rPr>
                      <w:rFonts w:hint="eastAsia"/>
                      <w:b/>
                      <w:bCs/>
                      <w:color w:val="auto"/>
                      <w:szCs w:val="21"/>
                      <w:highlight w:val="none"/>
                      <w:u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8" w:type="dxa"/>
                  <w:noWrap w:val="0"/>
                  <w:vAlign w:val="center"/>
                </w:tcPr>
                <w:p>
                  <w:pPr>
                    <w:adjustRightInd w:val="0"/>
                    <w:snapToGrid w:val="0"/>
                    <w:jc w:val="center"/>
                    <w:rPr>
                      <w:color w:val="auto"/>
                      <w:szCs w:val="21"/>
                      <w:highlight w:val="none"/>
                      <w:u w:val="none"/>
                    </w:rPr>
                  </w:pPr>
                  <w:r>
                    <w:rPr>
                      <w:rFonts w:hint="eastAsia"/>
                      <w:color w:val="auto"/>
                      <w:szCs w:val="21"/>
                      <w:highlight w:val="none"/>
                      <w:u w:val="none"/>
                    </w:rPr>
                    <w:t>2类</w:t>
                  </w:r>
                </w:p>
              </w:tc>
              <w:tc>
                <w:tcPr>
                  <w:tcW w:w="2658" w:type="dxa"/>
                  <w:noWrap w:val="0"/>
                  <w:vAlign w:val="center"/>
                </w:tcPr>
                <w:p>
                  <w:pPr>
                    <w:adjustRightInd w:val="0"/>
                    <w:snapToGrid w:val="0"/>
                    <w:jc w:val="center"/>
                    <w:rPr>
                      <w:color w:val="auto"/>
                      <w:szCs w:val="21"/>
                      <w:highlight w:val="none"/>
                      <w:u w:val="none"/>
                    </w:rPr>
                  </w:pPr>
                  <w:r>
                    <w:rPr>
                      <w:rFonts w:hint="eastAsia"/>
                      <w:color w:val="auto"/>
                      <w:szCs w:val="21"/>
                      <w:highlight w:val="none"/>
                      <w:u w:val="none"/>
                    </w:rPr>
                    <w:t>60</w:t>
                  </w:r>
                </w:p>
              </w:tc>
              <w:tc>
                <w:tcPr>
                  <w:tcW w:w="2658" w:type="dxa"/>
                  <w:noWrap w:val="0"/>
                  <w:vAlign w:val="center"/>
                </w:tcPr>
                <w:p>
                  <w:pPr>
                    <w:adjustRightInd w:val="0"/>
                    <w:snapToGrid w:val="0"/>
                    <w:jc w:val="center"/>
                    <w:rPr>
                      <w:color w:val="auto"/>
                      <w:szCs w:val="21"/>
                      <w:highlight w:val="none"/>
                      <w:u w:val="none"/>
                    </w:rPr>
                  </w:pPr>
                  <w:r>
                    <w:rPr>
                      <w:rFonts w:hint="eastAsia"/>
                      <w:color w:val="auto"/>
                      <w:szCs w:val="21"/>
                      <w:highlight w:val="none"/>
                      <w:u w:val="none"/>
                    </w:rPr>
                    <w:t>50</w:t>
                  </w:r>
                </w:p>
              </w:tc>
            </w:tr>
          </w:tbl>
          <w:p>
            <w:pPr>
              <w:adjustRightInd w:val="0"/>
              <w:snapToGrid w:val="0"/>
              <w:jc w:val="center"/>
              <w:rPr>
                <w:b/>
                <w:bCs/>
                <w:color w:val="auto"/>
                <w:szCs w:val="21"/>
                <w:highlight w:val="none"/>
              </w:rPr>
            </w:pPr>
          </w:p>
          <w:p>
            <w:pPr>
              <w:adjustRightInd w:val="0"/>
              <w:snapToGrid w:val="0"/>
              <w:spacing w:line="360" w:lineRule="auto"/>
              <w:ind w:firstLine="480" w:firstLineChars="200"/>
              <w:rPr>
                <w:color w:val="auto"/>
                <w:sz w:val="24"/>
                <w:highlight w:val="none"/>
              </w:rPr>
            </w:pPr>
            <w:r>
              <w:rPr>
                <w:color w:val="auto"/>
                <w:sz w:val="24"/>
                <w:highlight w:val="none"/>
              </w:rPr>
              <w:t>4、固体废弃物</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val="en-US" w:eastAsia="zh-CN"/>
              </w:rPr>
              <w:t>项目</w:t>
            </w:r>
            <w:r>
              <w:rPr>
                <w:color w:val="auto"/>
                <w:sz w:val="24"/>
                <w:highlight w:val="none"/>
              </w:rPr>
              <w:t>一般固废执行《一般工业固体废物贮存和填埋污染控制标准》（GB18599-2020）</w:t>
            </w:r>
            <w:r>
              <w:rPr>
                <w:rFonts w:hint="eastAsia"/>
                <w:color w:val="auto"/>
                <w:sz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Cs w:val="21"/>
                <w:highlight w:val="none"/>
                <w:lang w:eastAsia="zh-CN"/>
              </w:rPr>
            </w:pPr>
            <w:r>
              <w:rPr>
                <w:rFonts w:hint="eastAsia"/>
                <w:color w:val="auto"/>
                <w:sz w:val="24"/>
                <w:highlight w:val="none"/>
              </w:rPr>
              <w:t>危险废物执行《危险废物贮存污染控制标准》（GB18597-2023）中的相关规定</w:t>
            </w:r>
            <w:r>
              <w:rPr>
                <w:rFonts w:hint="eastAsia"/>
                <w:color w:val="auto"/>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00" w:type="dxa"/>
            <w:noWrap w:val="0"/>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总量</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控制</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根根据生态环境部和湖南省生态环境厅对建设项目排放污染物实施总量控制的要求，针对本项目的具体排污情况</w:t>
            </w:r>
            <w:r>
              <w:rPr>
                <w:rFonts w:hint="default" w:ascii="Times New Roman" w:hAnsi="Times New Roman" w:cs="Times New Roman"/>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计算可得：SO</w:t>
            </w:r>
            <w:r>
              <w:rPr>
                <w:rFonts w:hint="default" w:ascii="Times New Roman" w:hAnsi="Times New Roman" w:cs="Times New Roman"/>
                <w:color w:val="auto"/>
                <w:kern w:val="0"/>
                <w:sz w:val="24"/>
                <w:highlight w:val="none"/>
                <w:vertAlign w:val="subscript"/>
              </w:rPr>
              <w:t>2</w:t>
            </w:r>
            <w:r>
              <w:rPr>
                <w:rFonts w:hint="default" w:ascii="Times New Roman" w:hAnsi="Times New Roman" w:cs="Times New Roman"/>
                <w:color w:val="auto"/>
                <w:kern w:val="0"/>
                <w:sz w:val="24"/>
                <w:highlight w:val="none"/>
              </w:rPr>
              <w:t>：300*17*0.1/1000=0.51t， NO</w:t>
            </w:r>
            <w:r>
              <w:rPr>
                <w:rFonts w:hint="default" w:ascii="Times New Roman" w:hAnsi="Times New Roman" w:cs="Times New Roman"/>
                <w:color w:val="auto"/>
                <w:kern w:val="0"/>
                <w:sz w:val="24"/>
                <w:highlight w:val="none"/>
                <w:vertAlign w:val="subscript"/>
              </w:rPr>
              <w:t>X</w:t>
            </w:r>
            <w:r>
              <w:rPr>
                <w:rFonts w:hint="default" w:ascii="Times New Roman" w:hAnsi="Times New Roman" w:cs="Times New Roman"/>
                <w:color w:val="auto"/>
                <w:kern w:val="0"/>
                <w:sz w:val="24"/>
                <w:highlight w:val="none"/>
              </w:rPr>
              <w:t>：300*1.02/1000=0.31t，</w:t>
            </w:r>
            <w:r>
              <w:rPr>
                <w:rFonts w:hint="default" w:ascii="Times New Roman" w:hAnsi="Times New Roman" w:cs="Times New Roman"/>
                <w:color w:val="auto"/>
                <w:kern w:val="0"/>
                <w:sz w:val="24"/>
                <w:highlight w:val="none"/>
              </w:rPr>
              <w:t>确定主要污染物SO</w:t>
            </w:r>
            <w:r>
              <w:rPr>
                <w:rFonts w:hint="default" w:ascii="Times New Roman" w:hAnsi="Times New Roman" w:cs="Times New Roman"/>
                <w:color w:val="auto"/>
                <w:kern w:val="0"/>
                <w:sz w:val="24"/>
                <w:highlight w:val="none"/>
                <w:vertAlign w:val="subscript"/>
              </w:rPr>
              <w:t>2</w:t>
            </w:r>
            <w:r>
              <w:rPr>
                <w:rFonts w:hint="default" w:ascii="Times New Roman" w:hAnsi="Times New Roman" w:cs="Times New Roman"/>
                <w:color w:val="auto"/>
                <w:kern w:val="0"/>
                <w:sz w:val="24"/>
                <w:highlight w:val="none"/>
              </w:rPr>
              <w:t>：0.6t/a    NO</w:t>
            </w:r>
            <w:r>
              <w:rPr>
                <w:rFonts w:hint="default" w:ascii="Times New Roman" w:hAnsi="Times New Roman" w:cs="Times New Roman"/>
                <w:color w:val="auto"/>
                <w:kern w:val="0"/>
                <w:sz w:val="24"/>
                <w:highlight w:val="none"/>
                <w:vertAlign w:val="subscript"/>
              </w:rPr>
              <w:t>X</w:t>
            </w:r>
            <w:r>
              <w:rPr>
                <w:rFonts w:hint="default" w:ascii="Times New Roman" w:hAnsi="Times New Roman" w:cs="Times New Roman"/>
                <w:color w:val="auto"/>
                <w:kern w:val="0"/>
                <w:sz w:val="24"/>
                <w:highlight w:val="none"/>
              </w:rPr>
              <w:t>：0.4t/a，通过排污权交易的方式获得。</w:t>
            </w:r>
          </w:p>
          <w:p>
            <w:pPr>
              <w:adjustRightInd w:val="0"/>
              <w:snapToGrid w:val="0"/>
              <w:spacing w:line="360" w:lineRule="auto"/>
              <w:jc w:val="center"/>
              <w:rPr>
                <w:rFonts w:hint="eastAsia"/>
                <w:b/>
                <w:bCs/>
                <w:color w:val="auto"/>
                <w:sz w:val="24"/>
                <w:highlight w:val="none"/>
                <w:u w:val="none"/>
              </w:rPr>
            </w:pPr>
            <w:r>
              <w:rPr>
                <w:rFonts w:hint="eastAsia"/>
                <w:b/>
                <w:bCs/>
                <w:color w:val="auto"/>
                <w:sz w:val="24"/>
                <w:highlight w:val="none"/>
                <w:u w:val="none"/>
              </w:rPr>
              <w:t>表3-</w:t>
            </w:r>
            <w:r>
              <w:rPr>
                <w:rFonts w:hint="eastAsia"/>
                <w:b/>
                <w:bCs/>
                <w:color w:val="auto"/>
                <w:sz w:val="24"/>
                <w:highlight w:val="none"/>
                <w:u w:val="none"/>
                <w:lang w:val="en-US" w:eastAsia="zh-CN"/>
              </w:rPr>
              <w:t>7</w:t>
            </w:r>
            <w:r>
              <w:rPr>
                <w:rFonts w:hint="eastAsia"/>
                <w:b/>
                <w:bCs/>
                <w:color w:val="auto"/>
                <w:sz w:val="24"/>
                <w:highlight w:val="none"/>
                <w:u w:val="none"/>
              </w:rPr>
              <w:t xml:space="preserve"> </w:t>
            </w:r>
            <w:r>
              <w:rPr>
                <w:rFonts w:hint="eastAsia"/>
                <w:b/>
                <w:bCs/>
                <w:color w:val="auto"/>
                <w:sz w:val="24"/>
                <w:highlight w:val="none"/>
                <w:u w:val="none"/>
                <w:lang w:val="en-US" w:eastAsia="zh-CN"/>
              </w:rPr>
              <w:t>本项目总量控制指标</w:t>
            </w:r>
          </w:p>
          <w:tbl>
            <w:tblPr>
              <w:tblStyle w:val="23"/>
              <w:tblW w:w="79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2658"/>
              <w:gridCol w:w="2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8" w:type="dxa"/>
                  <w:gridSpan w:val="2"/>
                  <w:noWrap w:val="0"/>
                  <w:vAlign w:val="center"/>
                </w:tcPr>
                <w:p>
                  <w:pPr>
                    <w:adjustRightInd w:val="0"/>
                    <w:snapToGrid w:val="0"/>
                    <w:jc w:val="center"/>
                    <w:rPr>
                      <w:rFonts w:hint="eastAsia" w:eastAsia="宋体"/>
                      <w:b/>
                      <w:bCs/>
                      <w:color w:val="auto"/>
                      <w:szCs w:val="21"/>
                      <w:highlight w:val="none"/>
                      <w:u w:val="none"/>
                      <w:lang w:val="en-US" w:eastAsia="zh-CN"/>
                    </w:rPr>
                  </w:pPr>
                  <w:r>
                    <w:rPr>
                      <w:rFonts w:hint="eastAsia"/>
                      <w:b/>
                      <w:bCs/>
                      <w:color w:val="auto"/>
                      <w:szCs w:val="21"/>
                      <w:highlight w:val="none"/>
                      <w:u w:val="none"/>
                      <w:lang w:val="en-US" w:eastAsia="zh-CN"/>
                    </w:rPr>
                    <w:t>污染物</w:t>
                  </w:r>
                </w:p>
              </w:tc>
              <w:tc>
                <w:tcPr>
                  <w:tcW w:w="2658" w:type="dxa"/>
                  <w:noWrap w:val="0"/>
                  <w:vAlign w:val="center"/>
                </w:tcPr>
                <w:p>
                  <w:pPr>
                    <w:adjustRightInd w:val="0"/>
                    <w:snapToGrid w:val="0"/>
                    <w:jc w:val="center"/>
                    <w:rPr>
                      <w:rFonts w:hint="default" w:eastAsia="宋体"/>
                      <w:b/>
                      <w:bCs/>
                      <w:color w:val="auto"/>
                      <w:szCs w:val="21"/>
                      <w:highlight w:val="none"/>
                      <w:u w:val="none"/>
                      <w:lang w:val="en-US" w:eastAsia="zh-CN"/>
                    </w:rPr>
                  </w:pPr>
                  <w:r>
                    <w:rPr>
                      <w:rFonts w:hint="eastAsia"/>
                      <w:b/>
                      <w:bCs/>
                      <w:color w:val="auto"/>
                      <w:szCs w:val="21"/>
                      <w:highlight w:val="none"/>
                      <w:u w:val="none"/>
                      <w:lang w:val="en-US" w:eastAsia="zh-CN"/>
                    </w:rPr>
                    <w:t>本项目排放量（t/a）</w:t>
                  </w:r>
                </w:p>
              </w:tc>
              <w:tc>
                <w:tcPr>
                  <w:tcW w:w="2658" w:type="dxa"/>
                  <w:noWrap w:val="0"/>
                  <w:vAlign w:val="center"/>
                </w:tcPr>
                <w:p>
                  <w:pPr>
                    <w:adjustRightInd w:val="0"/>
                    <w:snapToGrid w:val="0"/>
                    <w:jc w:val="center"/>
                    <w:rPr>
                      <w:rFonts w:hint="default" w:eastAsia="宋体"/>
                      <w:b/>
                      <w:bCs/>
                      <w:color w:val="auto"/>
                      <w:szCs w:val="21"/>
                      <w:highlight w:val="none"/>
                      <w:u w:val="none"/>
                      <w:lang w:val="en-US" w:eastAsia="zh-CN"/>
                    </w:rPr>
                  </w:pPr>
                  <w:r>
                    <w:rPr>
                      <w:rFonts w:hint="eastAsia"/>
                      <w:b/>
                      <w:bCs/>
                      <w:color w:val="auto"/>
                      <w:szCs w:val="21"/>
                      <w:highlight w:val="none"/>
                      <w:u w:val="none"/>
                      <w:lang w:val="en-US" w:eastAsia="zh-CN"/>
                    </w:rPr>
                    <w:t>需要交易总量（t/a）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9" w:type="dxa"/>
                  <w:vMerge w:val="restart"/>
                  <w:noWrap w:val="0"/>
                  <w:vAlign w:val="center"/>
                </w:tcPr>
                <w:p>
                  <w:pPr>
                    <w:adjustRightInd w:val="0"/>
                    <w:snapToGrid w:val="0"/>
                    <w:jc w:val="center"/>
                    <w:rPr>
                      <w:rFonts w:hint="default" w:eastAsia="宋体"/>
                      <w:color w:val="auto"/>
                      <w:szCs w:val="21"/>
                      <w:highlight w:val="none"/>
                      <w:u w:val="none"/>
                      <w:lang w:val="en-US" w:eastAsia="zh-CN"/>
                    </w:rPr>
                  </w:pPr>
                  <w:r>
                    <w:rPr>
                      <w:rFonts w:hint="eastAsia"/>
                      <w:color w:val="auto"/>
                      <w:szCs w:val="21"/>
                      <w:highlight w:val="none"/>
                      <w:u w:val="none"/>
                      <w:lang w:val="en-US" w:eastAsia="zh-CN"/>
                    </w:rPr>
                    <w:t>大气污染物</w:t>
                  </w:r>
                </w:p>
              </w:tc>
              <w:tc>
                <w:tcPr>
                  <w:tcW w:w="1329" w:type="dxa"/>
                  <w:noWrap w:val="0"/>
                  <w:vAlign w:val="center"/>
                </w:tcPr>
                <w:p>
                  <w:pPr>
                    <w:adjustRightInd w:val="0"/>
                    <w:snapToGrid w:val="0"/>
                    <w:jc w:val="center"/>
                    <w:rPr>
                      <w:b/>
                      <w:bCs/>
                      <w:color w:val="auto"/>
                      <w:szCs w:val="21"/>
                      <w:highlight w:val="none"/>
                      <w:u w:val="none"/>
                    </w:rPr>
                  </w:pPr>
                  <w:r>
                    <w:rPr>
                      <w:rFonts w:hint="default" w:ascii="Times New Roman" w:hAnsi="Times New Roman" w:cs="Times New Roman"/>
                      <w:color w:val="auto"/>
                      <w:kern w:val="0"/>
                      <w:sz w:val="24"/>
                      <w:highlight w:val="none"/>
                    </w:rPr>
                    <w:t>SO</w:t>
                  </w:r>
                  <w:r>
                    <w:rPr>
                      <w:rFonts w:hint="default" w:ascii="Times New Roman" w:hAnsi="Times New Roman" w:cs="Times New Roman"/>
                      <w:color w:val="auto"/>
                      <w:kern w:val="0"/>
                      <w:sz w:val="24"/>
                      <w:highlight w:val="none"/>
                      <w:vertAlign w:val="subscript"/>
                    </w:rPr>
                    <w:t>2</w:t>
                  </w:r>
                </w:p>
              </w:tc>
              <w:tc>
                <w:tcPr>
                  <w:tcW w:w="2658" w:type="dxa"/>
                  <w:noWrap w:val="0"/>
                  <w:vAlign w:val="center"/>
                </w:tcPr>
                <w:p>
                  <w:pPr>
                    <w:adjustRightInd w:val="0"/>
                    <w:snapToGrid w:val="0"/>
                    <w:jc w:val="center"/>
                    <w:rPr>
                      <w:rFonts w:hint="default" w:eastAsia="宋体"/>
                      <w:b w:val="0"/>
                      <w:bCs w:val="0"/>
                      <w:color w:val="auto"/>
                      <w:szCs w:val="21"/>
                      <w:highlight w:val="none"/>
                      <w:u w:val="none"/>
                      <w:lang w:val="en-US" w:eastAsia="zh-CN"/>
                    </w:rPr>
                  </w:pPr>
                  <w:r>
                    <w:rPr>
                      <w:rFonts w:hint="eastAsia"/>
                      <w:b w:val="0"/>
                      <w:bCs w:val="0"/>
                      <w:color w:val="auto"/>
                      <w:szCs w:val="21"/>
                      <w:highlight w:val="none"/>
                      <w:u w:val="none"/>
                      <w:lang w:val="en-US" w:eastAsia="zh-CN"/>
                    </w:rPr>
                    <w:t>0.51</w:t>
                  </w:r>
                </w:p>
              </w:tc>
              <w:tc>
                <w:tcPr>
                  <w:tcW w:w="2658" w:type="dxa"/>
                  <w:noWrap w:val="0"/>
                  <w:vAlign w:val="center"/>
                </w:tcPr>
                <w:p>
                  <w:pPr>
                    <w:adjustRightInd w:val="0"/>
                    <w:snapToGrid w:val="0"/>
                    <w:jc w:val="center"/>
                    <w:rPr>
                      <w:rFonts w:hint="default" w:eastAsia="宋体"/>
                      <w:b w:val="0"/>
                      <w:bCs w:val="0"/>
                      <w:color w:val="auto"/>
                      <w:szCs w:val="21"/>
                      <w:highlight w:val="none"/>
                      <w:u w:val="none"/>
                      <w:lang w:val="en-US" w:eastAsia="zh-CN"/>
                    </w:rPr>
                  </w:pPr>
                  <w:r>
                    <w:rPr>
                      <w:rFonts w:hint="eastAsia"/>
                      <w:b w:val="0"/>
                      <w:bCs w:val="0"/>
                      <w:color w:val="auto"/>
                      <w:szCs w:val="21"/>
                      <w:highlight w:val="none"/>
                      <w:u w:val="none"/>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9" w:type="dxa"/>
                  <w:vMerge w:val="continue"/>
                  <w:noWrap w:val="0"/>
                  <w:vAlign w:val="center"/>
                </w:tcPr>
                <w:p>
                  <w:pPr>
                    <w:adjustRightInd w:val="0"/>
                    <w:snapToGrid w:val="0"/>
                    <w:jc w:val="center"/>
                    <w:rPr>
                      <w:color w:val="auto"/>
                      <w:szCs w:val="21"/>
                      <w:highlight w:val="none"/>
                      <w:u w:val="none"/>
                    </w:rPr>
                  </w:pPr>
                </w:p>
              </w:tc>
              <w:tc>
                <w:tcPr>
                  <w:tcW w:w="1329" w:type="dxa"/>
                  <w:noWrap w:val="0"/>
                  <w:vAlign w:val="center"/>
                </w:tcPr>
                <w:p>
                  <w:pPr>
                    <w:adjustRightInd w:val="0"/>
                    <w:snapToGrid w:val="0"/>
                    <w:jc w:val="center"/>
                    <w:rPr>
                      <w:rFonts w:hint="eastAsia"/>
                      <w:color w:val="auto"/>
                      <w:szCs w:val="21"/>
                      <w:highlight w:val="none"/>
                      <w:u w:val="none"/>
                    </w:rPr>
                  </w:pPr>
                  <w:r>
                    <w:rPr>
                      <w:rFonts w:hint="default" w:ascii="Times New Roman" w:hAnsi="Times New Roman" w:cs="Times New Roman"/>
                      <w:color w:val="auto"/>
                      <w:kern w:val="0"/>
                      <w:sz w:val="24"/>
                      <w:highlight w:val="none"/>
                    </w:rPr>
                    <w:t>NO</w:t>
                  </w:r>
                  <w:r>
                    <w:rPr>
                      <w:rFonts w:hint="default" w:ascii="Times New Roman" w:hAnsi="Times New Roman" w:cs="Times New Roman"/>
                      <w:color w:val="auto"/>
                      <w:kern w:val="0"/>
                      <w:sz w:val="24"/>
                      <w:highlight w:val="none"/>
                      <w:vertAlign w:val="subscript"/>
                    </w:rPr>
                    <w:t>X</w:t>
                  </w:r>
                </w:p>
              </w:tc>
              <w:tc>
                <w:tcPr>
                  <w:tcW w:w="2658" w:type="dxa"/>
                  <w:noWrap w:val="0"/>
                  <w:vAlign w:val="center"/>
                </w:tcPr>
                <w:p>
                  <w:pPr>
                    <w:adjustRightInd w:val="0"/>
                    <w:snapToGrid w:val="0"/>
                    <w:jc w:val="center"/>
                    <w:rPr>
                      <w:rFonts w:hint="default" w:eastAsia="宋体"/>
                      <w:b w:val="0"/>
                      <w:bCs w:val="0"/>
                      <w:color w:val="auto"/>
                      <w:szCs w:val="21"/>
                      <w:highlight w:val="none"/>
                      <w:u w:val="none"/>
                      <w:lang w:val="en-US" w:eastAsia="zh-CN"/>
                    </w:rPr>
                  </w:pPr>
                  <w:r>
                    <w:rPr>
                      <w:rFonts w:hint="eastAsia"/>
                      <w:b w:val="0"/>
                      <w:bCs w:val="0"/>
                      <w:color w:val="auto"/>
                      <w:szCs w:val="21"/>
                      <w:highlight w:val="none"/>
                      <w:u w:val="none"/>
                      <w:lang w:val="en-US" w:eastAsia="zh-CN"/>
                    </w:rPr>
                    <w:t>0.31</w:t>
                  </w:r>
                </w:p>
              </w:tc>
              <w:tc>
                <w:tcPr>
                  <w:tcW w:w="2658" w:type="dxa"/>
                  <w:noWrap w:val="0"/>
                  <w:vAlign w:val="center"/>
                </w:tcPr>
                <w:p>
                  <w:pPr>
                    <w:adjustRightInd w:val="0"/>
                    <w:snapToGrid w:val="0"/>
                    <w:jc w:val="center"/>
                    <w:rPr>
                      <w:rFonts w:hint="default" w:eastAsia="宋体"/>
                      <w:b w:val="0"/>
                      <w:bCs w:val="0"/>
                      <w:color w:val="auto"/>
                      <w:szCs w:val="21"/>
                      <w:highlight w:val="none"/>
                      <w:u w:val="none"/>
                      <w:lang w:val="en-US" w:eastAsia="zh-CN"/>
                    </w:rPr>
                  </w:pPr>
                  <w:r>
                    <w:rPr>
                      <w:rFonts w:hint="eastAsia"/>
                      <w:b w:val="0"/>
                      <w:bCs w:val="0"/>
                      <w:color w:val="auto"/>
                      <w:szCs w:val="21"/>
                      <w:highlight w:val="none"/>
                      <w:u w:val="none"/>
                      <w:lang w:val="en-US" w:eastAsia="zh-CN"/>
                    </w:rPr>
                    <w:t>0.4</w:t>
                  </w:r>
                </w:p>
              </w:tc>
            </w:tr>
          </w:tbl>
          <w:p>
            <w:pPr>
              <w:pStyle w:val="2"/>
              <w:rPr>
                <w:rFonts w:hint="default"/>
                <w:color w:val="auto"/>
                <w:highlight w:val="none"/>
              </w:rPr>
            </w:pPr>
          </w:p>
          <w:p>
            <w:pPr>
              <w:pStyle w:val="2"/>
              <w:rPr>
                <w:rFonts w:hint="default" w:ascii="宋体" w:hAnsi="宋体" w:eastAsia="宋体" w:cs="宋体"/>
                <w:color w:val="auto"/>
                <w:kern w:val="0"/>
                <w:sz w:val="24"/>
                <w:highlight w:val="none"/>
                <w:lang w:val="en-US" w:eastAsia="zh-CN"/>
              </w:rPr>
            </w:pPr>
          </w:p>
        </w:tc>
      </w:tr>
    </w:tbl>
    <w:p>
      <w:pPr>
        <w:pStyle w:val="20"/>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bookmarkStart w:id="10" w:name="_Toc23598"/>
      <w:r>
        <w:rPr>
          <w:rFonts w:hint="eastAsia" w:ascii="黑体" w:hAnsi="黑体" w:eastAsia="黑体"/>
          <w:snapToGrid w:val="0"/>
          <w:color w:val="auto"/>
          <w:sz w:val="30"/>
          <w:szCs w:val="30"/>
          <w:highlight w:val="none"/>
        </w:rPr>
        <w:t>四、主要环境影响和保护措施</w:t>
      </w:r>
      <w:bookmarkEnd w:id="10"/>
    </w:p>
    <w:tbl>
      <w:tblPr>
        <w:tblStyle w:val="23"/>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82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58" w:type="dxa"/>
            <w:noWrap w:val="0"/>
            <w:tcMar>
              <w:left w:w="28" w:type="dxa"/>
              <w:right w:w="28" w:type="dxa"/>
            </w:tcMar>
            <w:vAlign w:val="center"/>
          </w:tcPr>
          <w:p>
            <w:pPr>
              <w:pStyle w:val="20"/>
              <w:adjustRightInd w:val="0"/>
              <w:snapToGrid w:val="0"/>
              <w:spacing w:before="0" w:beforeAutospacing="0" w:after="0" w:afterAutospacing="0"/>
              <w:jc w:val="center"/>
              <w:rPr>
                <w:rFonts w:hint="eastAsia" w:cs="宋体"/>
                <w:color w:val="auto"/>
                <w:kern w:val="2"/>
                <w:szCs w:val="24"/>
                <w:highlight w:val="none"/>
                <w:lang w:val="en-US" w:eastAsia="zh-CN"/>
              </w:rPr>
            </w:pPr>
            <w:r>
              <w:rPr>
                <w:rFonts w:hint="eastAsia" w:cs="宋体"/>
                <w:color w:val="auto"/>
                <w:kern w:val="2"/>
                <w:szCs w:val="24"/>
                <w:highlight w:val="none"/>
                <w:lang w:val="en-US" w:eastAsia="zh-CN"/>
              </w:rPr>
              <w:t>施工</w:t>
            </w:r>
          </w:p>
          <w:p>
            <w:pPr>
              <w:pStyle w:val="20"/>
              <w:adjustRightInd w:val="0"/>
              <w:snapToGrid w:val="0"/>
              <w:spacing w:before="0" w:beforeAutospacing="0" w:after="0" w:afterAutospacing="0"/>
              <w:jc w:val="center"/>
              <w:rPr>
                <w:rFonts w:hint="eastAsia" w:cs="宋体"/>
                <w:color w:val="auto"/>
                <w:kern w:val="2"/>
                <w:szCs w:val="24"/>
                <w:highlight w:val="none"/>
                <w:lang w:val="en-US" w:eastAsia="zh-CN"/>
              </w:rPr>
            </w:pPr>
            <w:r>
              <w:rPr>
                <w:rFonts w:hint="eastAsia" w:cs="宋体"/>
                <w:color w:val="auto"/>
                <w:kern w:val="2"/>
                <w:szCs w:val="24"/>
                <w:highlight w:val="none"/>
                <w:lang w:val="en-US" w:eastAsia="zh-CN"/>
              </w:rPr>
              <w:t>期环</w:t>
            </w:r>
          </w:p>
          <w:p>
            <w:pPr>
              <w:pStyle w:val="20"/>
              <w:adjustRightInd w:val="0"/>
              <w:snapToGrid w:val="0"/>
              <w:spacing w:before="0" w:beforeAutospacing="0" w:after="0" w:afterAutospacing="0"/>
              <w:jc w:val="center"/>
              <w:rPr>
                <w:rFonts w:hint="eastAsia" w:cs="宋体"/>
                <w:color w:val="auto"/>
                <w:kern w:val="2"/>
                <w:szCs w:val="24"/>
                <w:highlight w:val="none"/>
                <w:lang w:val="en-US" w:eastAsia="zh-CN"/>
              </w:rPr>
            </w:pPr>
            <w:r>
              <w:rPr>
                <w:rFonts w:hint="eastAsia" w:cs="宋体"/>
                <w:color w:val="auto"/>
                <w:kern w:val="2"/>
                <w:szCs w:val="24"/>
                <w:highlight w:val="none"/>
                <w:lang w:val="en-US" w:eastAsia="zh-CN"/>
              </w:rPr>
              <w:t>境保</w:t>
            </w:r>
          </w:p>
          <w:p>
            <w:pPr>
              <w:pStyle w:val="20"/>
              <w:adjustRightInd w:val="0"/>
              <w:snapToGrid w:val="0"/>
              <w:spacing w:before="0" w:beforeAutospacing="0" w:after="0" w:afterAutospacing="0"/>
              <w:jc w:val="center"/>
              <w:rPr>
                <w:rFonts w:hint="eastAsia" w:cs="宋体"/>
                <w:color w:val="auto"/>
                <w:kern w:val="2"/>
                <w:szCs w:val="24"/>
                <w:highlight w:val="none"/>
                <w:lang w:val="en-US" w:eastAsia="zh-CN"/>
              </w:rPr>
            </w:pPr>
            <w:r>
              <w:rPr>
                <w:rFonts w:hint="eastAsia" w:cs="宋体"/>
                <w:color w:val="auto"/>
                <w:kern w:val="2"/>
                <w:szCs w:val="24"/>
                <w:highlight w:val="none"/>
                <w:lang w:val="en-US" w:eastAsia="zh-CN"/>
              </w:rPr>
              <w:t>护措</w:t>
            </w:r>
          </w:p>
          <w:p>
            <w:pPr>
              <w:pStyle w:val="20"/>
              <w:adjustRightInd w:val="0"/>
              <w:snapToGrid w:val="0"/>
              <w:spacing w:before="0" w:beforeAutospacing="0" w:after="0" w:afterAutospacing="0"/>
              <w:jc w:val="center"/>
              <w:rPr>
                <w:rFonts w:hint="eastAsia" w:cs="宋体"/>
                <w:bCs/>
                <w:color w:val="auto"/>
                <w:kern w:val="2"/>
                <w:szCs w:val="24"/>
                <w:highlight w:val="none"/>
                <w:lang w:val="en-US" w:eastAsia="zh-CN"/>
              </w:rPr>
            </w:pPr>
            <w:r>
              <w:rPr>
                <w:rFonts w:hint="eastAsia" w:cs="宋体"/>
                <w:color w:val="auto"/>
                <w:kern w:val="2"/>
                <w:szCs w:val="24"/>
                <w:highlight w:val="none"/>
                <w:lang w:val="en-US" w:eastAsia="zh-CN"/>
              </w:rPr>
              <w:t>施</w:t>
            </w:r>
          </w:p>
        </w:tc>
        <w:tc>
          <w:tcPr>
            <w:tcW w:w="8150" w:type="dxa"/>
            <w:noWrap w:val="0"/>
            <w:vAlign w:val="center"/>
          </w:tcPr>
          <w:p>
            <w:pPr>
              <w:adjustRightInd w:val="0"/>
              <w:snapToGrid w:val="0"/>
              <w:spacing w:line="360" w:lineRule="auto"/>
              <w:ind w:firstLine="480" w:firstLineChars="200"/>
              <w:rPr>
                <w:rFonts w:ascii="宋体" w:hAnsi="宋体" w:cs="宋体"/>
                <w:bCs/>
                <w:color w:val="auto"/>
                <w:spacing w:val="-10"/>
                <w:sz w:val="24"/>
                <w:highlight w:val="none"/>
              </w:rPr>
            </w:pPr>
            <w:r>
              <w:rPr>
                <w:rFonts w:hint="eastAsia" w:ascii="Times New Roman" w:hAnsi="Times New Roman" w:eastAsia="宋体" w:cs="Times New Roman"/>
                <w:color w:val="auto"/>
                <w:sz w:val="24"/>
                <w:szCs w:val="32"/>
                <w:highlight w:val="none"/>
              </w:rPr>
              <w:t>本项目租赁现有已建的生产厂房进行生产，本项目只需要对租赁的厂房进行设备安装，将厂房改造成封闭式厂房，设置排气筒，安装环保设施等，无需开挖、清场、整地等工程。在安装设备过程中主要污染源为机械安装产生的噪声。主要防治措施有加强对安装机械设备的管理，以减轻</w:t>
            </w:r>
            <w:r>
              <w:rPr>
                <w:rFonts w:hint="eastAsia" w:ascii="Times New Roman" w:hAnsi="Times New Roman" w:eastAsia="宋体" w:cs="Times New Roman"/>
                <w:color w:val="auto"/>
                <w:sz w:val="24"/>
                <w:szCs w:val="32"/>
                <w:highlight w:val="none"/>
                <w:lang w:val="en-US" w:eastAsia="zh-CN"/>
              </w:rPr>
              <w:t>安装</w:t>
            </w:r>
            <w:r>
              <w:rPr>
                <w:rFonts w:hint="eastAsia" w:ascii="Times New Roman" w:hAnsi="Times New Roman" w:eastAsia="宋体" w:cs="Times New Roman"/>
                <w:color w:val="auto"/>
                <w:sz w:val="24"/>
                <w:szCs w:val="32"/>
                <w:highlight w:val="none"/>
              </w:rPr>
              <w:t>设备噪声的影响。安装设备的过程中会产生废包装材料，交由厂家回收带走或及时交由环卫部门清运。因此，施工期环境影响较小，故本评价不对施工期间进行分析。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0" w:hRule="atLeast"/>
          <w:jc w:val="center"/>
        </w:trPr>
        <w:tc>
          <w:tcPr>
            <w:tcW w:w="758" w:type="dxa"/>
            <w:noWrap w:val="0"/>
            <w:tcMar>
              <w:left w:w="28" w:type="dxa"/>
              <w:right w:w="28" w:type="dxa"/>
            </w:tcMar>
            <w:vAlign w:val="center"/>
          </w:tcPr>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tc>
        <w:tc>
          <w:tcPr>
            <w:tcW w:w="8150" w:type="dxa"/>
            <w:noWrap w:val="0"/>
            <w:vAlign w:val="top"/>
          </w:tcPr>
          <w:p>
            <w:pPr>
              <w:numPr>
                <w:ilvl w:val="0"/>
                <w:numId w:val="6"/>
              </w:numPr>
              <w:adjustRightInd w:val="0"/>
              <w:snapToGrid w:val="0"/>
              <w:spacing w:before="120" w:beforeLines="50" w:line="360" w:lineRule="auto"/>
              <w:ind w:firstLine="442" w:firstLineChars="200"/>
              <w:rPr>
                <w:rFonts w:ascii="宋体" w:hAnsi="宋体" w:cs="宋体"/>
                <w:b/>
                <w:color w:val="auto"/>
                <w:spacing w:val="-10"/>
                <w:sz w:val="24"/>
                <w:highlight w:val="none"/>
              </w:rPr>
            </w:pPr>
            <w:r>
              <w:rPr>
                <w:rFonts w:ascii="宋体" w:hAnsi="宋体" w:cs="宋体"/>
                <w:b/>
                <w:color w:val="auto"/>
                <w:spacing w:val="-10"/>
                <w:sz w:val="24"/>
                <w:highlight w:val="none"/>
              </w:rPr>
              <w:t>大气环境影响和保护措施</w:t>
            </w:r>
          </w:p>
          <w:p>
            <w:pPr>
              <w:spacing w:line="360" w:lineRule="auto"/>
              <w:ind w:firstLine="480" w:firstLineChars="200"/>
              <w:rPr>
                <w:color w:val="auto"/>
                <w:sz w:val="24"/>
                <w:szCs w:val="32"/>
                <w:highlight w:val="none"/>
                <w:u w:val="single"/>
              </w:rPr>
            </w:pPr>
            <w:r>
              <w:rPr>
                <w:rFonts w:hint="eastAsia"/>
                <w:color w:val="auto"/>
                <w:sz w:val="24"/>
                <w:szCs w:val="32"/>
                <w:highlight w:val="none"/>
                <w:u w:val="single"/>
              </w:rPr>
              <w:t>本项目废气为</w:t>
            </w:r>
            <w:r>
              <w:rPr>
                <w:rFonts w:hint="eastAsia"/>
                <w:color w:val="auto"/>
                <w:sz w:val="24"/>
                <w:szCs w:val="32"/>
                <w:highlight w:val="none"/>
                <w:u w:val="single"/>
                <w:lang w:val="en-US" w:eastAsia="zh-CN"/>
              </w:rPr>
              <w:t>破碎、</w:t>
            </w:r>
            <w:r>
              <w:rPr>
                <w:rFonts w:hint="eastAsia"/>
                <w:color w:val="auto"/>
                <w:sz w:val="24"/>
                <w:szCs w:val="32"/>
                <w:highlight w:val="none"/>
                <w:u w:val="single"/>
              </w:rPr>
              <w:t>粉碎、制粒工序粉尘、烘干粉尘、热风炉废气、装卸</w:t>
            </w:r>
            <w:r>
              <w:rPr>
                <w:rFonts w:hint="eastAsia"/>
                <w:color w:val="auto"/>
                <w:sz w:val="24"/>
                <w:szCs w:val="32"/>
                <w:highlight w:val="none"/>
                <w:u w:val="single"/>
                <w:lang w:eastAsia="zh-CN"/>
              </w:rPr>
              <w:t>、</w:t>
            </w:r>
            <w:r>
              <w:rPr>
                <w:rFonts w:hint="eastAsia"/>
                <w:color w:val="auto"/>
                <w:sz w:val="24"/>
                <w:szCs w:val="32"/>
                <w:highlight w:val="none"/>
                <w:u w:val="single"/>
                <w:lang w:val="en-US" w:eastAsia="zh-CN"/>
              </w:rPr>
              <w:t>转移</w:t>
            </w:r>
            <w:r>
              <w:rPr>
                <w:rFonts w:hint="eastAsia"/>
                <w:color w:val="auto"/>
                <w:sz w:val="24"/>
                <w:szCs w:val="32"/>
                <w:highlight w:val="none"/>
                <w:u w:val="single"/>
              </w:rPr>
              <w:t>粉尘。</w:t>
            </w:r>
          </w:p>
          <w:p>
            <w:pPr>
              <w:spacing w:line="360" w:lineRule="auto"/>
              <w:ind w:firstLine="482" w:firstLineChars="200"/>
              <w:rPr>
                <w:b/>
                <w:bCs/>
                <w:color w:val="auto"/>
                <w:sz w:val="24"/>
                <w:szCs w:val="32"/>
                <w:highlight w:val="none"/>
                <w:u w:val="single"/>
              </w:rPr>
            </w:pPr>
            <w:r>
              <w:rPr>
                <w:rFonts w:hint="eastAsia"/>
                <w:b/>
                <w:bCs/>
                <w:color w:val="auto"/>
                <w:sz w:val="24"/>
                <w:szCs w:val="32"/>
                <w:highlight w:val="none"/>
                <w:u w:val="single"/>
              </w:rPr>
              <w:t>1、源强核算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u w:val="single"/>
                <w:lang w:val="en-US" w:eastAsia="zh-CN"/>
              </w:rPr>
            </w:pPr>
            <w:r>
              <w:rPr>
                <w:rFonts w:hint="eastAsia"/>
                <w:color w:val="auto"/>
                <w:sz w:val="24"/>
                <w:szCs w:val="32"/>
                <w:highlight w:val="none"/>
                <w:u w:val="single"/>
              </w:rPr>
              <w:t>①</w:t>
            </w:r>
            <w:r>
              <w:rPr>
                <w:rFonts w:hint="eastAsia"/>
                <w:color w:val="auto"/>
                <w:sz w:val="24"/>
                <w:szCs w:val="32"/>
                <w:highlight w:val="none"/>
                <w:u w:val="single"/>
                <w:lang w:val="en-US" w:eastAsia="zh-CN"/>
              </w:rPr>
              <w:t>破碎、粉碎、筛分、制粒工序粉尘：本项目生产工艺有破碎、粉碎、筛分、制粒步骤。其破碎、粉碎和制粒过程中的颗粒物参照《排放源统计调查产排污核算方法和系数手册》（2021年版）“2542生物质致密成型燃料加工行业系数手册”，剪切、破碎、筛分、造粒工序颗粒物产污系数为6.69×10</w:t>
            </w:r>
            <w:r>
              <w:rPr>
                <w:rFonts w:hint="eastAsia"/>
                <w:color w:val="auto"/>
                <w:sz w:val="24"/>
                <w:szCs w:val="32"/>
                <w:highlight w:val="none"/>
                <w:u w:val="single"/>
                <w:vertAlign w:val="superscript"/>
                <w:lang w:val="en-US" w:eastAsia="zh-CN"/>
              </w:rPr>
              <w:t>-4</w:t>
            </w:r>
            <w:r>
              <w:rPr>
                <w:rFonts w:hint="eastAsia"/>
                <w:color w:val="auto"/>
                <w:sz w:val="24"/>
                <w:szCs w:val="32"/>
                <w:highlight w:val="none"/>
                <w:u w:val="single"/>
                <w:lang w:val="en-US" w:eastAsia="zh-CN"/>
              </w:rPr>
              <w:t xml:space="preserve">吨/吨-产品，本项目产品量为30000t/a，则粉尘产生量约20.07t/a。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u w:val="single"/>
              </w:rPr>
            </w:pPr>
            <w:r>
              <w:rPr>
                <w:rFonts w:hint="eastAsia"/>
                <w:color w:val="auto"/>
                <w:sz w:val="24"/>
                <w:szCs w:val="32"/>
                <w:highlight w:val="none"/>
                <w:u w:val="single"/>
              </w:rPr>
              <w:t>本项目</w:t>
            </w:r>
            <w:r>
              <w:rPr>
                <w:rFonts w:hint="eastAsia"/>
                <w:color w:val="auto"/>
                <w:sz w:val="24"/>
                <w:szCs w:val="32"/>
                <w:highlight w:val="none"/>
                <w:u w:val="single"/>
                <w:lang w:val="en-US" w:eastAsia="zh-CN"/>
              </w:rPr>
              <w:t>破碎、</w:t>
            </w:r>
            <w:r>
              <w:rPr>
                <w:rFonts w:hint="eastAsia"/>
                <w:color w:val="auto"/>
                <w:sz w:val="24"/>
                <w:szCs w:val="32"/>
                <w:highlight w:val="none"/>
                <w:u w:val="single"/>
              </w:rPr>
              <w:t>粉碎、</w:t>
            </w:r>
            <w:r>
              <w:rPr>
                <w:rFonts w:hint="eastAsia"/>
                <w:color w:val="auto"/>
                <w:sz w:val="24"/>
                <w:szCs w:val="32"/>
                <w:highlight w:val="none"/>
                <w:u w:val="single"/>
                <w:lang w:val="en-US" w:eastAsia="zh-CN"/>
              </w:rPr>
              <w:t>筛分、</w:t>
            </w:r>
            <w:r>
              <w:rPr>
                <w:rFonts w:hint="eastAsia"/>
                <w:color w:val="auto"/>
                <w:sz w:val="24"/>
                <w:szCs w:val="32"/>
                <w:highlight w:val="none"/>
                <w:u w:val="single"/>
              </w:rPr>
              <w:t>制粒等工序产生的粉尘</w:t>
            </w:r>
            <w:r>
              <w:rPr>
                <w:rFonts w:hint="eastAsia"/>
                <w:color w:val="auto"/>
                <w:sz w:val="24"/>
                <w:szCs w:val="32"/>
                <w:highlight w:val="none"/>
                <w:u w:val="single"/>
                <w:lang w:val="en-US" w:eastAsia="zh-CN"/>
              </w:rPr>
              <w:t>采取</w:t>
            </w:r>
            <w:r>
              <w:rPr>
                <w:rFonts w:hint="eastAsia"/>
                <w:color w:val="auto"/>
                <w:sz w:val="24"/>
                <w:szCs w:val="32"/>
                <w:highlight w:val="none"/>
                <w:u w:val="single"/>
              </w:rPr>
              <w:t>管道连接设备呼吸口进行收集</w:t>
            </w:r>
            <w:r>
              <w:rPr>
                <w:rFonts w:hint="eastAsia"/>
                <w:color w:val="auto"/>
                <w:sz w:val="24"/>
                <w:szCs w:val="32"/>
                <w:highlight w:val="none"/>
                <w:u w:val="single"/>
                <w:lang w:eastAsia="zh-CN"/>
              </w:rPr>
              <w:t>，</w:t>
            </w:r>
            <w:r>
              <w:rPr>
                <w:rFonts w:hint="eastAsia"/>
                <w:color w:val="auto"/>
                <w:sz w:val="24"/>
                <w:szCs w:val="32"/>
                <w:highlight w:val="none"/>
                <w:u w:val="single"/>
              </w:rPr>
              <w:t>收集效率为</w:t>
            </w:r>
            <w:r>
              <w:rPr>
                <w:rFonts w:hint="eastAsia"/>
                <w:color w:val="auto"/>
                <w:sz w:val="24"/>
                <w:szCs w:val="32"/>
                <w:highlight w:val="none"/>
                <w:u w:val="single"/>
                <w:lang w:val="en-US" w:eastAsia="zh-CN"/>
              </w:rPr>
              <w:t>95</w:t>
            </w:r>
            <w:r>
              <w:rPr>
                <w:rFonts w:hint="eastAsia"/>
                <w:color w:val="auto"/>
                <w:sz w:val="24"/>
                <w:szCs w:val="32"/>
                <w:highlight w:val="none"/>
                <w:u w:val="single"/>
              </w:rPr>
              <w:t>%，收集后经“旋风+布袋”处理后经15m高排气筒（DA001）排放，根据《排放源统计调查产排污核算方法和系数手册》（2021年版）“2542 生物质致密成型燃料加工行业系数手册”，</w:t>
            </w:r>
            <w:r>
              <w:rPr>
                <w:rFonts w:hint="eastAsia"/>
                <w:color w:val="auto"/>
                <w:sz w:val="24"/>
                <w:szCs w:val="32"/>
                <w:highlight w:val="none"/>
                <w:u w:val="single"/>
                <w:lang w:val="en-US" w:eastAsia="zh-CN"/>
              </w:rPr>
              <w:t>旋风</w:t>
            </w:r>
            <w:r>
              <w:rPr>
                <w:rFonts w:hint="eastAsia"/>
                <w:color w:val="auto"/>
                <w:sz w:val="24"/>
                <w:szCs w:val="32"/>
                <w:highlight w:val="none"/>
                <w:u w:val="single"/>
              </w:rPr>
              <w:t>除尘器处理效率以</w:t>
            </w:r>
            <w:r>
              <w:rPr>
                <w:rFonts w:hint="eastAsia"/>
                <w:color w:val="auto"/>
                <w:sz w:val="24"/>
                <w:szCs w:val="32"/>
                <w:highlight w:val="none"/>
                <w:u w:val="single"/>
                <w:lang w:val="en-US" w:eastAsia="zh-CN"/>
              </w:rPr>
              <w:t>90</w:t>
            </w:r>
            <w:r>
              <w:rPr>
                <w:rFonts w:hint="eastAsia"/>
                <w:color w:val="auto"/>
                <w:sz w:val="24"/>
                <w:szCs w:val="32"/>
                <w:highlight w:val="none"/>
                <w:u w:val="single"/>
              </w:rPr>
              <w:t>%计算</w:t>
            </w:r>
            <w:r>
              <w:rPr>
                <w:rFonts w:hint="eastAsia"/>
                <w:color w:val="auto"/>
                <w:sz w:val="24"/>
                <w:szCs w:val="32"/>
                <w:highlight w:val="none"/>
                <w:u w:val="single"/>
                <w:lang w:eastAsia="zh-CN"/>
              </w:rPr>
              <w:t>，</w:t>
            </w:r>
            <w:r>
              <w:rPr>
                <w:rFonts w:hint="eastAsia"/>
                <w:color w:val="auto"/>
                <w:sz w:val="24"/>
                <w:szCs w:val="32"/>
                <w:highlight w:val="none"/>
                <w:u w:val="single"/>
                <w:lang w:val="en-US" w:eastAsia="zh-CN"/>
              </w:rPr>
              <w:t>布袋除尘器</w:t>
            </w:r>
            <w:r>
              <w:rPr>
                <w:rFonts w:hint="eastAsia"/>
                <w:color w:val="auto"/>
                <w:sz w:val="24"/>
                <w:szCs w:val="32"/>
                <w:highlight w:val="none"/>
                <w:u w:val="single"/>
              </w:rPr>
              <w:t>以</w:t>
            </w:r>
            <w:r>
              <w:rPr>
                <w:rFonts w:hint="eastAsia"/>
                <w:color w:val="auto"/>
                <w:sz w:val="24"/>
                <w:szCs w:val="32"/>
                <w:highlight w:val="none"/>
                <w:u w:val="single"/>
                <w:lang w:val="en-US" w:eastAsia="zh-CN"/>
              </w:rPr>
              <w:t>92</w:t>
            </w:r>
            <w:r>
              <w:rPr>
                <w:rFonts w:hint="eastAsia"/>
                <w:color w:val="auto"/>
                <w:sz w:val="24"/>
                <w:szCs w:val="32"/>
                <w:highlight w:val="none"/>
                <w:u w:val="single"/>
              </w:rPr>
              <w:t>%计算</w:t>
            </w:r>
            <w:r>
              <w:rPr>
                <w:rFonts w:hint="eastAsia"/>
                <w:color w:val="auto"/>
                <w:sz w:val="24"/>
                <w:szCs w:val="32"/>
                <w:highlight w:val="none"/>
                <w:u w:val="single"/>
                <w:lang w:eastAsia="zh-CN"/>
              </w:rPr>
              <w:t>，</w:t>
            </w:r>
            <w:r>
              <w:rPr>
                <w:rFonts w:hint="eastAsia"/>
                <w:color w:val="auto"/>
                <w:sz w:val="24"/>
                <w:szCs w:val="32"/>
                <w:highlight w:val="none"/>
                <w:u w:val="single"/>
              </w:rPr>
              <w:t>则有组织粉尘量为</w:t>
            </w:r>
            <w:r>
              <w:rPr>
                <w:rFonts w:hint="eastAsia"/>
                <w:color w:val="auto"/>
                <w:sz w:val="24"/>
                <w:szCs w:val="32"/>
                <w:highlight w:val="none"/>
                <w:u w:val="single"/>
                <w:lang w:val="en-US" w:eastAsia="zh-CN"/>
              </w:rPr>
              <w:t>18.06</w:t>
            </w:r>
            <w:r>
              <w:rPr>
                <w:rFonts w:hint="eastAsia"/>
                <w:color w:val="auto"/>
                <w:sz w:val="24"/>
                <w:szCs w:val="32"/>
                <w:highlight w:val="none"/>
                <w:u w:val="single"/>
              </w:rPr>
              <w:t>t/a</w:t>
            </w:r>
            <w:r>
              <w:rPr>
                <w:rFonts w:hint="eastAsia"/>
                <w:color w:val="auto"/>
                <w:sz w:val="24"/>
                <w:szCs w:val="32"/>
                <w:highlight w:val="none"/>
                <w:u w:val="single"/>
                <w:lang w:eastAsia="zh-CN"/>
              </w:rPr>
              <w:t>，</w:t>
            </w:r>
            <w:r>
              <w:rPr>
                <w:rFonts w:hint="eastAsia"/>
                <w:color w:val="auto"/>
                <w:sz w:val="24"/>
                <w:szCs w:val="32"/>
                <w:highlight w:val="none"/>
                <w:u w:val="single"/>
              </w:rPr>
              <w:t>风机风量为</w:t>
            </w:r>
            <w:r>
              <w:rPr>
                <w:rFonts w:hint="eastAsia"/>
                <w:color w:val="auto"/>
                <w:sz w:val="24"/>
                <w:szCs w:val="32"/>
                <w:highlight w:val="none"/>
                <w:u w:val="single"/>
                <w:lang w:val="en-US" w:eastAsia="zh-CN"/>
              </w:rPr>
              <w:t>10000</w:t>
            </w:r>
            <w:r>
              <w:rPr>
                <w:rFonts w:hint="eastAsia"/>
                <w:color w:val="auto"/>
                <w:sz w:val="24"/>
                <w:szCs w:val="32"/>
                <w:highlight w:val="none"/>
                <w:u w:val="single"/>
              </w:rPr>
              <w:t>m</w:t>
            </w:r>
            <w:r>
              <w:rPr>
                <w:rFonts w:hint="eastAsia"/>
                <w:color w:val="auto"/>
                <w:sz w:val="24"/>
                <w:szCs w:val="32"/>
                <w:highlight w:val="none"/>
                <w:u w:val="single"/>
                <w:vertAlign w:val="superscript"/>
              </w:rPr>
              <w:t>3</w:t>
            </w:r>
            <w:r>
              <w:rPr>
                <w:rFonts w:hint="eastAsia"/>
                <w:color w:val="auto"/>
                <w:sz w:val="24"/>
                <w:szCs w:val="32"/>
                <w:highlight w:val="none"/>
                <w:u w:val="single"/>
              </w:rPr>
              <w:t>/h</w:t>
            </w:r>
            <w:r>
              <w:rPr>
                <w:rFonts w:hint="eastAsia"/>
                <w:color w:val="auto"/>
                <w:sz w:val="24"/>
                <w:szCs w:val="32"/>
                <w:highlight w:val="none"/>
                <w:u w:val="single"/>
                <w:lang w:eastAsia="zh-CN"/>
              </w:rPr>
              <w:t>，</w:t>
            </w:r>
            <w:r>
              <w:rPr>
                <w:rFonts w:hint="eastAsia"/>
                <w:color w:val="auto"/>
                <w:sz w:val="24"/>
                <w:szCs w:val="32"/>
                <w:highlight w:val="none"/>
                <w:u w:val="single"/>
              </w:rPr>
              <w:t>则经</w:t>
            </w:r>
            <w:r>
              <w:rPr>
                <w:rFonts w:hint="eastAsia"/>
                <w:color w:val="auto"/>
                <w:sz w:val="24"/>
                <w:szCs w:val="32"/>
                <w:highlight w:val="none"/>
                <w:u w:val="single"/>
                <w:lang w:val="en-US" w:eastAsia="zh-CN"/>
              </w:rPr>
              <w:t>处理后</w:t>
            </w:r>
            <w:r>
              <w:rPr>
                <w:rFonts w:hint="eastAsia"/>
                <w:color w:val="auto"/>
                <w:sz w:val="24"/>
                <w:szCs w:val="32"/>
                <w:highlight w:val="none"/>
                <w:u w:val="single"/>
              </w:rPr>
              <w:t>有组织粉尘排放量为</w:t>
            </w:r>
            <w:r>
              <w:rPr>
                <w:rFonts w:hint="eastAsia"/>
                <w:color w:val="auto"/>
                <w:sz w:val="24"/>
                <w:szCs w:val="32"/>
                <w:highlight w:val="none"/>
                <w:u w:val="single"/>
                <w:lang w:val="en-US" w:eastAsia="zh-CN"/>
              </w:rPr>
              <w:t>0.14</w:t>
            </w:r>
            <w:r>
              <w:rPr>
                <w:rFonts w:hint="eastAsia"/>
                <w:color w:val="auto"/>
                <w:sz w:val="24"/>
                <w:szCs w:val="32"/>
                <w:highlight w:val="none"/>
                <w:u w:val="single"/>
              </w:rPr>
              <w:t>t/a（0.</w:t>
            </w:r>
            <w:r>
              <w:rPr>
                <w:rFonts w:hint="eastAsia"/>
                <w:color w:val="auto"/>
                <w:sz w:val="24"/>
                <w:szCs w:val="32"/>
                <w:highlight w:val="none"/>
                <w:u w:val="single"/>
                <w:lang w:val="en-US" w:eastAsia="zh-CN"/>
              </w:rPr>
              <w:t>05</w:t>
            </w:r>
            <w:r>
              <w:rPr>
                <w:rFonts w:hint="eastAsia"/>
                <w:color w:val="auto"/>
                <w:sz w:val="24"/>
                <w:szCs w:val="32"/>
                <w:highlight w:val="none"/>
                <w:u w:val="single"/>
              </w:rPr>
              <w:t>kg/h），排放浓度为</w:t>
            </w:r>
            <w:r>
              <w:rPr>
                <w:rFonts w:hint="eastAsia"/>
                <w:color w:val="auto"/>
                <w:sz w:val="24"/>
                <w:szCs w:val="32"/>
                <w:highlight w:val="none"/>
                <w:u w:val="single"/>
                <w:lang w:val="en-US" w:eastAsia="zh-CN"/>
              </w:rPr>
              <w:t>3.3</w:t>
            </w:r>
            <w:r>
              <w:rPr>
                <w:rFonts w:hint="eastAsia"/>
                <w:color w:val="auto"/>
                <w:sz w:val="24"/>
                <w:szCs w:val="32"/>
                <w:highlight w:val="none"/>
                <w:u w:val="single"/>
              </w:rPr>
              <w:t>mg/m</w:t>
            </w:r>
            <w:r>
              <w:rPr>
                <w:rFonts w:hint="eastAsia"/>
                <w:color w:val="auto"/>
                <w:sz w:val="24"/>
                <w:szCs w:val="32"/>
                <w:highlight w:val="none"/>
                <w:u w:val="single"/>
                <w:vertAlign w:val="superscript"/>
              </w:rPr>
              <w:t>3</w:t>
            </w:r>
            <w:r>
              <w:rPr>
                <w:rFonts w:hint="eastAsia"/>
                <w:color w:val="auto"/>
                <w:sz w:val="24"/>
                <w:szCs w:val="32"/>
                <w:highlight w:val="none"/>
                <w:u w:val="single"/>
              </w:rPr>
              <w:t>；未收集的粉尘量为</w:t>
            </w:r>
            <w:r>
              <w:rPr>
                <w:rFonts w:hint="eastAsia"/>
                <w:color w:val="auto"/>
                <w:sz w:val="24"/>
                <w:szCs w:val="32"/>
                <w:highlight w:val="none"/>
                <w:u w:val="single"/>
                <w:lang w:val="en-US" w:eastAsia="zh-CN"/>
              </w:rPr>
              <w:t>2.01</w:t>
            </w:r>
            <w:r>
              <w:rPr>
                <w:rFonts w:hint="eastAsia"/>
                <w:color w:val="auto"/>
                <w:sz w:val="24"/>
                <w:szCs w:val="32"/>
                <w:highlight w:val="none"/>
                <w:u w:val="single"/>
              </w:rPr>
              <w:t>t/a（</w:t>
            </w:r>
            <w:r>
              <w:rPr>
                <w:rFonts w:hint="eastAsia"/>
                <w:color w:val="auto"/>
                <w:sz w:val="24"/>
                <w:szCs w:val="32"/>
                <w:highlight w:val="none"/>
                <w:u w:val="single"/>
                <w:lang w:val="en-US" w:eastAsia="zh-CN"/>
              </w:rPr>
              <w:t>0.67</w:t>
            </w:r>
            <w:r>
              <w:rPr>
                <w:rFonts w:hint="eastAsia"/>
                <w:color w:val="auto"/>
                <w:sz w:val="24"/>
                <w:szCs w:val="32"/>
                <w:highlight w:val="none"/>
                <w:u w:val="single"/>
              </w:rPr>
              <w:t>kg/h），呈无组织形式排放</w:t>
            </w:r>
            <w:r>
              <w:rPr>
                <w:rFonts w:hint="eastAsia"/>
                <w:color w:val="auto"/>
                <w:sz w:val="24"/>
                <w:szCs w:val="32"/>
                <w:highlight w:val="none"/>
                <w:u w:val="single"/>
                <w:lang w:eastAsia="zh-CN"/>
              </w:rPr>
              <w:t>，</w:t>
            </w:r>
            <w:r>
              <w:rPr>
                <w:rFonts w:hint="eastAsia"/>
                <w:color w:val="auto"/>
                <w:sz w:val="24"/>
                <w:szCs w:val="32"/>
                <w:highlight w:val="none"/>
                <w:u w:val="single"/>
                <w:lang w:val="en-US" w:eastAsia="zh-CN"/>
              </w:rPr>
              <w:t>大部分颗粒物沉降在车间内</w:t>
            </w:r>
            <w:r>
              <w:rPr>
                <w:rFonts w:hint="eastAsia"/>
                <w:color w:val="auto"/>
                <w:sz w:val="24"/>
                <w:szCs w:val="32"/>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u w:val="single"/>
              </w:rPr>
            </w:pPr>
            <w:r>
              <w:rPr>
                <w:rFonts w:hint="eastAsia" w:ascii="Times New Roman" w:hAnsi="Times New Roman" w:eastAsia="宋体" w:cs="Times New Roman"/>
                <w:color w:val="auto"/>
                <w:sz w:val="24"/>
                <w:szCs w:val="32"/>
                <w:highlight w:val="none"/>
                <w:u w:val="single"/>
                <w:lang w:val="en-US" w:eastAsia="zh-CN"/>
              </w:rPr>
              <w:t>环评要求企业场地建成封闭结构厂房，粉碎、筛分、制粒等工序间物料运输采用封闭式的输送带输送转运</w:t>
            </w:r>
            <w:r>
              <w:rPr>
                <w:rFonts w:hint="eastAsia" w:cs="Times New Roman"/>
                <w:color w:val="auto"/>
                <w:sz w:val="24"/>
                <w:szCs w:val="32"/>
                <w:highlight w:val="none"/>
                <w:u w:val="single"/>
                <w:lang w:val="en-US" w:eastAsia="zh-CN"/>
              </w:rPr>
              <w:t>，</w:t>
            </w:r>
            <w:r>
              <w:rPr>
                <w:rFonts w:hint="eastAsia" w:ascii="Times New Roman" w:hAnsi="Times New Roman" w:eastAsia="宋体" w:cs="Times New Roman"/>
                <w:color w:val="auto"/>
                <w:sz w:val="24"/>
                <w:szCs w:val="32"/>
                <w:highlight w:val="none"/>
                <w:u w:val="single"/>
                <w:lang w:val="en-US" w:eastAsia="zh-CN"/>
              </w:rPr>
              <w:t>可控制无组织粉尘的排放量，控制效率约80%，则排入外环境的粉尘排放量为0.4t/a。</w:t>
            </w:r>
          </w:p>
          <w:p>
            <w:pPr>
              <w:spacing w:line="360" w:lineRule="auto"/>
              <w:ind w:firstLine="480" w:firstLineChars="200"/>
              <w:rPr>
                <w:rFonts w:hint="default" w:eastAsia="宋体"/>
                <w:color w:val="auto"/>
                <w:sz w:val="24"/>
                <w:szCs w:val="32"/>
                <w:highlight w:val="none"/>
                <w:u w:val="single"/>
                <w:lang w:val="en-US" w:eastAsia="zh-CN"/>
              </w:rPr>
            </w:pPr>
            <w:r>
              <w:rPr>
                <w:rFonts w:hint="eastAsia"/>
                <w:color w:val="auto"/>
                <w:sz w:val="24"/>
                <w:szCs w:val="32"/>
                <w:highlight w:val="none"/>
                <w:u w:val="single"/>
              </w:rPr>
              <w:fldChar w:fldCharType="begin"/>
            </w:r>
            <w:r>
              <w:rPr>
                <w:rFonts w:hint="eastAsia"/>
                <w:color w:val="auto"/>
                <w:sz w:val="24"/>
                <w:szCs w:val="32"/>
                <w:highlight w:val="none"/>
                <w:u w:val="single"/>
              </w:rPr>
              <w:instrText xml:space="preserve"> = 2 \* GB3 \* MERGEFORMAT </w:instrText>
            </w:r>
            <w:r>
              <w:rPr>
                <w:rFonts w:hint="eastAsia"/>
                <w:color w:val="auto"/>
                <w:sz w:val="24"/>
                <w:szCs w:val="32"/>
                <w:highlight w:val="none"/>
                <w:u w:val="single"/>
              </w:rPr>
              <w:fldChar w:fldCharType="separate"/>
            </w:r>
            <w:r>
              <w:rPr>
                <w:color w:val="auto"/>
                <w:highlight w:val="none"/>
                <w:u w:val="single"/>
              </w:rPr>
              <w:t>②</w:t>
            </w:r>
            <w:r>
              <w:rPr>
                <w:rFonts w:hint="eastAsia"/>
                <w:color w:val="auto"/>
                <w:sz w:val="24"/>
                <w:szCs w:val="32"/>
                <w:highlight w:val="none"/>
                <w:u w:val="single"/>
              </w:rPr>
              <w:fldChar w:fldCharType="end"/>
            </w:r>
            <w:r>
              <w:rPr>
                <w:rFonts w:hint="eastAsia"/>
                <w:color w:val="auto"/>
                <w:sz w:val="24"/>
                <w:szCs w:val="32"/>
                <w:highlight w:val="none"/>
                <w:u w:val="single"/>
                <w:lang w:val="en-US" w:eastAsia="zh-CN"/>
              </w:rPr>
              <w:t>烘干粉尘</w:t>
            </w:r>
          </w:p>
          <w:p>
            <w:pPr>
              <w:spacing w:line="360" w:lineRule="auto"/>
              <w:ind w:firstLine="480" w:firstLineChars="200"/>
              <w:rPr>
                <w:rFonts w:hint="eastAsia"/>
                <w:color w:val="auto"/>
                <w:sz w:val="24"/>
                <w:szCs w:val="32"/>
                <w:highlight w:val="none"/>
                <w:u w:val="single"/>
              </w:rPr>
            </w:pPr>
            <w:r>
              <w:rPr>
                <w:rFonts w:hint="eastAsia"/>
                <w:color w:val="auto"/>
                <w:sz w:val="24"/>
                <w:szCs w:val="32"/>
                <w:highlight w:val="none"/>
                <w:u w:val="single"/>
              </w:rPr>
              <w:t>项目在烘干过程中会产生粉尘，根据企业介绍，烘干时间为</w:t>
            </w:r>
            <w:r>
              <w:rPr>
                <w:rFonts w:hint="eastAsia"/>
                <w:color w:val="auto"/>
                <w:sz w:val="24"/>
                <w:szCs w:val="32"/>
                <w:highlight w:val="none"/>
                <w:u w:val="single"/>
                <w:lang w:val="en-US" w:eastAsia="zh-CN"/>
              </w:rPr>
              <w:t>3000</w:t>
            </w:r>
            <w:r>
              <w:rPr>
                <w:rFonts w:hint="eastAsia"/>
                <w:color w:val="auto"/>
                <w:sz w:val="24"/>
                <w:szCs w:val="32"/>
                <w:highlight w:val="none"/>
                <w:u w:val="single"/>
              </w:rPr>
              <w:t>小时。烘干工序采用全封闭式收集</w:t>
            </w:r>
            <w:r>
              <w:rPr>
                <w:rFonts w:hint="eastAsia"/>
                <w:color w:val="auto"/>
                <w:sz w:val="24"/>
                <w:szCs w:val="32"/>
                <w:highlight w:val="none"/>
                <w:u w:val="single"/>
                <w:lang w:eastAsia="zh-CN"/>
              </w:rPr>
              <w:t>，</w:t>
            </w:r>
            <w:r>
              <w:rPr>
                <w:rFonts w:hint="eastAsia"/>
                <w:color w:val="auto"/>
                <w:sz w:val="24"/>
                <w:szCs w:val="32"/>
                <w:highlight w:val="none"/>
                <w:u w:val="single"/>
              </w:rPr>
              <w:t>收集的粉尘经“旋风+布袋”处理后通过15m高排气筒（DA00</w:t>
            </w:r>
            <w:r>
              <w:rPr>
                <w:rFonts w:hint="eastAsia"/>
                <w:color w:val="auto"/>
                <w:sz w:val="24"/>
                <w:szCs w:val="32"/>
                <w:highlight w:val="none"/>
                <w:u w:val="single"/>
                <w:lang w:val="en-US" w:eastAsia="zh-CN"/>
              </w:rPr>
              <w:t>1</w:t>
            </w:r>
            <w:r>
              <w:rPr>
                <w:rFonts w:hint="eastAsia"/>
                <w:color w:val="auto"/>
                <w:sz w:val="24"/>
                <w:szCs w:val="32"/>
                <w:highlight w:val="none"/>
                <w:u w:val="single"/>
              </w:rPr>
              <w:t>）排放。</w:t>
            </w:r>
          </w:p>
          <w:p>
            <w:pPr>
              <w:spacing w:line="360" w:lineRule="auto"/>
              <w:ind w:firstLine="480" w:firstLineChars="200"/>
              <w:rPr>
                <w:rFonts w:hint="eastAsia"/>
                <w:color w:val="auto"/>
                <w:sz w:val="24"/>
                <w:szCs w:val="32"/>
                <w:highlight w:val="none"/>
                <w:u w:val="single"/>
              </w:rPr>
            </w:pPr>
            <w:r>
              <w:rPr>
                <w:rFonts w:hint="eastAsia"/>
                <w:color w:val="auto"/>
                <w:sz w:val="24"/>
                <w:szCs w:val="32"/>
                <w:highlight w:val="none"/>
                <w:u w:val="single"/>
              </w:rPr>
              <w:t>根据《排放源统计调查产排污核算方法和系数手册》（2021年版）“2542生物质致密成型燃料加工行业系数手册”，烘干工序颗粒物产污系数为4.01×10</w:t>
            </w:r>
            <w:r>
              <w:rPr>
                <w:rFonts w:hint="eastAsia"/>
                <w:color w:val="auto"/>
                <w:sz w:val="24"/>
                <w:szCs w:val="32"/>
                <w:highlight w:val="none"/>
                <w:u w:val="single"/>
                <w:vertAlign w:val="superscript"/>
              </w:rPr>
              <w:t>-3</w:t>
            </w:r>
            <w:r>
              <w:rPr>
                <w:rFonts w:hint="eastAsia"/>
                <w:color w:val="auto"/>
                <w:sz w:val="24"/>
                <w:szCs w:val="32"/>
                <w:highlight w:val="none"/>
                <w:u w:val="single"/>
              </w:rPr>
              <w:t>吨/吨-产品，本项目产品量为</w:t>
            </w:r>
            <w:r>
              <w:rPr>
                <w:rFonts w:hint="eastAsia"/>
                <w:color w:val="auto"/>
                <w:sz w:val="24"/>
                <w:szCs w:val="32"/>
                <w:highlight w:val="none"/>
                <w:u w:val="single"/>
                <w:lang w:val="en-US" w:eastAsia="zh-CN"/>
              </w:rPr>
              <w:t>30000</w:t>
            </w:r>
            <w:r>
              <w:rPr>
                <w:rFonts w:hint="eastAsia"/>
                <w:color w:val="auto"/>
                <w:sz w:val="24"/>
                <w:szCs w:val="32"/>
                <w:highlight w:val="none"/>
                <w:u w:val="single"/>
              </w:rPr>
              <w:t>t/a，年</w:t>
            </w:r>
            <w:r>
              <w:rPr>
                <w:rFonts w:hint="eastAsia"/>
                <w:color w:val="auto"/>
                <w:sz w:val="24"/>
                <w:szCs w:val="32"/>
                <w:highlight w:val="none"/>
                <w:u w:val="single"/>
                <w:lang w:val="en-US" w:eastAsia="zh-CN"/>
              </w:rPr>
              <w:t>烘干</w:t>
            </w:r>
            <w:r>
              <w:rPr>
                <w:rFonts w:hint="eastAsia"/>
                <w:color w:val="auto"/>
                <w:sz w:val="24"/>
                <w:szCs w:val="32"/>
                <w:highlight w:val="none"/>
                <w:u w:val="single"/>
              </w:rPr>
              <w:t>时间</w:t>
            </w:r>
            <w:r>
              <w:rPr>
                <w:rFonts w:hint="eastAsia"/>
                <w:color w:val="auto"/>
                <w:sz w:val="24"/>
                <w:szCs w:val="32"/>
                <w:highlight w:val="none"/>
                <w:u w:val="single"/>
                <w:lang w:val="en-US" w:eastAsia="zh-CN"/>
              </w:rPr>
              <w:t>3000小时</w:t>
            </w:r>
            <w:r>
              <w:rPr>
                <w:rFonts w:hint="eastAsia"/>
                <w:color w:val="auto"/>
                <w:sz w:val="24"/>
                <w:szCs w:val="32"/>
                <w:highlight w:val="none"/>
                <w:u w:val="single"/>
              </w:rPr>
              <w:t>，有组织粉尘产生量为</w:t>
            </w:r>
            <w:r>
              <w:rPr>
                <w:rFonts w:hint="eastAsia"/>
                <w:color w:val="auto"/>
                <w:sz w:val="24"/>
                <w:szCs w:val="32"/>
                <w:highlight w:val="none"/>
                <w:u w:val="single"/>
                <w:lang w:val="en-US" w:eastAsia="zh-CN"/>
              </w:rPr>
              <w:t>120.3</w:t>
            </w:r>
            <w:r>
              <w:rPr>
                <w:rFonts w:hint="eastAsia"/>
                <w:color w:val="auto"/>
                <w:sz w:val="24"/>
                <w:szCs w:val="32"/>
                <w:highlight w:val="none"/>
                <w:u w:val="single"/>
              </w:rPr>
              <w:t>t/a，产生速率为</w:t>
            </w:r>
            <w:r>
              <w:rPr>
                <w:rFonts w:hint="eastAsia"/>
                <w:color w:val="auto"/>
                <w:sz w:val="24"/>
                <w:szCs w:val="32"/>
                <w:highlight w:val="none"/>
                <w:u w:val="single"/>
                <w:lang w:val="en-US" w:eastAsia="zh-CN"/>
              </w:rPr>
              <w:t>40.1</w:t>
            </w:r>
            <w:r>
              <w:rPr>
                <w:rFonts w:hint="eastAsia"/>
                <w:color w:val="auto"/>
                <w:sz w:val="24"/>
                <w:szCs w:val="32"/>
                <w:highlight w:val="none"/>
                <w:u w:val="single"/>
              </w:rPr>
              <w:t>kg/h</w:t>
            </w:r>
            <w:r>
              <w:rPr>
                <w:rFonts w:hint="eastAsia"/>
                <w:color w:val="auto"/>
                <w:sz w:val="24"/>
                <w:szCs w:val="32"/>
                <w:highlight w:val="none"/>
                <w:u w:val="single"/>
                <w:lang w:eastAsia="zh-CN"/>
              </w:rPr>
              <w:t>。</w:t>
            </w:r>
            <w:r>
              <w:rPr>
                <w:rFonts w:hint="eastAsia"/>
                <w:color w:val="auto"/>
                <w:sz w:val="24"/>
                <w:szCs w:val="32"/>
                <w:highlight w:val="none"/>
                <w:u w:val="single"/>
              </w:rPr>
              <w:t>根据《排放源统计调查产排污核算方法和系数手册》（2021年版）“2542 生物质致密成型燃料加工行业系数手册”，</w:t>
            </w:r>
            <w:r>
              <w:rPr>
                <w:rFonts w:hint="eastAsia"/>
                <w:color w:val="auto"/>
                <w:sz w:val="24"/>
                <w:szCs w:val="32"/>
                <w:highlight w:val="none"/>
                <w:u w:val="single"/>
                <w:lang w:val="en-US" w:eastAsia="zh-CN"/>
              </w:rPr>
              <w:t>旋风</w:t>
            </w:r>
            <w:r>
              <w:rPr>
                <w:rFonts w:hint="eastAsia"/>
                <w:color w:val="auto"/>
                <w:sz w:val="24"/>
                <w:szCs w:val="32"/>
                <w:highlight w:val="none"/>
                <w:u w:val="single"/>
              </w:rPr>
              <w:t>除尘器处理效率以</w:t>
            </w:r>
            <w:r>
              <w:rPr>
                <w:rFonts w:hint="eastAsia"/>
                <w:color w:val="auto"/>
                <w:sz w:val="24"/>
                <w:szCs w:val="32"/>
                <w:highlight w:val="none"/>
                <w:u w:val="single"/>
                <w:lang w:val="en-US" w:eastAsia="zh-CN"/>
              </w:rPr>
              <w:t>90</w:t>
            </w:r>
            <w:r>
              <w:rPr>
                <w:rFonts w:hint="eastAsia"/>
                <w:color w:val="auto"/>
                <w:sz w:val="24"/>
                <w:szCs w:val="32"/>
                <w:highlight w:val="none"/>
                <w:u w:val="single"/>
              </w:rPr>
              <w:t>%计算</w:t>
            </w:r>
            <w:r>
              <w:rPr>
                <w:rFonts w:hint="eastAsia"/>
                <w:color w:val="auto"/>
                <w:sz w:val="24"/>
                <w:szCs w:val="32"/>
                <w:highlight w:val="none"/>
                <w:u w:val="single"/>
                <w:lang w:eastAsia="zh-CN"/>
              </w:rPr>
              <w:t>，</w:t>
            </w:r>
            <w:r>
              <w:rPr>
                <w:rFonts w:hint="eastAsia"/>
                <w:color w:val="auto"/>
                <w:sz w:val="24"/>
                <w:szCs w:val="32"/>
                <w:highlight w:val="none"/>
                <w:u w:val="single"/>
                <w:lang w:val="en-US" w:eastAsia="zh-CN"/>
              </w:rPr>
              <w:t>布袋除尘器</w:t>
            </w:r>
            <w:r>
              <w:rPr>
                <w:rFonts w:hint="eastAsia"/>
                <w:color w:val="auto"/>
                <w:sz w:val="24"/>
                <w:szCs w:val="32"/>
                <w:highlight w:val="none"/>
                <w:u w:val="single"/>
              </w:rPr>
              <w:t>以</w:t>
            </w:r>
            <w:r>
              <w:rPr>
                <w:rFonts w:hint="eastAsia"/>
                <w:color w:val="auto"/>
                <w:sz w:val="24"/>
                <w:szCs w:val="32"/>
                <w:highlight w:val="none"/>
                <w:u w:val="single"/>
                <w:lang w:val="en-US" w:eastAsia="zh-CN"/>
              </w:rPr>
              <w:t>92</w:t>
            </w:r>
            <w:r>
              <w:rPr>
                <w:rFonts w:hint="eastAsia"/>
                <w:color w:val="auto"/>
                <w:sz w:val="24"/>
                <w:szCs w:val="32"/>
                <w:highlight w:val="none"/>
                <w:u w:val="single"/>
              </w:rPr>
              <w:t>%计算</w:t>
            </w:r>
            <w:r>
              <w:rPr>
                <w:rFonts w:hint="eastAsia"/>
                <w:color w:val="auto"/>
                <w:sz w:val="24"/>
                <w:szCs w:val="32"/>
                <w:highlight w:val="none"/>
                <w:u w:val="single"/>
                <w:lang w:eastAsia="zh-CN"/>
              </w:rPr>
              <w:t>，</w:t>
            </w:r>
            <w:r>
              <w:rPr>
                <w:rFonts w:hint="eastAsia"/>
                <w:color w:val="auto"/>
                <w:sz w:val="24"/>
                <w:szCs w:val="32"/>
                <w:highlight w:val="none"/>
                <w:u w:val="single"/>
              </w:rPr>
              <w:t>风机风量为</w:t>
            </w:r>
            <w:r>
              <w:rPr>
                <w:rFonts w:hint="eastAsia"/>
                <w:color w:val="auto"/>
                <w:sz w:val="24"/>
                <w:szCs w:val="32"/>
                <w:highlight w:val="none"/>
                <w:u w:val="single"/>
                <w:lang w:val="en-US" w:eastAsia="zh-CN"/>
              </w:rPr>
              <w:t>15</w:t>
            </w:r>
            <w:r>
              <w:rPr>
                <w:rFonts w:hint="eastAsia"/>
                <w:color w:val="auto"/>
                <w:sz w:val="24"/>
                <w:szCs w:val="32"/>
                <w:highlight w:val="none"/>
                <w:u w:val="single"/>
              </w:rPr>
              <w:t>000m</w:t>
            </w:r>
            <w:r>
              <w:rPr>
                <w:rFonts w:hint="eastAsia"/>
                <w:color w:val="auto"/>
                <w:sz w:val="24"/>
                <w:szCs w:val="32"/>
                <w:highlight w:val="none"/>
                <w:u w:val="single"/>
                <w:vertAlign w:val="superscript"/>
              </w:rPr>
              <w:t>3</w:t>
            </w:r>
            <w:r>
              <w:rPr>
                <w:rFonts w:hint="eastAsia"/>
                <w:color w:val="auto"/>
                <w:sz w:val="24"/>
                <w:szCs w:val="32"/>
                <w:highlight w:val="none"/>
                <w:u w:val="single"/>
              </w:rPr>
              <w:t>/h，则经</w:t>
            </w:r>
            <w:r>
              <w:rPr>
                <w:rFonts w:hint="eastAsia"/>
                <w:color w:val="auto"/>
                <w:sz w:val="24"/>
                <w:szCs w:val="32"/>
                <w:highlight w:val="none"/>
                <w:u w:val="single"/>
                <w:lang w:val="en-US" w:eastAsia="zh-CN"/>
              </w:rPr>
              <w:t>处理</w:t>
            </w:r>
            <w:r>
              <w:rPr>
                <w:rFonts w:hint="eastAsia"/>
                <w:color w:val="auto"/>
                <w:sz w:val="24"/>
                <w:szCs w:val="32"/>
                <w:highlight w:val="none"/>
                <w:u w:val="single"/>
              </w:rPr>
              <w:t>后有组织粉尘排放量为</w:t>
            </w:r>
            <w:r>
              <w:rPr>
                <w:rFonts w:hint="eastAsia"/>
                <w:color w:val="auto"/>
                <w:sz w:val="24"/>
                <w:szCs w:val="32"/>
                <w:highlight w:val="none"/>
                <w:u w:val="single"/>
                <w:lang w:val="en-US" w:eastAsia="zh-CN"/>
              </w:rPr>
              <w:t>0.96</w:t>
            </w:r>
            <w:r>
              <w:rPr>
                <w:rFonts w:hint="eastAsia"/>
                <w:color w:val="auto"/>
                <w:sz w:val="24"/>
                <w:szCs w:val="32"/>
                <w:highlight w:val="none"/>
                <w:u w:val="single"/>
              </w:rPr>
              <w:t>t/a（</w:t>
            </w:r>
            <w:r>
              <w:rPr>
                <w:rFonts w:hint="eastAsia"/>
                <w:color w:val="auto"/>
                <w:sz w:val="24"/>
                <w:szCs w:val="32"/>
                <w:highlight w:val="none"/>
                <w:u w:val="single"/>
                <w:lang w:val="en-US" w:eastAsia="zh-CN"/>
              </w:rPr>
              <w:t>0.32</w:t>
            </w:r>
            <w:r>
              <w:rPr>
                <w:rFonts w:hint="eastAsia"/>
                <w:color w:val="auto"/>
                <w:sz w:val="24"/>
                <w:szCs w:val="32"/>
                <w:highlight w:val="none"/>
                <w:u w:val="single"/>
              </w:rPr>
              <w:t>kg/h），排放浓度为</w:t>
            </w:r>
            <w:r>
              <w:rPr>
                <w:rFonts w:hint="eastAsia"/>
                <w:color w:val="auto"/>
                <w:sz w:val="24"/>
                <w:szCs w:val="32"/>
                <w:highlight w:val="none"/>
                <w:u w:val="single"/>
                <w:lang w:val="en-US" w:eastAsia="zh-CN"/>
              </w:rPr>
              <w:t>21</w:t>
            </w:r>
            <w:r>
              <w:rPr>
                <w:rFonts w:hint="eastAsia"/>
                <w:color w:val="auto"/>
                <w:sz w:val="24"/>
                <w:szCs w:val="32"/>
                <w:highlight w:val="none"/>
                <w:u w:val="single"/>
              </w:rPr>
              <w:t>mg/m</w:t>
            </w:r>
            <w:r>
              <w:rPr>
                <w:rFonts w:hint="eastAsia"/>
                <w:color w:val="auto"/>
                <w:sz w:val="24"/>
                <w:szCs w:val="32"/>
                <w:highlight w:val="none"/>
                <w:u w:val="single"/>
                <w:vertAlign w:val="superscript"/>
              </w:rPr>
              <w:t>3</w:t>
            </w:r>
            <w:r>
              <w:rPr>
                <w:rFonts w:hint="eastAsia"/>
                <w:color w:val="auto"/>
                <w:sz w:val="24"/>
                <w:szCs w:val="32"/>
                <w:highlight w:val="none"/>
                <w:u w:val="single"/>
              </w:rPr>
              <w:t>。</w:t>
            </w:r>
          </w:p>
          <w:p>
            <w:pPr>
              <w:spacing w:line="360" w:lineRule="auto"/>
              <w:ind w:firstLine="480" w:firstLineChars="200"/>
              <w:rPr>
                <w:rFonts w:hint="default" w:ascii="Times New Roman" w:hAnsi="Times New Roman" w:eastAsia="宋体" w:cs="Times New Roman"/>
                <w:color w:val="auto"/>
                <w:sz w:val="24"/>
                <w:szCs w:val="32"/>
                <w:highlight w:val="none"/>
                <w:u w:val="single"/>
                <w:lang w:val="en-US" w:eastAsia="zh-CN"/>
              </w:rPr>
            </w:pPr>
            <w:r>
              <w:rPr>
                <w:rFonts w:hint="eastAsia" w:ascii="Times New Roman" w:hAnsi="Times New Roman" w:eastAsia="宋体" w:cs="Times New Roman"/>
                <w:color w:val="auto"/>
                <w:sz w:val="24"/>
                <w:szCs w:val="32"/>
                <w:highlight w:val="none"/>
                <w:u w:val="single"/>
              </w:rPr>
              <w:fldChar w:fldCharType="begin"/>
            </w:r>
            <w:r>
              <w:rPr>
                <w:rFonts w:hint="eastAsia" w:ascii="Times New Roman" w:hAnsi="Times New Roman" w:eastAsia="宋体" w:cs="Times New Roman"/>
                <w:color w:val="auto"/>
                <w:sz w:val="24"/>
                <w:szCs w:val="32"/>
                <w:highlight w:val="none"/>
                <w:u w:val="single"/>
              </w:rPr>
              <w:instrText xml:space="preserve"> = 3 \* GB3 \* MERGEFORMAT </w:instrText>
            </w:r>
            <w:r>
              <w:rPr>
                <w:rFonts w:hint="eastAsia" w:ascii="Times New Roman" w:hAnsi="Times New Roman" w:eastAsia="宋体" w:cs="Times New Roman"/>
                <w:color w:val="auto"/>
                <w:sz w:val="24"/>
                <w:szCs w:val="32"/>
                <w:highlight w:val="none"/>
                <w:u w:val="single"/>
              </w:rPr>
              <w:fldChar w:fldCharType="separate"/>
            </w:r>
            <w:r>
              <w:rPr>
                <w:rFonts w:hint="eastAsia" w:ascii="Times New Roman" w:hAnsi="Times New Roman" w:eastAsia="宋体" w:cs="Times New Roman"/>
                <w:color w:val="auto"/>
                <w:sz w:val="24"/>
                <w:szCs w:val="32"/>
                <w:highlight w:val="none"/>
                <w:u w:val="single"/>
              </w:rPr>
              <w:t>③</w:t>
            </w:r>
            <w:r>
              <w:rPr>
                <w:rFonts w:hint="eastAsia" w:ascii="Times New Roman" w:hAnsi="Times New Roman" w:eastAsia="宋体" w:cs="Times New Roman"/>
                <w:color w:val="auto"/>
                <w:sz w:val="24"/>
                <w:szCs w:val="32"/>
                <w:highlight w:val="none"/>
                <w:u w:val="single"/>
              </w:rPr>
              <w:fldChar w:fldCharType="end"/>
            </w:r>
            <w:r>
              <w:rPr>
                <w:rFonts w:hint="eastAsia" w:ascii="Times New Roman" w:hAnsi="Times New Roman" w:eastAsia="宋体" w:cs="Times New Roman"/>
                <w:color w:val="auto"/>
                <w:sz w:val="24"/>
                <w:szCs w:val="32"/>
                <w:highlight w:val="none"/>
                <w:u w:val="single"/>
                <w:lang w:val="en-US" w:eastAsia="zh-CN"/>
              </w:rPr>
              <w:t>热风炉废气</w:t>
            </w:r>
          </w:p>
          <w:p>
            <w:pPr>
              <w:spacing w:line="360" w:lineRule="auto"/>
              <w:ind w:firstLine="480" w:firstLineChars="200"/>
              <w:rPr>
                <w:rFonts w:hint="eastAsia"/>
                <w:color w:val="auto"/>
                <w:sz w:val="24"/>
                <w:szCs w:val="32"/>
                <w:highlight w:val="none"/>
                <w:u w:val="single"/>
              </w:rPr>
            </w:pPr>
            <w:r>
              <w:rPr>
                <w:rFonts w:hint="eastAsia"/>
                <w:color w:val="auto"/>
                <w:sz w:val="24"/>
                <w:szCs w:val="32"/>
                <w:highlight w:val="none"/>
                <w:u w:val="single"/>
              </w:rPr>
              <w:t>项目热风炉采用自产的成型生物质颗粒作为燃料为烘干筒提供热量，由热风炉产生的热量对原料进行干燥。热风炉运行时产生的污染物采用</w:t>
            </w:r>
            <w:r>
              <w:rPr>
                <w:rFonts w:hint="eastAsia"/>
                <w:color w:val="auto"/>
                <w:sz w:val="24"/>
                <w:szCs w:val="32"/>
                <w:highlight w:val="none"/>
                <w:u w:val="single"/>
                <w:lang w:val="en-US" w:eastAsia="zh-CN"/>
              </w:rPr>
              <w:t>旋风+布袋除尘</w:t>
            </w:r>
            <w:r>
              <w:rPr>
                <w:rFonts w:hint="eastAsia"/>
                <w:color w:val="auto"/>
                <w:sz w:val="24"/>
                <w:szCs w:val="32"/>
                <w:highlight w:val="none"/>
                <w:u w:val="single"/>
              </w:rPr>
              <w:t>处理后通过15m高排气筒（DA00</w:t>
            </w:r>
            <w:r>
              <w:rPr>
                <w:rFonts w:hint="eastAsia"/>
                <w:color w:val="auto"/>
                <w:sz w:val="24"/>
                <w:szCs w:val="32"/>
                <w:highlight w:val="none"/>
                <w:u w:val="single"/>
                <w:lang w:val="en-US" w:eastAsia="zh-CN"/>
              </w:rPr>
              <w:t>1</w:t>
            </w:r>
            <w:r>
              <w:rPr>
                <w:rFonts w:hint="eastAsia"/>
                <w:color w:val="auto"/>
                <w:sz w:val="24"/>
                <w:szCs w:val="32"/>
                <w:highlight w:val="none"/>
                <w:u w:val="single"/>
              </w:rPr>
              <w:t>）排放。根据企业提供的资料的情况，该项目生物质</w:t>
            </w:r>
            <w:r>
              <w:rPr>
                <w:rFonts w:hint="eastAsia"/>
                <w:color w:val="auto"/>
                <w:sz w:val="24"/>
                <w:szCs w:val="32"/>
                <w:highlight w:val="none"/>
                <w:u w:val="single"/>
                <w:lang w:val="en-US" w:eastAsia="zh-CN"/>
              </w:rPr>
              <w:t>颗粒燃料</w:t>
            </w:r>
            <w:r>
              <w:rPr>
                <w:rFonts w:hint="eastAsia"/>
                <w:color w:val="auto"/>
                <w:sz w:val="24"/>
                <w:szCs w:val="32"/>
                <w:highlight w:val="none"/>
                <w:u w:val="single"/>
              </w:rPr>
              <w:t>用量为</w:t>
            </w:r>
            <w:r>
              <w:rPr>
                <w:rFonts w:hint="eastAsia"/>
                <w:color w:val="auto"/>
                <w:sz w:val="24"/>
                <w:szCs w:val="32"/>
                <w:highlight w:val="none"/>
                <w:u w:val="single"/>
                <w:lang w:val="en-US" w:eastAsia="zh-CN"/>
              </w:rPr>
              <w:t>300</w:t>
            </w:r>
            <w:r>
              <w:rPr>
                <w:rFonts w:hint="eastAsia"/>
                <w:color w:val="auto"/>
                <w:sz w:val="24"/>
                <w:szCs w:val="32"/>
                <w:highlight w:val="none"/>
                <w:u w:val="single"/>
              </w:rPr>
              <w:t>t/a，年工作时间为</w:t>
            </w:r>
            <w:r>
              <w:rPr>
                <w:rFonts w:hint="eastAsia"/>
                <w:color w:val="auto"/>
                <w:sz w:val="24"/>
                <w:szCs w:val="32"/>
                <w:highlight w:val="none"/>
                <w:u w:val="single"/>
                <w:lang w:val="en-US" w:eastAsia="zh-CN"/>
              </w:rPr>
              <w:t>3000</w:t>
            </w:r>
            <w:r>
              <w:rPr>
                <w:rFonts w:hint="eastAsia"/>
                <w:color w:val="auto"/>
                <w:sz w:val="24"/>
                <w:szCs w:val="32"/>
                <w:highlight w:val="none"/>
                <w:u w:val="single"/>
              </w:rPr>
              <w:t xml:space="preserve">小时。根据《第一次全国污染源普查工业污染源产排污系数手册》（第十册），以生物质为燃料的产排污系数见下表 </w:t>
            </w:r>
            <w:r>
              <w:rPr>
                <w:rFonts w:hint="eastAsia"/>
                <w:color w:val="auto"/>
                <w:sz w:val="24"/>
                <w:szCs w:val="32"/>
                <w:highlight w:val="none"/>
                <w:u w:val="single"/>
                <w:lang w:val="en-US" w:eastAsia="zh-CN"/>
              </w:rPr>
              <w:t>4</w:t>
            </w:r>
            <w:r>
              <w:rPr>
                <w:rFonts w:hint="eastAsia"/>
                <w:color w:val="auto"/>
                <w:sz w:val="24"/>
                <w:szCs w:val="32"/>
                <w:highlight w:val="none"/>
                <w:u w:val="single"/>
              </w:rPr>
              <w:t>-1：</w:t>
            </w:r>
          </w:p>
          <w:p>
            <w:pPr>
              <w:ind w:firstLine="482"/>
              <w:jc w:val="center"/>
              <w:rPr>
                <w:rFonts w:ascii="Times New Roman" w:hAnsi="Times New Roman"/>
                <w:b/>
                <w:bCs/>
                <w:color w:val="auto"/>
                <w:sz w:val="24"/>
                <w:szCs w:val="24"/>
                <w:highlight w:val="none"/>
                <w:u w:val="single"/>
              </w:rPr>
            </w:pPr>
            <w:r>
              <w:rPr>
                <w:rFonts w:ascii="Times New Roman" w:hAnsi="Times New Roman"/>
                <w:b/>
                <w:bCs/>
                <w:color w:val="auto"/>
                <w:sz w:val="24"/>
                <w:szCs w:val="24"/>
                <w:highlight w:val="none"/>
                <w:u w:val="single"/>
              </w:rPr>
              <w:t>表</w:t>
            </w:r>
            <w:r>
              <w:rPr>
                <w:rFonts w:hint="eastAsia" w:ascii="Times New Roman" w:hAnsi="Times New Roman"/>
                <w:b/>
                <w:bCs/>
                <w:color w:val="auto"/>
                <w:sz w:val="24"/>
                <w:szCs w:val="24"/>
                <w:highlight w:val="none"/>
                <w:u w:val="single"/>
                <w:lang w:val="en-US" w:eastAsia="zh-CN"/>
              </w:rPr>
              <w:t>4</w:t>
            </w:r>
            <w:r>
              <w:rPr>
                <w:rFonts w:ascii="Times New Roman" w:hAnsi="Times New Roman"/>
                <w:b/>
                <w:bCs/>
                <w:color w:val="auto"/>
                <w:sz w:val="24"/>
                <w:szCs w:val="24"/>
                <w:highlight w:val="none"/>
                <w:u w:val="single"/>
              </w:rPr>
              <w:t>-1产排污系数</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1602"/>
              <w:gridCol w:w="1590"/>
              <w:gridCol w:w="1606"/>
              <w:gridCol w:w="16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9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原料名称</w:t>
                  </w:r>
                </w:p>
              </w:tc>
              <w:tc>
                <w:tcPr>
                  <w:tcW w:w="1002"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污染物指标</w:t>
                  </w:r>
                </w:p>
              </w:tc>
              <w:tc>
                <w:tcPr>
                  <w:tcW w:w="99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单位</w:t>
                  </w:r>
                </w:p>
              </w:tc>
              <w:tc>
                <w:tcPr>
                  <w:tcW w:w="100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产污系数</w:t>
                  </w:r>
                </w:p>
              </w:tc>
              <w:tc>
                <w:tcPr>
                  <w:tcW w:w="1004" w:type="pct"/>
                  <w:noWrap w:val="0"/>
                  <w:vAlign w:val="top"/>
                </w:tcPr>
                <w:p>
                  <w:pPr>
                    <w:ind w:firstLine="0" w:firstLineChars="0"/>
                    <w:jc w:val="center"/>
                    <w:rPr>
                      <w:rFonts w:hint="default" w:ascii="Times New Roman" w:hAnsi="Times New Roman" w:eastAsia="宋体"/>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产生量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4" w:type="pct"/>
                  <w:vMerge w:val="restart"/>
                  <w:noWrap w:val="0"/>
                  <w:vAlign w:val="top"/>
                </w:tcPr>
                <w:p>
                  <w:pPr>
                    <w:ind w:firstLine="0" w:firstLineChars="0"/>
                    <w:jc w:val="center"/>
                    <w:rPr>
                      <w:rFonts w:ascii="Times New Roman" w:hAnsi="Times New Roman"/>
                      <w:color w:val="auto"/>
                      <w:sz w:val="21"/>
                      <w:szCs w:val="21"/>
                      <w:highlight w:val="none"/>
                      <w:u w:val="single"/>
                    </w:rPr>
                  </w:pPr>
                </w:p>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生物质</w:t>
                  </w:r>
                </w:p>
              </w:tc>
              <w:tc>
                <w:tcPr>
                  <w:tcW w:w="1002"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SO</w:t>
                  </w:r>
                  <w:r>
                    <w:rPr>
                      <w:rFonts w:ascii="Times New Roman" w:hAnsi="Times New Roman"/>
                      <w:color w:val="auto"/>
                      <w:sz w:val="21"/>
                      <w:szCs w:val="21"/>
                      <w:highlight w:val="none"/>
                      <w:u w:val="single"/>
                      <w:vertAlign w:val="subscript"/>
                    </w:rPr>
                    <w:t>2</w:t>
                  </w:r>
                </w:p>
              </w:tc>
              <w:tc>
                <w:tcPr>
                  <w:tcW w:w="99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千克/吨-原料</w:t>
                  </w:r>
                </w:p>
              </w:tc>
              <w:tc>
                <w:tcPr>
                  <w:tcW w:w="100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17S</w:t>
                  </w:r>
                  <w:r>
                    <w:rPr>
                      <w:rFonts w:hint="eastAsia" w:ascii="宋体" w:hAnsi="宋体" w:cs="宋体"/>
                      <w:color w:val="auto"/>
                      <w:sz w:val="21"/>
                      <w:szCs w:val="21"/>
                      <w:highlight w:val="none"/>
                      <w:u w:val="single"/>
                      <w:vertAlign w:val="superscript"/>
                    </w:rPr>
                    <w:t>①</w:t>
                  </w:r>
                </w:p>
              </w:tc>
              <w:tc>
                <w:tcPr>
                  <w:tcW w:w="1004" w:type="pct"/>
                  <w:noWrap w:val="0"/>
                  <w:vAlign w:val="top"/>
                </w:tcPr>
                <w:p>
                  <w:pPr>
                    <w:ind w:firstLine="0" w:firstLineChars="0"/>
                    <w:jc w:val="center"/>
                    <w:rPr>
                      <w:rFonts w:hint="default" w:ascii="Times New Roman" w:hAnsi="Times New Roman" w:eastAsia="宋体"/>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4" w:type="pct"/>
                  <w:vMerge w:val="continue"/>
                  <w:noWrap w:val="0"/>
                  <w:vAlign w:val="top"/>
                </w:tcPr>
                <w:p>
                  <w:pPr>
                    <w:ind w:firstLine="0" w:firstLineChars="0"/>
                    <w:jc w:val="center"/>
                    <w:rPr>
                      <w:rFonts w:ascii="Times New Roman" w:hAnsi="Times New Roman"/>
                      <w:color w:val="auto"/>
                      <w:sz w:val="21"/>
                      <w:szCs w:val="21"/>
                      <w:highlight w:val="none"/>
                      <w:u w:val="single"/>
                    </w:rPr>
                  </w:pPr>
                </w:p>
              </w:tc>
              <w:tc>
                <w:tcPr>
                  <w:tcW w:w="1002"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烟尘</w:t>
                  </w:r>
                </w:p>
              </w:tc>
              <w:tc>
                <w:tcPr>
                  <w:tcW w:w="99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千克/吨-原料</w:t>
                  </w:r>
                </w:p>
              </w:tc>
              <w:tc>
                <w:tcPr>
                  <w:tcW w:w="100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0.5</w:t>
                  </w:r>
                </w:p>
              </w:tc>
              <w:tc>
                <w:tcPr>
                  <w:tcW w:w="1004" w:type="pct"/>
                  <w:noWrap w:val="0"/>
                  <w:vAlign w:val="top"/>
                </w:tcPr>
                <w:p>
                  <w:pPr>
                    <w:ind w:firstLine="0" w:firstLineChars="0"/>
                    <w:jc w:val="center"/>
                    <w:rPr>
                      <w:rFonts w:hint="default" w:ascii="Times New Roman" w:hAnsi="Times New Roman" w:eastAsia="宋体"/>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4" w:type="pct"/>
                  <w:vMerge w:val="continue"/>
                  <w:noWrap w:val="0"/>
                  <w:vAlign w:val="top"/>
                </w:tcPr>
                <w:p>
                  <w:pPr>
                    <w:ind w:firstLine="0" w:firstLineChars="0"/>
                    <w:jc w:val="center"/>
                    <w:rPr>
                      <w:rFonts w:ascii="Times New Roman" w:hAnsi="Times New Roman"/>
                      <w:color w:val="auto"/>
                      <w:sz w:val="21"/>
                      <w:szCs w:val="21"/>
                      <w:highlight w:val="none"/>
                      <w:u w:val="single"/>
                    </w:rPr>
                  </w:pPr>
                </w:p>
              </w:tc>
              <w:tc>
                <w:tcPr>
                  <w:tcW w:w="1002"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NO</w:t>
                  </w:r>
                  <w:r>
                    <w:rPr>
                      <w:rFonts w:ascii="Times New Roman" w:hAnsi="Times New Roman"/>
                      <w:color w:val="auto"/>
                      <w:sz w:val="21"/>
                      <w:szCs w:val="21"/>
                      <w:highlight w:val="none"/>
                      <w:u w:val="single"/>
                      <w:vertAlign w:val="subscript"/>
                    </w:rPr>
                    <w:t>X</w:t>
                  </w:r>
                </w:p>
              </w:tc>
              <w:tc>
                <w:tcPr>
                  <w:tcW w:w="99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千克/吨-原料</w:t>
                  </w:r>
                </w:p>
              </w:tc>
              <w:tc>
                <w:tcPr>
                  <w:tcW w:w="1004" w:type="pct"/>
                  <w:noWrap w:val="0"/>
                  <w:vAlign w:val="top"/>
                </w:tcPr>
                <w:p>
                  <w:pPr>
                    <w:ind w:firstLine="0" w:firstLineChars="0"/>
                    <w:jc w:val="center"/>
                    <w:rPr>
                      <w:rFonts w:ascii="Times New Roman" w:hAnsi="Times New Roman"/>
                      <w:color w:val="auto"/>
                      <w:sz w:val="21"/>
                      <w:szCs w:val="21"/>
                      <w:highlight w:val="none"/>
                      <w:u w:val="single"/>
                    </w:rPr>
                  </w:pPr>
                  <w:r>
                    <w:rPr>
                      <w:rFonts w:ascii="Times New Roman" w:hAnsi="Times New Roman"/>
                      <w:color w:val="auto"/>
                      <w:sz w:val="21"/>
                      <w:szCs w:val="21"/>
                      <w:highlight w:val="none"/>
                      <w:u w:val="single"/>
                    </w:rPr>
                    <w:t>1.02</w:t>
                  </w:r>
                </w:p>
              </w:tc>
              <w:tc>
                <w:tcPr>
                  <w:tcW w:w="1004" w:type="pct"/>
                  <w:noWrap w:val="0"/>
                  <w:vAlign w:val="top"/>
                </w:tcPr>
                <w:p>
                  <w:pPr>
                    <w:ind w:firstLine="0" w:firstLineChars="0"/>
                    <w:jc w:val="center"/>
                    <w:rPr>
                      <w:rFonts w:hint="default" w:ascii="Times New Roman" w:hAnsi="Times New Roman" w:eastAsia="宋体"/>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0.31</w:t>
                  </w:r>
                </w:p>
              </w:tc>
            </w:tr>
          </w:tbl>
          <w:p>
            <w:pPr>
              <w:ind w:firstLine="422"/>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注：</w:t>
            </w:r>
            <w:r>
              <w:rPr>
                <w:rFonts w:hint="eastAsia" w:ascii="宋体" w:hAnsi="宋体" w:cs="宋体"/>
                <w:b/>
                <w:bCs/>
                <w:color w:val="auto"/>
                <w:sz w:val="21"/>
                <w:szCs w:val="21"/>
                <w:highlight w:val="none"/>
                <w:u w:val="single"/>
              </w:rPr>
              <w:t>①</w:t>
            </w:r>
            <w:r>
              <w:rPr>
                <w:rFonts w:ascii="Times New Roman" w:hAnsi="Times New Roman"/>
                <w:b/>
                <w:bCs/>
                <w:color w:val="auto"/>
                <w:sz w:val="21"/>
                <w:szCs w:val="21"/>
                <w:highlight w:val="none"/>
                <w:u w:val="single"/>
              </w:rPr>
              <w:t>SO</w:t>
            </w:r>
            <w:r>
              <w:rPr>
                <w:rFonts w:ascii="Times New Roman" w:hAnsi="Times New Roman"/>
                <w:b/>
                <w:bCs/>
                <w:color w:val="auto"/>
                <w:sz w:val="21"/>
                <w:szCs w:val="21"/>
                <w:highlight w:val="none"/>
                <w:u w:val="single"/>
                <w:vertAlign w:val="subscript"/>
              </w:rPr>
              <w:t>2</w:t>
            </w:r>
            <w:r>
              <w:rPr>
                <w:rFonts w:ascii="Times New Roman" w:hAnsi="Times New Roman"/>
                <w:b/>
                <w:bCs/>
                <w:color w:val="auto"/>
                <w:sz w:val="21"/>
                <w:szCs w:val="21"/>
                <w:highlight w:val="none"/>
                <w:u w:val="single"/>
              </w:rPr>
              <w:t>的产排污系数是以含硫量（S%）的形式表示的。本项目生物质中含硫量（S%）</w:t>
            </w:r>
            <w:r>
              <w:rPr>
                <w:rFonts w:hint="eastAsia" w:ascii="Times New Roman" w:hAnsi="Times New Roman"/>
                <w:b/>
                <w:bCs/>
                <w:color w:val="auto"/>
                <w:sz w:val="21"/>
                <w:szCs w:val="21"/>
                <w:highlight w:val="none"/>
                <w:u w:val="single"/>
                <w:lang w:val="en-US" w:eastAsia="zh-CN"/>
              </w:rPr>
              <w:t>以</w:t>
            </w:r>
            <w:r>
              <w:rPr>
                <w:rFonts w:ascii="Times New Roman" w:hAnsi="Times New Roman"/>
                <w:b/>
                <w:bCs/>
                <w:color w:val="auto"/>
                <w:sz w:val="21"/>
                <w:szCs w:val="21"/>
                <w:highlight w:val="none"/>
                <w:u w:val="single"/>
              </w:rPr>
              <w:t>0.</w:t>
            </w:r>
            <w:r>
              <w:rPr>
                <w:rFonts w:hint="eastAsia" w:ascii="Times New Roman" w:hAnsi="Times New Roman"/>
                <w:b/>
                <w:bCs/>
                <w:color w:val="auto"/>
                <w:sz w:val="21"/>
                <w:szCs w:val="21"/>
                <w:highlight w:val="none"/>
                <w:u w:val="single"/>
                <w:lang w:val="en-US" w:eastAsia="zh-CN"/>
              </w:rPr>
              <w:t>1</w:t>
            </w:r>
            <w:r>
              <w:rPr>
                <w:rFonts w:ascii="Times New Roman" w:hAnsi="Times New Roman"/>
                <w:b/>
                <w:bCs/>
                <w:color w:val="auto"/>
                <w:sz w:val="21"/>
                <w:szCs w:val="21"/>
                <w:highlight w:val="none"/>
                <w:u w:val="single"/>
              </w:rPr>
              <w:t>%</w:t>
            </w:r>
            <w:r>
              <w:rPr>
                <w:rFonts w:hint="eastAsia" w:ascii="Times New Roman" w:hAnsi="Times New Roman"/>
                <w:b/>
                <w:bCs/>
                <w:color w:val="auto"/>
                <w:sz w:val="21"/>
                <w:szCs w:val="21"/>
                <w:highlight w:val="none"/>
                <w:u w:val="single"/>
                <w:lang w:val="en-US" w:eastAsia="zh-CN"/>
              </w:rPr>
              <w:t>计</w:t>
            </w:r>
            <w:r>
              <w:rPr>
                <w:rFonts w:ascii="Times New Roman" w:hAnsi="Times New Roman"/>
                <w:b/>
                <w:bCs/>
                <w:color w:val="auto"/>
                <w:sz w:val="21"/>
                <w:szCs w:val="21"/>
                <w:highlight w:val="none"/>
                <w:u w:val="single"/>
              </w:rPr>
              <w:t>，则S=0.</w:t>
            </w:r>
            <w:r>
              <w:rPr>
                <w:rFonts w:hint="eastAsia" w:ascii="Times New Roman" w:hAnsi="Times New Roman"/>
                <w:b/>
                <w:bCs/>
                <w:color w:val="auto"/>
                <w:sz w:val="21"/>
                <w:szCs w:val="21"/>
                <w:highlight w:val="none"/>
                <w:u w:val="single"/>
                <w:lang w:val="en-US" w:eastAsia="zh-CN"/>
              </w:rPr>
              <w:t>1</w:t>
            </w:r>
            <w:r>
              <w:rPr>
                <w:rFonts w:ascii="Times New Roman" w:hAnsi="Times New Roman"/>
                <w:b/>
                <w:bCs/>
                <w:color w:val="auto"/>
                <w:sz w:val="21"/>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32"/>
                <w:highlight w:val="none"/>
                <w:u w:val="single"/>
              </w:rPr>
            </w:pPr>
            <w:r>
              <w:rPr>
                <w:rFonts w:hint="eastAsia" w:ascii="Times New Roman" w:hAnsi="Times New Roman" w:eastAsia="宋体" w:cs="Times New Roman"/>
                <w:color w:val="auto"/>
                <w:sz w:val="24"/>
                <w:szCs w:val="32"/>
                <w:highlight w:val="none"/>
                <w:u w:val="single"/>
              </w:rPr>
              <w:t>依据《工业源产排污核算方法和系数手册》（2021年6月发布）2542 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auto"/>
                <w:sz w:val="24"/>
                <w:szCs w:val="32"/>
                <w:highlight w:val="none"/>
                <w:u w:val="single"/>
                <w:lang w:val="en-US" w:eastAsia="zh-CN"/>
              </w:rPr>
            </w:pPr>
            <w:r>
              <w:rPr>
                <w:rFonts w:hint="eastAsia" w:ascii="Times New Roman" w:hAnsi="Times New Roman" w:eastAsia="宋体" w:cs="Times New Roman"/>
                <w:color w:val="auto"/>
                <w:sz w:val="24"/>
                <w:szCs w:val="32"/>
                <w:highlight w:val="none"/>
                <w:u w:val="single"/>
              </w:rPr>
              <w:t>物质致密成型燃料加工行业系数手册，旋风除尘器处理效率以90%计算，布袋除尘器以92%计算。</w:t>
            </w:r>
            <w:r>
              <w:rPr>
                <w:rFonts w:hint="eastAsia" w:ascii="Times New Roman" w:hAnsi="Times New Roman" w:eastAsia="宋体" w:cs="Times New Roman"/>
                <w:color w:val="auto"/>
                <w:sz w:val="24"/>
                <w:szCs w:val="32"/>
                <w:highlight w:val="none"/>
                <w:u w:val="single"/>
                <w:lang w:val="en-US" w:eastAsia="zh-CN"/>
              </w:rPr>
              <w:t>热风</w:t>
            </w:r>
            <w:r>
              <w:rPr>
                <w:rFonts w:hint="eastAsia" w:ascii="Times New Roman" w:hAnsi="Times New Roman" w:eastAsia="宋体" w:cs="Times New Roman"/>
                <w:color w:val="auto"/>
                <w:sz w:val="24"/>
                <w:szCs w:val="32"/>
                <w:highlight w:val="none"/>
                <w:u w:val="single"/>
              </w:rPr>
              <w:t>炉</w:t>
            </w:r>
            <w:r>
              <w:rPr>
                <w:rFonts w:hint="eastAsia" w:ascii="Times New Roman" w:hAnsi="Times New Roman" w:eastAsia="宋体" w:cs="Times New Roman"/>
                <w:color w:val="auto"/>
                <w:sz w:val="24"/>
                <w:szCs w:val="32"/>
                <w:highlight w:val="none"/>
                <w:u w:val="single"/>
                <w:lang w:val="en-US" w:eastAsia="zh-CN"/>
              </w:rPr>
              <w:t>废气</w:t>
            </w:r>
            <w:r>
              <w:rPr>
                <w:rFonts w:hint="eastAsia" w:ascii="Times New Roman" w:hAnsi="Times New Roman" w:eastAsia="宋体" w:cs="Times New Roman"/>
                <w:color w:val="auto"/>
                <w:sz w:val="24"/>
                <w:szCs w:val="32"/>
                <w:highlight w:val="none"/>
                <w:u w:val="single"/>
              </w:rPr>
              <w:t>污染物排放量为颗粒物0.</w:t>
            </w:r>
            <w:r>
              <w:rPr>
                <w:rFonts w:hint="eastAsia" w:ascii="Times New Roman" w:hAnsi="Times New Roman" w:eastAsia="宋体" w:cs="Times New Roman"/>
                <w:color w:val="auto"/>
                <w:sz w:val="24"/>
                <w:szCs w:val="32"/>
                <w:highlight w:val="none"/>
                <w:u w:val="single"/>
                <w:lang w:val="en-US" w:eastAsia="zh-CN"/>
              </w:rPr>
              <w:t>012</w:t>
            </w:r>
            <w:r>
              <w:rPr>
                <w:rFonts w:hint="eastAsia" w:ascii="Times New Roman" w:hAnsi="Times New Roman" w:eastAsia="宋体" w:cs="Times New Roman"/>
                <w:color w:val="auto"/>
                <w:sz w:val="24"/>
                <w:szCs w:val="32"/>
                <w:highlight w:val="none"/>
                <w:u w:val="single"/>
              </w:rPr>
              <w:t>t/a、SO</w:t>
            </w:r>
            <w:r>
              <w:rPr>
                <w:rFonts w:hint="eastAsia" w:ascii="Times New Roman" w:hAnsi="Times New Roman" w:eastAsia="宋体" w:cs="Times New Roman"/>
                <w:color w:val="auto"/>
                <w:sz w:val="24"/>
                <w:szCs w:val="32"/>
                <w:highlight w:val="none"/>
                <w:u w:val="single"/>
                <w:vertAlign w:val="subscript"/>
              </w:rPr>
              <w:t>2</w:t>
            </w:r>
            <w:r>
              <w:rPr>
                <w:rFonts w:hint="eastAsia" w:ascii="Times New Roman" w:hAnsi="Times New Roman" w:eastAsia="宋体" w:cs="Times New Roman"/>
                <w:color w:val="auto"/>
                <w:sz w:val="24"/>
                <w:szCs w:val="32"/>
                <w:highlight w:val="none"/>
                <w:u w:val="single"/>
              </w:rPr>
              <w:t>0.</w:t>
            </w:r>
            <w:r>
              <w:rPr>
                <w:rFonts w:hint="eastAsia" w:ascii="Times New Roman" w:hAnsi="Times New Roman" w:eastAsia="宋体" w:cs="Times New Roman"/>
                <w:color w:val="auto"/>
                <w:sz w:val="24"/>
                <w:szCs w:val="32"/>
                <w:highlight w:val="none"/>
                <w:u w:val="single"/>
                <w:lang w:val="en-US" w:eastAsia="zh-CN"/>
              </w:rPr>
              <w:t>51</w:t>
            </w:r>
            <w:r>
              <w:rPr>
                <w:rFonts w:hint="eastAsia" w:ascii="Times New Roman" w:hAnsi="Times New Roman" w:eastAsia="宋体" w:cs="Times New Roman"/>
                <w:color w:val="auto"/>
                <w:sz w:val="24"/>
                <w:szCs w:val="32"/>
                <w:highlight w:val="none"/>
                <w:u w:val="single"/>
              </w:rPr>
              <w:t>t/a、NO</w:t>
            </w:r>
            <w:r>
              <w:rPr>
                <w:rFonts w:hint="eastAsia" w:ascii="Times New Roman" w:hAnsi="Times New Roman" w:eastAsia="宋体" w:cs="Times New Roman"/>
                <w:color w:val="auto"/>
                <w:sz w:val="24"/>
                <w:szCs w:val="32"/>
                <w:highlight w:val="none"/>
                <w:u w:val="single"/>
                <w:vertAlign w:val="subscript"/>
              </w:rPr>
              <w:t>X</w:t>
            </w:r>
            <w:r>
              <w:rPr>
                <w:rFonts w:hint="eastAsia" w:ascii="Times New Roman" w:hAnsi="Times New Roman" w:eastAsia="宋体" w:cs="Times New Roman"/>
                <w:color w:val="auto"/>
                <w:sz w:val="24"/>
                <w:szCs w:val="32"/>
                <w:highlight w:val="none"/>
                <w:u w:val="single"/>
              </w:rPr>
              <w:t>0.</w:t>
            </w:r>
            <w:r>
              <w:rPr>
                <w:rFonts w:hint="eastAsia" w:ascii="Times New Roman" w:hAnsi="Times New Roman" w:eastAsia="宋体" w:cs="Times New Roman"/>
                <w:color w:val="auto"/>
                <w:sz w:val="24"/>
                <w:szCs w:val="32"/>
                <w:highlight w:val="none"/>
                <w:u w:val="single"/>
                <w:lang w:val="en-US" w:eastAsia="zh-CN"/>
              </w:rPr>
              <w:t>31</w:t>
            </w:r>
            <w:r>
              <w:rPr>
                <w:rFonts w:hint="eastAsia" w:ascii="Times New Roman" w:hAnsi="Times New Roman" w:eastAsia="宋体" w:cs="Times New Roman"/>
                <w:color w:val="auto"/>
                <w:sz w:val="24"/>
                <w:szCs w:val="32"/>
                <w:highlight w:val="none"/>
                <w:u w:val="single"/>
              </w:rPr>
              <w:t>t/a</w:t>
            </w:r>
            <w:r>
              <w:rPr>
                <w:rFonts w:hint="eastAsia" w:ascii="Times New Roman" w:hAnsi="Times New Roman" w:eastAsia="宋体" w:cs="Times New Roman"/>
                <w:color w:val="auto"/>
                <w:sz w:val="24"/>
                <w:szCs w:val="32"/>
                <w:highlight w:val="none"/>
                <w:u w:val="singl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u w:val="single"/>
              </w:rPr>
            </w:pPr>
            <w:r>
              <w:rPr>
                <w:rFonts w:hint="eastAsia" w:ascii="宋体" w:hAnsi="宋体" w:eastAsia="宋体" w:cs="宋体"/>
                <w:color w:val="auto"/>
                <w:kern w:val="0"/>
                <w:sz w:val="24"/>
                <w:szCs w:val="24"/>
                <w:highlight w:val="none"/>
                <w:u w:val="single"/>
                <w:lang w:val="en-US" w:eastAsia="zh-CN" w:bidi="ar"/>
              </w:rPr>
              <w:t>项目破碎、粉碎、</w:t>
            </w:r>
            <w:r>
              <w:rPr>
                <w:rFonts w:hint="eastAsia" w:ascii="宋体" w:hAnsi="宋体" w:cs="宋体"/>
                <w:color w:val="auto"/>
                <w:kern w:val="0"/>
                <w:sz w:val="24"/>
                <w:szCs w:val="24"/>
                <w:highlight w:val="none"/>
                <w:u w:val="single"/>
                <w:lang w:val="en-US" w:eastAsia="zh-CN" w:bidi="ar"/>
              </w:rPr>
              <w:t>筛分、</w:t>
            </w:r>
            <w:r>
              <w:rPr>
                <w:rFonts w:hint="eastAsia" w:ascii="宋体" w:hAnsi="宋体" w:eastAsia="宋体" w:cs="宋体"/>
                <w:color w:val="auto"/>
                <w:kern w:val="0"/>
                <w:sz w:val="24"/>
                <w:szCs w:val="24"/>
                <w:highlight w:val="none"/>
                <w:u w:val="single"/>
                <w:lang w:val="en-US" w:eastAsia="zh-CN" w:bidi="ar"/>
              </w:rPr>
              <w:t>制粒工序处理后的粉尘通过管道连接后与烘干粉尘、热风炉废气共用一</w:t>
            </w:r>
            <w:r>
              <w:rPr>
                <w:rFonts w:hint="default" w:ascii="Times New Roman" w:hAnsi="Times New Roman" w:eastAsia="宋体" w:cs="Times New Roman"/>
                <w:color w:val="auto"/>
                <w:kern w:val="0"/>
                <w:sz w:val="24"/>
                <w:szCs w:val="24"/>
                <w:highlight w:val="none"/>
                <w:u w:val="single"/>
                <w:lang w:val="en-US" w:eastAsia="zh-CN" w:bidi="ar"/>
              </w:rPr>
              <w:t>根15m高排气筒（DA001）排放。</w:t>
            </w:r>
          </w:p>
          <w:p>
            <w:pPr>
              <w:spacing w:line="360" w:lineRule="auto"/>
              <w:ind w:firstLine="480" w:firstLineChars="200"/>
              <w:rPr>
                <w:rFonts w:hint="eastAsia" w:ascii="Times New Roman" w:hAnsi="Times New Roman" w:eastAsia="宋体" w:cs="Times New Roman"/>
                <w:color w:val="auto"/>
                <w:sz w:val="24"/>
                <w:szCs w:val="32"/>
                <w:highlight w:val="none"/>
                <w:u w:val="single"/>
                <w:lang w:val="en-US" w:eastAsia="zh-CN"/>
              </w:rPr>
            </w:pPr>
            <w:r>
              <w:rPr>
                <w:rFonts w:hint="eastAsia" w:ascii="Times New Roman" w:hAnsi="Times New Roman" w:eastAsia="宋体" w:cs="Times New Roman"/>
                <w:color w:val="auto"/>
                <w:sz w:val="24"/>
                <w:szCs w:val="32"/>
                <w:highlight w:val="none"/>
                <w:u w:val="single"/>
              </w:rPr>
              <w:fldChar w:fldCharType="begin"/>
            </w:r>
            <w:r>
              <w:rPr>
                <w:rFonts w:hint="eastAsia" w:ascii="Times New Roman" w:hAnsi="Times New Roman" w:eastAsia="宋体" w:cs="Times New Roman"/>
                <w:color w:val="auto"/>
                <w:sz w:val="24"/>
                <w:szCs w:val="32"/>
                <w:highlight w:val="none"/>
                <w:u w:val="single"/>
              </w:rPr>
              <w:instrText xml:space="preserve"> = 4 \* GB3 \* MERGEFORMAT </w:instrText>
            </w:r>
            <w:r>
              <w:rPr>
                <w:rFonts w:hint="eastAsia" w:ascii="Times New Roman" w:hAnsi="Times New Roman" w:eastAsia="宋体" w:cs="Times New Roman"/>
                <w:color w:val="auto"/>
                <w:sz w:val="24"/>
                <w:szCs w:val="32"/>
                <w:highlight w:val="none"/>
                <w:u w:val="single"/>
              </w:rPr>
              <w:fldChar w:fldCharType="separate"/>
            </w:r>
            <w:r>
              <w:rPr>
                <w:rFonts w:hint="eastAsia" w:ascii="Times New Roman" w:hAnsi="Times New Roman" w:eastAsia="宋体" w:cs="Times New Roman"/>
                <w:color w:val="auto"/>
                <w:sz w:val="24"/>
                <w:szCs w:val="32"/>
                <w:highlight w:val="none"/>
                <w:u w:val="single"/>
              </w:rPr>
              <w:t>④</w:t>
            </w:r>
            <w:r>
              <w:rPr>
                <w:rFonts w:hint="eastAsia" w:ascii="Times New Roman" w:hAnsi="Times New Roman" w:eastAsia="宋体" w:cs="Times New Roman"/>
                <w:color w:val="auto"/>
                <w:sz w:val="24"/>
                <w:szCs w:val="32"/>
                <w:highlight w:val="none"/>
                <w:u w:val="single"/>
              </w:rPr>
              <w:fldChar w:fldCharType="end"/>
            </w:r>
            <w:r>
              <w:rPr>
                <w:rFonts w:hint="eastAsia" w:ascii="Times New Roman" w:hAnsi="Times New Roman" w:eastAsia="宋体" w:cs="Times New Roman"/>
                <w:color w:val="auto"/>
                <w:sz w:val="24"/>
                <w:szCs w:val="32"/>
                <w:highlight w:val="none"/>
                <w:u w:val="single"/>
                <w:lang w:val="en-US" w:eastAsia="zh-CN"/>
              </w:rPr>
              <w:t>装卸、转移粉尘</w:t>
            </w:r>
          </w:p>
          <w:p>
            <w:pPr>
              <w:spacing w:line="360" w:lineRule="auto"/>
              <w:ind w:firstLine="480" w:firstLineChars="200"/>
              <w:rPr>
                <w:rFonts w:hint="eastAsia"/>
                <w:color w:val="auto"/>
                <w:highlight w:val="none"/>
                <w:u w:val="single"/>
                <w:lang w:val="en-US" w:eastAsia="zh-CN"/>
              </w:rPr>
            </w:pPr>
            <w:r>
              <w:rPr>
                <w:rFonts w:hint="eastAsia" w:ascii="Times New Roman" w:hAnsi="Times New Roman" w:eastAsia="宋体" w:cs="Times New Roman"/>
                <w:color w:val="auto"/>
                <w:sz w:val="24"/>
                <w:szCs w:val="32"/>
                <w:highlight w:val="none"/>
                <w:u w:val="single"/>
                <w:lang w:val="en-US" w:eastAsia="zh-CN"/>
              </w:rPr>
              <w:t>项目原料暂存于原料仓库内。在原料卸料、运输和转移的过程中，粉尘会有少量进入大气环境。根据《逸散性工业粉尘控制技术》粒料装卸、储存和输送、转运、投料无控制的排放因子按0.01kg/t计算，本项目原料使用量为35000t，故在装卸、运输、转移过程中将产生0.35t/a的粉尘，环评要求为确保原料转移过程中无可见粉尘外逸，严禁物料超出铲斗箱板，大风天气停止原料铲运</w:t>
            </w:r>
            <w:r>
              <w:rPr>
                <w:rFonts w:hint="eastAsia" w:cs="Times New Roman"/>
                <w:color w:val="auto"/>
                <w:sz w:val="24"/>
                <w:szCs w:val="32"/>
                <w:highlight w:val="none"/>
                <w:u w:val="single"/>
                <w:lang w:val="en-US" w:eastAsia="zh-CN"/>
              </w:rPr>
              <w:t>至破碎车间</w:t>
            </w:r>
            <w:r>
              <w:rPr>
                <w:rFonts w:hint="eastAsia" w:ascii="Times New Roman" w:hAnsi="Times New Roman" w:eastAsia="宋体" w:cs="Times New Roman"/>
                <w:color w:val="auto"/>
                <w:sz w:val="24"/>
                <w:szCs w:val="32"/>
                <w:highlight w:val="none"/>
                <w:u w:val="single"/>
                <w:lang w:val="en-US" w:eastAsia="zh-CN"/>
              </w:rPr>
              <w:t>或采取铲斗加盖篷布措施防治粉尘外逸，同时对转移路线、车间内落地粉尘定期进行打扫清理，保持地面清洁。企业场地建成封闭结构厂房，可控制无组织粉尘的排放量，控制效率约80%，则排入外环境的粉尘排放量为0.07t/a。</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color w:val="auto"/>
                <w:sz w:val="24"/>
                <w:szCs w:val="32"/>
                <w:highlight w:val="none"/>
                <w:u w:val="single"/>
              </w:rPr>
            </w:pPr>
            <w:r>
              <w:rPr>
                <w:rFonts w:hint="eastAsia"/>
                <w:color w:val="auto"/>
                <w:sz w:val="24"/>
                <w:szCs w:val="32"/>
                <w:highlight w:val="none"/>
                <w:u w:val="single"/>
              </w:rPr>
              <w:t>项目生产工序粉尘产排情况详见表4-</w:t>
            </w:r>
            <w:r>
              <w:rPr>
                <w:rFonts w:hint="eastAsia"/>
                <w:color w:val="auto"/>
                <w:sz w:val="24"/>
                <w:szCs w:val="32"/>
                <w:highlight w:val="none"/>
                <w:u w:val="single"/>
                <w:lang w:val="en-US" w:eastAsia="zh-CN"/>
              </w:rPr>
              <w:t>2</w:t>
            </w:r>
            <w:r>
              <w:rPr>
                <w:rFonts w:hint="eastAsia"/>
                <w:color w:val="auto"/>
                <w:sz w:val="24"/>
                <w:szCs w:val="32"/>
                <w:highlight w:val="none"/>
                <w:u w:val="single"/>
              </w:rPr>
              <w:t>、表4-</w:t>
            </w:r>
            <w:r>
              <w:rPr>
                <w:rFonts w:hint="eastAsia"/>
                <w:color w:val="auto"/>
                <w:sz w:val="24"/>
                <w:szCs w:val="32"/>
                <w:highlight w:val="none"/>
                <w:u w:val="single"/>
                <w:lang w:val="en-US" w:eastAsia="zh-CN"/>
              </w:rPr>
              <w:t>3</w:t>
            </w:r>
            <w:r>
              <w:rPr>
                <w:rFonts w:hint="eastAsia"/>
                <w:color w:val="auto"/>
                <w:sz w:val="24"/>
                <w:szCs w:val="32"/>
                <w:highlight w:val="none"/>
                <w:u w:val="single"/>
              </w:rPr>
              <w:t>。</w:t>
            </w:r>
          </w:p>
          <w:p>
            <w:pPr>
              <w:spacing w:line="360" w:lineRule="auto"/>
              <w:jc w:val="center"/>
              <w:rPr>
                <w:rFonts w:hint="default" w:eastAsia="宋体"/>
                <w:color w:val="auto"/>
                <w:sz w:val="32"/>
                <w:szCs w:val="40"/>
                <w:highlight w:val="none"/>
                <w:u w:val="single"/>
                <w:lang w:val="en-US" w:eastAsia="zh-CN"/>
              </w:rPr>
            </w:pPr>
            <w:r>
              <w:rPr>
                <w:rFonts w:hint="eastAsia"/>
                <w:b/>
                <w:bCs/>
                <w:color w:val="auto"/>
                <w:sz w:val="24"/>
                <w:szCs w:val="32"/>
                <w:highlight w:val="none"/>
                <w:u w:val="single"/>
              </w:rPr>
              <w:t>表4-</w:t>
            </w:r>
            <w:r>
              <w:rPr>
                <w:rFonts w:hint="eastAsia"/>
                <w:b/>
                <w:bCs/>
                <w:color w:val="auto"/>
                <w:sz w:val="24"/>
                <w:szCs w:val="32"/>
                <w:highlight w:val="none"/>
                <w:u w:val="single"/>
                <w:lang w:val="en-US" w:eastAsia="zh-CN"/>
              </w:rPr>
              <w:t>2</w:t>
            </w:r>
            <w:r>
              <w:rPr>
                <w:rFonts w:hint="eastAsia"/>
                <w:b/>
                <w:bCs/>
                <w:color w:val="auto"/>
                <w:sz w:val="24"/>
                <w:szCs w:val="32"/>
                <w:highlight w:val="none"/>
                <w:u w:val="single"/>
              </w:rPr>
              <w:t xml:space="preserve"> 本项目</w:t>
            </w:r>
            <w:r>
              <w:rPr>
                <w:rFonts w:hint="eastAsia"/>
                <w:b/>
                <w:bCs/>
                <w:color w:val="auto"/>
                <w:sz w:val="24"/>
                <w:szCs w:val="32"/>
                <w:highlight w:val="none"/>
                <w:u w:val="single"/>
                <w:lang w:val="en-US" w:eastAsia="zh-CN"/>
              </w:rPr>
              <w:t>生产废气源强核算结果及相关参数一览表（有组织）</w:t>
            </w:r>
          </w:p>
          <w:tbl>
            <w:tblPr>
              <w:tblStyle w:val="24"/>
              <w:tblW w:w="793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28"/>
              <w:gridCol w:w="408"/>
              <w:gridCol w:w="447"/>
              <w:gridCol w:w="580"/>
              <w:gridCol w:w="522"/>
              <w:gridCol w:w="584"/>
              <w:gridCol w:w="584"/>
              <w:gridCol w:w="795"/>
              <w:gridCol w:w="545"/>
              <w:gridCol w:w="471"/>
              <w:gridCol w:w="531"/>
              <w:gridCol w:w="549"/>
              <w:gridCol w:w="519"/>
              <w:gridCol w:w="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6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污染源</w:t>
                  </w:r>
                </w:p>
              </w:tc>
              <w:tc>
                <w:tcPr>
                  <w:tcW w:w="42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工序</w:t>
                  </w:r>
                </w:p>
              </w:tc>
              <w:tc>
                <w:tcPr>
                  <w:tcW w:w="40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污染物</w:t>
                  </w:r>
                </w:p>
              </w:tc>
              <w:tc>
                <w:tcPr>
                  <w:tcW w:w="2717" w:type="dxa"/>
                  <w:gridSpan w:val="5"/>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污染物产生</w:t>
                  </w:r>
                </w:p>
              </w:tc>
              <w:tc>
                <w:tcPr>
                  <w:tcW w:w="1340" w:type="dxa"/>
                  <w:gridSpan w:val="2"/>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治理措施</w:t>
                  </w:r>
                </w:p>
              </w:tc>
              <w:tc>
                <w:tcPr>
                  <w:tcW w:w="2573" w:type="dxa"/>
                  <w:gridSpan w:val="5"/>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污染物排放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Times New Roman"/>
                      <w:b/>
                      <w:bCs/>
                      <w:color w:val="auto"/>
                      <w:sz w:val="18"/>
                      <w:szCs w:val="18"/>
                      <w:highlight w:val="none"/>
                      <w:u w:val="single"/>
                    </w:rPr>
                  </w:pPr>
                </w:p>
              </w:tc>
              <w:tc>
                <w:tcPr>
                  <w:tcW w:w="42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Times New Roman"/>
                      <w:b/>
                      <w:bCs/>
                      <w:color w:val="auto"/>
                      <w:sz w:val="18"/>
                      <w:szCs w:val="18"/>
                      <w:highlight w:val="none"/>
                      <w:u w:val="single"/>
                    </w:rPr>
                  </w:pPr>
                </w:p>
              </w:tc>
              <w:tc>
                <w:tcPr>
                  <w:tcW w:w="40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Times New Roman"/>
                      <w:b/>
                      <w:bCs/>
                      <w:color w:val="auto"/>
                      <w:sz w:val="18"/>
                      <w:szCs w:val="18"/>
                      <w:highlight w:val="none"/>
                      <w:u w:val="single"/>
                    </w:rPr>
                  </w:pPr>
                </w:p>
              </w:tc>
              <w:tc>
                <w:tcPr>
                  <w:tcW w:w="44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核算方法</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产生废气量</w:t>
                  </w:r>
                  <w:r>
                    <w:rPr>
                      <w:b/>
                      <w:bCs/>
                      <w:color w:val="auto"/>
                      <w:sz w:val="18"/>
                      <w:szCs w:val="18"/>
                      <w:highlight w:val="none"/>
                      <w:u w:val="single"/>
                    </w:rPr>
                    <w:t>m</w:t>
                  </w:r>
                  <w:r>
                    <w:rPr>
                      <w:b/>
                      <w:bCs/>
                      <w:color w:val="auto"/>
                      <w:sz w:val="18"/>
                      <w:szCs w:val="18"/>
                      <w:highlight w:val="none"/>
                      <w:u w:val="single"/>
                      <w:vertAlign w:val="superscript"/>
                    </w:rPr>
                    <w:t>3</w:t>
                  </w:r>
                  <w:r>
                    <w:rPr>
                      <w:b/>
                      <w:bCs/>
                      <w:color w:val="auto"/>
                      <w:sz w:val="18"/>
                      <w:szCs w:val="18"/>
                      <w:highlight w:val="none"/>
                      <w:u w:val="single"/>
                    </w:rPr>
                    <w:t>/h</w:t>
                  </w:r>
                </w:p>
              </w:tc>
              <w:tc>
                <w:tcPr>
                  <w:tcW w:w="522"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产生浓度</w:t>
                  </w:r>
                  <w:r>
                    <w:rPr>
                      <w:rFonts w:hint="eastAsia"/>
                      <w:b/>
                      <w:bCs/>
                      <w:color w:val="auto"/>
                      <w:sz w:val="18"/>
                      <w:szCs w:val="18"/>
                      <w:highlight w:val="none"/>
                      <w:u w:val="single"/>
                    </w:rPr>
                    <w:t>mg/m</w:t>
                  </w:r>
                  <w:r>
                    <w:rPr>
                      <w:rFonts w:hint="eastAsia"/>
                      <w:b/>
                      <w:bCs/>
                      <w:color w:val="auto"/>
                      <w:sz w:val="18"/>
                      <w:szCs w:val="18"/>
                      <w:highlight w:val="none"/>
                      <w:u w:val="single"/>
                      <w:vertAlign w:val="superscript"/>
                    </w:rPr>
                    <w:t>3</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产生速率</w:t>
                  </w:r>
                  <w:r>
                    <w:rPr>
                      <w:rFonts w:hint="eastAsia"/>
                      <w:b/>
                      <w:bCs/>
                      <w:color w:val="auto"/>
                      <w:sz w:val="18"/>
                      <w:szCs w:val="18"/>
                      <w:highlight w:val="none"/>
                      <w:u w:val="single"/>
                    </w:rPr>
                    <w:t>kg/h</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产生量t/a</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处理工艺</w:t>
                  </w:r>
                </w:p>
              </w:tc>
              <w:tc>
                <w:tcPr>
                  <w:tcW w:w="545"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效率%</w:t>
                  </w:r>
                </w:p>
              </w:tc>
              <w:tc>
                <w:tcPr>
                  <w:tcW w:w="47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核算方法</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排放废气量</w:t>
                  </w:r>
                  <w:r>
                    <w:rPr>
                      <w:b/>
                      <w:bCs/>
                      <w:color w:val="auto"/>
                      <w:sz w:val="18"/>
                      <w:szCs w:val="18"/>
                      <w:highlight w:val="none"/>
                      <w:u w:val="single"/>
                    </w:rPr>
                    <w:t>m</w:t>
                  </w:r>
                  <w:r>
                    <w:rPr>
                      <w:b/>
                      <w:bCs/>
                      <w:color w:val="auto"/>
                      <w:sz w:val="18"/>
                      <w:szCs w:val="18"/>
                      <w:highlight w:val="none"/>
                      <w:u w:val="single"/>
                      <w:vertAlign w:val="superscript"/>
                    </w:rPr>
                    <w:t>3</w:t>
                  </w:r>
                  <w:r>
                    <w:rPr>
                      <w:b/>
                      <w:bCs/>
                      <w:color w:val="auto"/>
                      <w:sz w:val="18"/>
                      <w:szCs w:val="18"/>
                      <w:highlight w:val="none"/>
                      <w:u w:val="single"/>
                    </w:rPr>
                    <w:t>/h</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排放浓度</w:t>
                  </w:r>
                  <w:r>
                    <w:rPr>
                      <w:rFonts w:hint="eastAsia"/>
                      <w:b/>
                      <w:bCs/>
                      <w:color w:val="auto"/>
                      <w:sz w:val="18"/>
                      <w:szCs w:val="18"/>
                      <w:highlight w:val="none"/>
                      <w:u w:val="single"/>
                    </w:rPr>
                    <w:t>mg/m</w:t>
                  </w:r>
                  <w:r>
                    <w:rPr>
                      <w:rFonts w:hint="eastAsia"/>
                      <w:b/>
                      <w:bCs/>
                      <w:color w:val="auto"/>
                      <w:sz w:val="18"/>
                      <w:szCs w:val="18"/>
                      <w:highlight w:val="none"/>
                      <w:u w:val="single"/>
                      <w:vertAlign w:val="superscript"/>
                    </w:rPr>
                    <w:t>3</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排放速率</w:t>
                  </w:r>
                  <w:r>
                    <w:rPr>
                      <w:rFonts w:hint="eastAsia"/>
                      <w:b/>
                      <w:bCs/>
                      <w:color w:val="auto"/>
                      <w:sz w:val="18"/>
                      <w:szCs w:val="18"/>
                      <w:highlight w:val="none"/>
                      <w:u w:val="single"/>
                    </w:rPr>
                    <w:t>kg/h</w:t>
                  </w:r>
                </w:p>
              </w:tc>
              <w:tc>
                <w:tcPr>
                  <w:tcW w:w="503"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 w:val="18"/>
                      <w:szCs w:val="18"/>
                      <w:highlight w:val="none"/>
                      <w:u w:val="single"/>
                      <w:lang w:val="en-US" w:eastAsia="zh-CN"/>
                    </w:rPr>
                  </w:pPr>
                  <w:r>
                    <w:rPr>
                      <w:rFonts w:hint="eastAsia" w:ascii="Times New Roman" w:hAnsi="Times New Roman" w:eastAsia="宋体" w:cs="Times New Roman"/>
                      <w:b/>
                      <w:bCs/>
                      <w:color w:val="auto"/>
                      <w:sz w:val="18"/>
                      <w:szCs w:val="18"/>
                      <w:highlight w:val="none"/>
                      <w:u w:val="single"/>
                      <w:lang w:val="en-US" w:eastAsia="zh-CN"/>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6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车间</w:t>
                  </w:r>
                </w:p>
              </w:tc>
              <w:tc>
                <w:tcPr>
                  <w:tcW w:w="4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color w:val="auto"/>
                      <w:sz w:val="21"/>
                      <w:szCs w:val="21"/>
                      <w:highlight w:val="none"/>
                      <w:u w:val="single"/>
                      <w:lang w:val="en-US" w:eastAsia="zh-CN"/>
                    </w:rPr>
                    <w:t>破碎</w:t>
                  </w:r>
                  <w:r>
                    <w:rPr>
                      <w:rFonts w:hint="eastAsia"/>
                      <w:color w:val="auto"/>
                      <w:sz w:val="21"/>
                      <w:szCs w:val="21"/>
                      <w:highlight w:val="none"/>
                      <w:u w:val="single"/>
                    </w:rPr>
                    <w:t>粉碎</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筛分</w:t>
                  </w:r>
                  <w:r>
                    <w:rPr>
                      <w:rFonts w:hint="eastAsia"/>
                      <w:color w:val="auto"/>
                      <w:sz w:val="21"/>
                      <w:szCs w:val="21"/>
                      <w:highlight w:val="none"/>
                      <w:u w:val="single"/>
                    </w:rPr>
                    <w:t>、制粒</w:t>
                  </w:r>
                </w:p>
              </w:tc>
              <w:tc>
                <w:tcPr>
                  <w:tcW w:w="40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颗粒物</w:t>
                  </w:r>
                </w:p>
              </w:tc>
              <w:tc>
                <w:tcPr>
                  <w:tcW w:w="447"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产污系数法</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10000</w:t>
                  </w:r>
                </w:p>
              </w:tc>
              <w:tc>
                <w:tcPr>
                  <w:tcW w:w="522"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602</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6.02</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18.06</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旋风+</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布袋</w:t>
                  </w:r>
                </w:p>
              </w:tc>
              <w:tc>
                <w:tcPr>
                  <w:tcW w:w="545"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99.2</w:t>
                  </w:r>
                </w:p>
              </w:tc>
              <w:tc>
                <w:tcPr>
                  <w:tcW w:w="471"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产污系数法</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10000</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5</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0.05</w:t>
                  </w:r>
                </w:p>
              </w:tc>
              <w:tc>
                <w:tcPr>
                  <w:tcW w:w="503"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4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eastAsia" w:ascii="Times New Roman" w:hAnsi="Times New Roman" w:eastAsia="宋体" w:cs="Times New Roman"/>
                      <w:color w:val="auto"/>
                      <w:sz w:val="21"/>
                      <w:szCs w:val="21"/>
                      <w:highlight w:val="none"/>
                      <w:u w:val="single"/>
                      <w:lang w:val="en-US" w:eastAsia="zh-CN"/>
                    </w:rPr>
                  </w:pPr>
                  <w:r>
                    <w:rPr>
                      <w:rFonts w:hint="eastAsia" w:eastAsia="宋体"/>
                      <w:color w:val="auto"/>
                      <w:sz w:val="21"/>
                      <w:szCs w:val="21"/>
                      <w:highlight w:val="none"/>
                      <w:u w:val="single"/>
                      <w:lang w:val="en-US" w:eastAsia="zh-CN"/>
                    </w:rPr>
                    <w:t>烘干</w:t>
                  </w:r>
                </w:p>
              </w:tc>
              <w:tc>
                <w:tcPr>
                  <w:tcW w:w="40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44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15000</w:t>
                  </w:r>
                </w:p>
              </w:tc>
              <w:tc>
                <w:tcPr>
                  <w:tcW w:w="522"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2673</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40.1</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120.3</w:t>
                  </w: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p>
              </w:tc>
              <w:tc>
                <w:tcPr>
                  <w:tcW w:w="54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p>
              </w:tc>
              <w:tc>
                <w:tcPr>
                  <w:tcW w:w="47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31"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15000</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21</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0.32</w:t>
                  </w:r>
                </w:p>
              </w:tc>
              <w:tc>
                <w:tcPr>
                  <w:tcW w:w="503"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42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热风炉</w:t>
                  </w:r>
                </w:p>
              </w:tc>
              <w:tc>
                <w:tcPr>
                  <w:tcW w:w="40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44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22"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9.37</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0.075</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0.15</w:t>
                  </w: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p>
              </w:tc>
              <w:tc>
                <w:tcPr>
                  <w:tcW w:w="54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p>
              </w:tc>
              <w:tc>
                <w:tcPr>
                  <w:tcW w:w="47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3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0.7</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0.006</w:t>
                  </w:r>
                </w:p>
              </w:tc>
              <w:tc>
                <w:tcPr>
                  <w:tcW w:w="503"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42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eastAsia" w:ascii="Times New Roman" w:hAnsi="Times New Roman" w:eastAsia="宋体" w:cs="Times New Roman"/>
                      <w:color w:val="auto"/>
                      <w:sz w:val="21"/>
                      <w:szCs w:val="21"/>
                      <w:highlight w:val="none"/>
                      <w:u w:val="single"/>
                      <w:lang w:val="en-US" w:eastAsia="zh-CN"/>
                    </w:rPr>
                  </w:pPr>
                </w:p>
              </w:tc>
              <w:tc>
                <w:tcPr>
                  <w:tcW w:w="40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rPr>
                    <w:t>SO</w:t>
                  </w:r>
                  <w:r>
                    <w:rPr>
                      <w:rFonts w:hint="eastAsia" w:ascii="Times New Roman" w:hAnsi="Times New Roman" w:eastAsia="宋体" w:cs="Times New Roman"/>
                      <w:color w:val="auto"/>
                      <w:sz w:val="21"/>
                      <w:szCs w:val="21"/>
                      <w:highlight w:val="none"/>
                      <w:u w:val="single"/>
                      <w:vertAlign w:val="subscript"/>
                    </w:rPr>
                    <w:t>2</w:t>
                  </w:r>
                </w:p>
              </w:tc>
              <w:tc>
                <w:tcPr>
                  <w:tcW w:w="44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22"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31.25</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0.25</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0.51</w:t>
                  </w: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4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p>
              </w:tc>
              <w:tc>
                <w:tcPr>
                  <w:tcW w:w="47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3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31.25</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0.25</w:t>
                  </w:r>
                </w:p>
              </w:tc>
              <w:tc>
                <w:tcPr>
                  <w:tcW w:w="503"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42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eastAsia" w:ascii="Times New Roman" w:hAnsi="Times New Roman" w:eastAsia="宋体" w:cs="Times New Roman"/>
                      <w:color w:val="auto"/>
                      <w:sz w:val="21"/>
                      <w:szCs w:val="21"/>
                      <w:highlight w:val="none"/>
                      <w:u w:val="single"/>
                      <w:lang w:val="en-US" w:eastAsia="zh-CN"/>
                    </w:rPr>
                  </w:pPr>
                </w:p>
              </w:tc>
              <w:tc>
                <w:tcPr>
                  <w:tcW w:w="40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rPr>
                    <w:t>NO</w:t>
                  </w:r>
                  <w:r>
                    <w:rPr>
                      <w:rFonts w:hint="eastAsia" w:ascii="Times New Roman" w:hAnsi="Times New Roman" w:eastAsia="宋体" w:cs="Times New Roman"/>
                      <w:color w:val="auto"/>
                      <w:sz w:val="21"/>
                      <w:szCs w:val="21"/>
                      <w:highlight w:val="none"/>
                      <w:u w:val="single"/>
                      <w:vertAlign w:val="subscript"/>
                    </w:rPr>
                    <w:t>X</w:t>
                  </w:r>
                </w:p>
              </w:tc>
              <w:tc>
                <w:tcPr>
                  <w:tcW w:w="44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22"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18.75</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0.15</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0.31</w:t>
                  </w: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4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p>
              </w:tc>
              <w:tc>
                <w:tcPr>
                  <w:tcW w:w="47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3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1"/>
                      <w:szCs w:val="21"/>
                      <w:highlight w:val="none"/>
                      <w:u w:val="single"/>
                      <w:lang w:val="en-US" w:eastAsia="zh-CN"/>
                    </w:rPr>
                  </w:pP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18.75</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0.15</w:t>
                  </w:r>
                </w:p>
              </w:tc>
              <w:tc>
                <w:tcPr>
                  <w:tcW w:w="503"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0.31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b/>
                <w:bCs/>
                <w:color w:val="auto"/>
                <w:sz w:val="24"/>
                <w:szCs w:val="32"/>
                <w:highlight w:val="none"/>
                <w:u w:val="single"/>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b/>
                <w:bCs/>
                <w:color w:val="auto"/>
                <w:sz w:val="24"/>
                <w:szCs w:val="32"/>
                <w:highlight w:val="none"/>
                <w:u w:val="single"/>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eastAsia="宋体"/>
                <w:color w:val="auto"/>
                <w:sz w:val="32"/>
                <w:szCs w:val="40"/>
                <w:highlight w:val="none"/>
                <w:u w:val="single"/>
                <w:lang w:val="en-US" w:eastAsia="zh-CN"/>
              </w:rPr>
            </w:pPr>
            <w:r>
              <w:rPr>
                <w:rFonts w:hint="eastAsia"/>
                <w:b/>
                <w:bCs/>
                <w:color w:val="auto"/>
                <w:sz w:val="24"/>
                <w:szCs w:val="32"/>
                <w:highlight w:val="none"/>
                <w:u w:val="single"/>
              </w:rPr>
              <w:t>表4-</w:t>
            </w:r>
            <w:r>
              <w:rPr>
                <w:rFonts w:hint="eastAsia"/>
                <w:b/>
                <w:bCs/>
                <w:color w:val="auto"/>
                <w:sz w:val="24"/>
                <w:szCs w:val="32"/>
                <w:highlight w:val="none"/>
                <w:u w:val="single"/>
                <w:lang w:val="en-US" w:eastAsia="zh-CN"/>
              </w:rPr>
              <w:t>3</w:t>
            </w:r>
            <w:r>
              <w:rPr>
                <w:rFonts w:hint="eastAsia"/>
                <w:b/>
                <w:bCs/>
                <w:color w:val="auto"/>
                <w:sz w:val="24"/>
                <w:szCs w:val="32"/>
                <w:highlight w:val="none"/>
                <w:u w:val="single"/>
              </w:rPr>
              <w:t xml:space="preserve"> 本项目</w:t>
            </w:r>
            <w:r>
              <w:rPr>
                <w:rFonts w:hint="eastAsia"/>
                <w:b/>
                <w:bCs/>
                <w:color w:val="auto"/>
                <w:sz w:val="24"/>
                <w:szCs w:val="32"/>
                <w:highlight w:val="none"/>
                <w:u w:val="single"/>
                <w:lang w:val="en-US" w:eastAsia="zh-CN"/>
              </w:rPr>
              <w:t>生产废气源强核算结果及相关参数一览表（无组织）</w:t>
            </w:r>
          </w:p>
          <w:tbl>
            <w:tblPr>
              <w:tblStyle w:val="24"/>
              <w:tblW w:w="793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579"/>
              <w:gridCol w:w="474"/>
              <w:gridCol w:w="434"/>
              <w:gridCol w:w="618"/>
              <w:gridCol w:w="584"/>
              <w:gridCol w:w="549"/>
              <w:gridCol w:w="548"/>
              <w:gridCol w:w="429"/>
              <w:gridCol w:w="528"/>
              <w:gridCol w:w="525"/>
              <w:gridCol w:w="527"/>
              <w:gridCol w:w="560"/>
              <w:gridCol w:w="528"/>
              <w:gridCol w:w="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4"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污染源</w:t>
                  </w:r>
                </w:p>
              </w:tc>
              <w:tc>
                <w:tcPr>
                  <w:tcW w:w="579"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工序</w:t>
                  </w:r>
                </w:p>
              </w:tc>
              <w:tc>
                <w:tcPr>
                  <w:tcW w:w="474"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污染物</w:t>
                  </w:r>
                </w:p>
              </w:tc>
              <w:tc>
                <w:tcPr>
                  <w:tcW w:w="2733" w:type="dxa"/>
                  <w:gridSpan w:val="5"/>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污染物产生</w:t>
                  </w:r>
                </w:p>
              </w:tc>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治理措施</w:t>
                  </w:r>
                </w:p>
              </w:tc>
              <w:tc>
                <w:tcPr>
                  <w:tcW w:w="2667" w:type="dxa"/>
                  <w:gridSpan w:val="5"/>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污染物排放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4"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Times New Roman"/>
                      <w:b/>
                      <w:bCs/>
                      <w:color w:val="auto"/>
                      <w:szCs w:val="21"/>
                      <w:highlight w:val="none"/>
                      <w:u w:val="single"/>
                    </w:rPr>
                  </w:pPr>
                </w:p>
              </w:tc>
              <w:tc>
                <w:tcPr>
                  <w:tcW w:w="5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Times New Roman"/>
                      <w:b/>
                      <w:bCs/>
                      <w:color w:val="auto"/>
                      <w:szCs w:val="21"/>
                      <w:highlight w:val="none"/>
                      <w:u w:val="single"/>
                    </w:rPr>
                  </w:pPr>
                </w:p>
              </w:tc>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Times New Roman"/>
                      <w:b/>
                      <w:bCs/>
                      <w:color w:val="auto"/>
                      <w:szCs w:val="21"/>
                      <w:highlight w:val="none"/>
                      <w:u w:val="single"/>
                    </w:rPr>
                  </w:pPr>
                </w:p>
              </w:tc>
              <w:tc>
                <w:tcPr>
                  <w:tcW w:w="43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核算方法</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产生废气量</w:t>
                  </w:r>
                  <w:r>
                    <w:rPr>
                      <w:b/>
                      <w:bCs/>
                      <w:color w:val="auto"/>
                      <w:sz w:val="20"/>
                      <w:szCs w:val="22"/>
                      <w:highlight w:val="none"/>
                      <w:u w:val="single"/>
                    </w:rPr>
                    <w:t>m</w:t>
                  </w:r>
                  <w:r>
                    <w:rPr>
                      <w:b/>
                      <w:bCs/>
                      <w:color w:val="auto"/>
                      <w:sz w:val="20"/>
                      <w:szCs w:val="22"/>
                      <w:highlight w:val="none"/>
                      <w:u w:val="single"/>
                      <w:vertAlign w:val="superscript"/>
                    </w:rPr>
                    <w:t>3</w:t>
                  </w:r>
                  <w:r>
                    <w:rPr>
                      <w:b/>
                      <w:bCs/>
                      <w:color w:val="auto"/>
                      <w:sz w:val="20"/>
                      <w:szCs w:val="22"/>
                      <w:highlight w:val="none"/>
                      <w:u w:val="single"/>
                    </w:rPr>
                    <w:t>/h</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产生浓度</w:t>
                  </w:r>
                  <w:r>
                    <w:rPr>
                      <w:rFonts w:hint="eastAsia"/>
                      <w:b/>
                      <w:bCs/>
                      <w:color w:val="auto"/>
                      <w:sz w:val="20"/>
                      <w:szCs w:val="22"/>
                      <w:highlight w:val="none"/>
                      <w:u w:val="single"/>
                    </w:rPr>
                    <w:t>mg/m</w:t>
                  </w:r>
                  <w:r>
                    <w:rPr>
                      <w:rFonts w:hint="eastAsia"/>
                      <w:b/>
                      <w:bCs/>
                      <w:color w:val="auto"/>
                      <w:sz w:val="20"/>
                      <w:szCs w:val="22"/>
                      <w:highlight w:val="none"/>
                      <w:u w:val="single"/>
                      <w:vertAlign w:val="superscript"/>
                    </w:rPr>
                    <w:t>3</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产生速率</w:t>
                  </w:r>
                  <w:r>
                    <w:rPr>
                      <w:rFonts w:hint="eastAsia"/>
                      <w:b/>
                      <w:bCs/>
                      <w:color w:val="auto"/>
                      <w:sz w:val="20"/>
                      <w:szCs w:val="22"/>
                      <w:highlight w:val="none"/>
                      <w:u w:val="single"/>
                    </w:rPr>
                    <w:t>kg/h</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产生量t/a</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处理工艺</w:t>
                  </w:r>
                </w:p>
              </w:tc>
              <w:tc>
                <w:tcPr>
                  <w:tcW w:w="5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效率%</w:t>
                  </w: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核算方法</w:t>
                  </w:r>
                </w:p>
              </w:tc>
              <w:tc>
                <w:tcPr>
                  <w:tcW w:w="52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排放废气量</w:t>
                  </w:r>
                  <w:r>
                    <w:rPr>
                      <w:b/>
                      <w:bCs/>
                      <w:color w:val="auto"/>
                      <w:sz w:val="20"/>
                      <w:szCs w:val="22"/>
                      <w:highlight w:val="none"/>
                      <w:u w:val="single"/>
                    </w:rPr>
                    <w:t>m</w:t>
                  </w:r>
                  <w:r>
                    <w:rPr>
                      <w:b/>
                      <w:bCs/>
                      <w:color w:val="auto"/>
                      <w:sz w:val="20"/>
                      <w:szCs w:val="22"/>
                      <w:highlight w:val="none"/>
                      <w:u w:val="single"/>
                      <w:vertAlign w:val="superscript"/>
                    </w:rPr>
                    <w:t>3</w:t>
                  </w:r>
                  <w:r>
                    <w:rPr>
                      <w:b/>
                      <w:bCs/>
                      <w:color w:val="auto"/>
                      <w:sz w:val="20"/>
                      <w:szCs w:val="22"/>
                      <w:highlight w:val="none"/>
                      <w:u w:val="single"/>
                    </w:rPr>
                    <w:t>/h</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排放浓度</w:t>
                  </w:r>
                  <w:r>
                    <w:rPr>
                      <w:rFonts w:hint="eastAsia"/>
                      <w:b/>
                      <w:bCs/>
                      <w:color w:val="auto"/>
                      <w:sz w:val="20"/>
                      <w:szCs w:val="22"/>
                      <w:highlight w:val="none"/>
                      <w:u w:val="single"/>
                    </w:rPr>
                    <w:t>mg/m</w:t>
                  </w:r>
                  <w:r>
                    <w:rPr>
                      <w:rFonts w:hint="eastAsia"/>
                      <w:b/>
                      <w:bCs/>
                      <w:color w:val="auto"/>
                      <w:sz w:val="20"/>
                      <w:szCs w:val="22"/>
                      <w:highlight w:val="none"/>
                      <w:u w:val="single"/>
                      <w:vertAlign w:val="superscript"/>
                    </w:rPr>
                    <w:t>3</w:t>
                  </w:r>
                </w:p>
              </w:tc>
              <w:tc>
                <w:tcPr>
                  <w:tcW w:w="5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排放速率</w:t>
                  </w:r>
                  <w:r>
                    <w:rPr>
                      <w:rFonts w:hint="eastAsia"/>
                      <w:b/>
                      <w:bCs/>
                      <w:color w:val="auto"/>
                      <w:sz w:val="20"/>
                      <w:szCs w:val="22"/>
                      <w:highlight w:val="none"/>
                      <w:u w:val="single"/>
                    </w:rPr>
                    <w:t>kg/h</w:t>
                  </w:r>
                </w:p>
              </w:tc>
              <w:tc>
                <w:tcPr>
                  <w:tcW w:w="52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4"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车间</w:t>
                  </w:r>
                </w:p>
              </w:tc>
              <w:tc>
                <w:tcPr>
                  <w:tcW w:w="57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破碎、粉碎</w:t>
                  </w:r>
                  <w:r>
                    <w:rPr>
                      <w:rFonts w:hint="eastAsia" w:cs="Times New Roman"/>
                      <w:color w:val="auto"/>
                      <w:szCs w:val="21"/>
                      <w:highlight w:val="none"/>
                      <w:u w:val="single"/>
                      <w:lang w:val="en-US" w:eastAsia="zh-CN"/>
                    </w:rPr>
                    <w:t>、筛分</w:t>
                  </w:r>
                  <w:r>
                    <w:rPr>
                      <w:rFonts w:hint="eastAsia" w:ascii="Times New Roman" w:hAnsi="Times New Roman" w:eastAsia="宋体" w:cs="Times New Roman"/>
                      <w:color w:val="auto"/>
                      <w:szCs w:val="21"/>
                      <w:highlight w:val="none"/>
                      <w:u w:val="single"/>
                      <w:lang w:val="en-US" w:eastAsia="zh-CN"/>
                    </w:rPr>
                    <w:t>、制粒</w:t>
                  </w:r>
                </w:p>
              </w:tc>
              <w:tc>
                <w:tcPr>
                  <w:tcW w:w="474"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颗粒物</w:t>
                  </w:r>
                </w:p>
              </w:tc>
              <w:tc>
                <w:tcPr>
                  <w:tcW w:w="434"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产污系数法</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0.67</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2.01</w:t>
                  </w:r>
                </w:p>
              </w:tc>
              <w:tc>
                <w:tcPr>
                  <w:tcW w:w="429"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0"/>
                      <w:szCs w:val="20"/>
                      <w:highlight w:val="none"/>
                      <w:u w:val="single"/>
                      <w:lang w:val="en-US" w:eastAsia="zh-CN"/>
                    </w:rPr>
                  </w:pPr>
                  <w:r>
                    <w:rPr>
                      <w:rFonts w:hint="eastAsia"/>
                      <w:color w:val="auto"/>
                      <w:highlight w:val="none"/>
                      <w:u w:val="single"/>
                    </w:rPr>
                    <w:t>封闭结构厂房</w:t>
                  </w:r>
                </w:p>
              </w:tc>
              <w:tc>
                <w:tcPr>
                  <w:tcW w:w="5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80</w:t>
                  </w: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产污系数法</w:t>
                  </w:r>
                </w:p>
              </w:tc>
              <w:tc>
                <w:tcPr>
                  <w:tcW w:w="52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0.13</w:t>
                  </w:r>
                </w:p>
              </w:tc>
              <w:tc>
                <w:tcPr>
                  <w:tcW w:w="52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4"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p>
              </w:tc>
              <w:tc>
                <w:tcPr>
                  <w:tcW w:w="57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装卸转移</w:t>
                  </w:r>
                </w:p>
              </w:tc>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p>
              </w:tc>
              <w:tc>
                <w:tcPr>
                  <w:tcW w:w="434"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49"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0.12</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0.35</w:t>
                  </w: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 w:val="20"/>
                      <w:szCs w:val="20"/>
                      <w:highlight w:val="none"/>
                      <w:u w:val="single"/>
                      <w:lang w:val="en-US" w:eastAsia="zh-CN"/>
                    </w:rPr>
                  </w:pPr>
                </w:p>
              </w:tc>
              <w:tc>
                <w:tcPr>
                  <w:tcW w:w="5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80</w:t>
                  </w:r>
                </w:p>
              </w:tc>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p>
              </w:tc>
              <w:tc>
                <w:tcPr>
                  <w:tcW w:w="52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60"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w:t>
                  </w:r>
                </w:p>
              </w:tc>
              <w:tc>
                <w:tcPr>
                  <w:tcW w:w="52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0.023</w:t>
                  </w:r>
                </w:p>
              </w:tc>
              <w:tc>
                <w:tcPr>
                  <w:tcW w:w="527"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0.07</w:t>
                  </w:r>
                </w:p>
              </w:tc>
            </w:tr>
          </w:tbl>
          <w:p>
            <w:pPr>
              <w:spacing w:before="120" w:beforeLines="50" w:line="360" w:lineRule="auto"/>
              <w:ind w:firstLine="482" w:firstLineChars="200"/>
              <w:rPr>
                <w:b/>
                <w:bCs/>
                <w:color w:val="auto"/>
                <w:sz w:val="24"/>
                <w:szCs w:val="32"/>
                <w:highlight w:val="none"/>
                <w:u w:val="single"/>
              </w:rPr>
            </w:pPr>
            <w:r>
              <w:rPr>
                <w:rFonts w:hint="eastAsia"/>
                <w:b/>
                <w:bCs/>
                <w:color w:val="auto"/>
                <w:sz w:val="24"/>
                <w:szCs w:val="32"/>
                <w:highlight w:val="none"/>
                <w:u w:val="single"/>
              </w:rPr>
              <w:t>（</w:t>
            </w:r>
            <w:r>
              <w:rPr>
                <w:rFonts w:hint="eastAsia"/>
                <w:b/>
                <w:bCs/>
                <w:color w:val="auto"/>
                <w:sz w:val="24"/>
                <w:szCs w:val="32"/>
                <w:highlight w:val="none"/>
                <w:u w:val="single"/>
                <w:lang w:val="en-US" w:eastAsia="zh-CN"/>
              </w:rPr>
              <w:t>2</w:t>
            </w:r>
            <w:r>
              <w:rPr>
                <w:rFonts w:hint="eastAsia"/>
                <w:b/>
                <w:bCs/>
                <w:color w:val="auto"/>
                <w:sz w:val="24"/>
                <w:szCs w:val="32"/>
                <w:highlight w:val="none"/>
                <w:u w:val="single"/>
              </w:rPr>
              <w:t>）大气污染物排放核算</w:t>
            </w:r>
          </w:p>
          <w:p>
            <w:pPr>
              <w:tabs>
                <w:tab w:val="left" w:pos="3403"/>
              </w:tabs>
              <w:snapToGrid w:val="0"/>
              <w:spacing w:line="360" w:lineRule="auto"/>
              <w:jc w:val="center"/>
              <w:rPr>
                <w:rFonts w:ascii="宋体" w:hAnsi="宋体" w:cs="宋体"/>
                <w:color w:val="auto"/>
                <w:sz w:val="24"/>
                <w:highlight w:val="none"/>
                <w:u w:val="single"/>
              </w:rPr>
            </w:pPr>
            <w:r>
              <w:rPr>
                <w:rFonts w:ascii="宋体" w:hAnsi="宋体" w:cs="宋体"/>
                <w:b/>
                <w:bCs/>
                <w:color w:val="auto"/>
                <w:sz w:val="24"/>
                <w:highlight w:val="none"/>
                <w:u w:val="single"/>
              </w:rPr>
              <w:t>表</w:t>
            </w:r>
            <w:r>
              <w:rPr>
                <w:rFonts w:hint="eastAsia"/>
                <w:b/>
                <w:bCs/>
                <w:color w:val="auto"/>
                <w:sz w:val="24"/>
                <w:highlight w:val="none"/>
                <w:u w:val="single"/>
              </w:rPr>
              <w:t>4-</w:t>
            </w:r>
            <w:r>
              <w:rPr>
                <w:rFonts w:hint="eastAsia"/>
                <w:b/>
                <w:bCs/>
                <w:color w:val="auto"/>
                <w:sz w:val="24"/>
                <w:highlight w:val="none"/>
                <w:u w:val="single"/>
                <w:lang w:val="en-US" w:eastAsia="zh-CN"/>
              </w:rPr>
              <w:t>4</w:t>
            </w:r>
            <w:r>
              <w:rPr>
                <w:rFonts w:hint="eastAsia"/>
                <w:b/>
                <w:bCs/>
                <w:color w:val="auto"/>
                <w:sz w:val="24"/>
                <w:highlight w:val="none"/>
                <w:u w:val="single"/>
              </w:rPr>
              <w:t xml:space="preserve">  </w:t>
            </w:r>
            <w:r>
              <w:rPr>
                <w:rFonts w:ascii="宋体" w:hAnsi="宋体" w:cs="宋体"/>
                <w:b/>
                <w:bCs/>
                <w:color w:val="auto"/>
                <w:spacing w:val="1"/>
                <w:sz w:val="24"/>
                <w:highlight w:val="none"/>
                <w:u w:val="single"/>
              </w:rPr>
              <w:t>项目大气污染物有组织排放量核算表</w:t>
            </w:r>
          </w:p>
          <w:tbl>
            <w:tblPr>
              <w:tblStyle w:val="23"/>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93"/>
              <w:gridCol w:w="1244"/>
              <w:gridCol w:w="704"/>
              <w:gridCol w:w="1589"/>
              <w:gridCol w:w="1485"/>
              <w:gridCol w:w="1223"/>
              <w:gridCol w:w="13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46" w:type="pct"/>
                  <w:noWrap w:val="0"/>
                  <w:vAlign w:val="center"/>
                </w:tcPr>
                <w:p>
                  <w:pPr>
                    <w:pStyle w:val="63"/>
                    <w:snapToGrid w:val="0"/>
                    <w:spacing w:before="36" w:beforeLines="15" w:line="276" w:lineRule="auto"/>
                    <w:jc w:val="center"/>
                    <w:rPr>
                      <w:b/>
                      <w:bCs/>
                      <w:color w:val="auto"/>
                      <w:spacing w:val="1"/>
                      <w:sz w:val="21"/>
                      <w:szCs w:val="21"/>
                      <w:highlight w:val="none"/>
                      <w:u w:val="single"/>
                    </w:rPr>
                  </w:pPr>
                  <w:r>
                    <w:rPr>
                      <w:b/>
                      <w:bCs/>
                      <w:color w:val="auto"/>
                      <w:spacing w:val="1"/>
                      <w:sz w:val="21"/>
                      <w:szCs w:val="21"/>
                      <w:highlight w:val="none"/>
                      <w:u w:val="single"/>
                    </w:rPr>
                    <w:t>序号</w:t>
                  </w:r>
                </w:p>
              </w:tc>
              <w:tc>
                <w:tcPr>
                  <w:tcW w:w="778" w:type="pct"/>
                  <w:noWrap w:val="0"/>
                  <w:vAlign w:val="center"/>
                </w:tcPr>
                <w:p>
                  <w:pPr>
                    <w:pStyle w:val="63"/>
                    <w:snapToGrid w:val="0"/>
                    <w:spacing w:before="36" w:beforeLines="15" w:line="276" w:lineRule="auto"/>
                    <w:jc w:val="center"/>
                    <w:rPr>
                      <w:b/>
                      <w:bCs/>
                      <w:color w:val="auto"/>
                      <w:spacing w:val="1"/>
                      <w:sz w:val="21"/>
                      <w:szCs w:val="21"/>
                      <w:highlight w:val="none"/>
                      <w:u w:val="single"/>
                    </w:rPr>
                  </w:pPr>
                  <w:r>
                    <w:rPr>
                      <w:b/>
                      <w:bCs/>
                      <w:color w:val="auto"/>
                      <w:spacing w:val="1"/>
                      <w:sz w:val="21"/>
                      <w:szCs w:val="21"/>
                      <w:highlight w:val="none"/>
                      <w:u w:val="single"/>
                    </w:rPr>
                    <w:t>排放口编号</w:t>
                  </w:r>
                </w:p>
              </w:tc>
              <w:tc>
                <w:tcPr>
                  <w:tcW w:w="441" w:type="pct"/>
                  <w:noWrap w:val="0"/>
                  <w:vAlign w:val="center"/>
                </w:tcPr>
                <w:p>
                  <w:pPr>
                    <w:pStyle w:val="63"/>
                    <w:snapToGrid w:val="0"/>
                    <w:spacing w:before="36" w:beforeLines="15" w:line="276" w:lineRule="auto"/>
                    <w:jc w:val="center"/>
                    <w:rPr>
                      <w:color w:val="auto"/>
                      <w:sz w:val="21"/>
                      <w:szCs w:val="21"/>
                      <w:highlight w:val="none"/>
                      <w:u w:val="single"/>
                    </w:rPr>
                  </w:pPr>
                  <w:r>
                    <w:rPr>
                      <w:b/>
                      <w:bCs/>
                      <w:color w:val="auto"/>
                      <w:spacing w:val="1"/>
                      <w:sz w:val="21"/>
                      <w:szCs w:val="21"/>
                      <w:highlight w:val="none"/>
                      <w:u w:val="single"/>
                    </w:rPr>
                    <w:t>污染物</w:t>
                  </w:r>
                </w:p>
              </w:tc>
              <w:tc>
                <w:tcPr>
                  <w:tcW w:w="995" w:type="pct"/>
                  <w:noWrap w:val="0"/>
                  <w:vAlign w:val="center"/>
                </w:tcPr>
                <w:p>
                  <w:pPr>
                    <w:pStyle w:val="63"/>
                    <w:snapToGrid w:val="0"/>
                    <w:spacing w:before="36" w:beforeLines="15" w:line="276" w:lineRule="auto"/>
                    <w:jc w:val="center"/>
                    <w:rPr>
                      <w:color w:val="auto"/>
                      <w:sz w:val="21"/>
                      <w:szCs w:val="21"/>
                      <w:highlight w:val="none"/>
                      <w:u w:val="single"/>
                    </w:rPr>
                  </w:pPr>
                  <w:r>
                    <w:rPr>
                      <w:b/>
                      <w:bCs/>
                      <w:color w:val="auto"/>
                      <w:spacing w:val="1"/>
                      <w:sz w:val="21"/>
                      <w:szCs w:val="21"/>
                      <w:highlight w:val="none"/>
                      <w:u w:val="single"/>
                    </w:rPr>
                    <w:t>主要污染防治措施</w:t>
                  </w:r>
                </w:p>
              </w:tc>
              <w:tc>
                <w:tcPr>
                  <w:tcW w:w="930" w:type="pct"/>
                  <w:noWrap w:val="0"/>
                  <w:vAlign w:val="center"/>
                </w:tcPr>
                <w:p>
                  <w:pPr>
                    <w:pStyle w:val="63"/>
                    <w:snapToGrid w:val="0"/>
                    <w:spacing w:before="36" w:beforeLines="15" w:line="276" w:lineRule="auto"/>
                    <w:jc w:val="center"/>
                    <w:rPr>
                      <w:color w:val="auto"/>
                      <w:sz w:val="21"/>
                      <w:szCs w:val="21"/>
                      <w:highlight w:val="none"/>
                      <w:u w:val="single"/>
                    </w:rPr>
                  </w:pPr>
                  <w:r>
                    <w:rPr>
                      <w:b/>
                      <w:bCs/>
                      <w:color w:val="auto"/>
                      <w:spacing w:val="2"/>
                      <w:sz w:val="21"/>
                      <w:szCs w:val="21"/>
                      <w:highlight w:val="none"/>
                      <w:u w:val="single"/>
                    </w:rPr>
                    <w:t>核算排</w:t>
                  </w:r>
                  <w:r>
                    <w:rPr>
                      <w:b/>
                      <w:bCs/>
                      <w:color w:val="auto"/>
                      <w:spacing w:val="-1"/>
                      <w:sz w:val="21"/>
                      <w:szCs w:val="21"/>
                      <w:highlight w:val="none"/>
                      <w:u w:val="single"/>
                    </w:rPr>
                    <w:t>放</w:t>
                  </w:r>
                  <w:r>
                    <w:rPr>
                      <w:b/>
                      <w:bCs/>
                      <w:color w:val="auto"/>
                      <w:sz w:val="21"/>
                      <w:szCs w:val="21"/>
                      <w:highlight w:val="none"/>
                      <w:u w:val="single"/>
                    </w:rPr>
                    <w:t>浓</w:t>
                  </w:r>
                  <w:r>
                    <w:rPr>
                      <w:b/>
                      <w:bCs/>
                      <w:color w:val="auto"/>
                      <w:spacing w:val="-2"/>
                      <w:sz w:val="21"/>
                      <w:szCs w:val="21"/>
                      <w:highlight w:val="none"/>
                      <w:u w:val="single"/>
                    </w:rPr>
                    <w:t>度/（</w:t>
                  </w:r>
                  <w:r>
                    <w:rPr>
                      <w:rFonts w:hint="eastAsia"/>
                      <w:b/>
                      <w:bCs/>
                      <w:color w:val="auto"/>
                      <w:spacing w:val="-2"/>
                      <w:sz w:val="21"/>
                      <w:szCs w:val="21"/>
                      <w:highlight w:val="none"/>
                      <w:u w:val="single"/>
                    </w:rPr>
                    <w:t>m</w:t>
                  </w:r>
                  <w:r>
                    <w:rPr>
                      <w:b/>
                      <w:bCs/>
                      <w:color w:val="auto"/>
                      <w:spacing w:val="-2"/>
                      <w:sz w:val="21"/>
                      <w:szCs w:val="21"/>
                      <w:highlight w:val="none"/>
                      <w:u w:val="single"/>
                    </w:rPr>
                    <w:t>g/m</w:t>
                  </w:r>
                  <w:r>
                    <w:rPr>
                      <w:rFonts w:hint="eastAsia"/>
                      <w:b/>
                      <w:bCs/>
                      <w:color w:val="auto"/>
                      <w:spacing w:val="-2"/>
                      <w:sz w:val="21"/>
                      <w:szCs w:val="21"/>
                      <w:highlight w:val="none"/>
                      <w:u w:val="single"/>
                      <w:vertAlign w:val="superscript"/>
                    </w:rPr>
                    <w:t>3</w:t>
                  </w:r>
                  <w:r>
                    <w:rPr>
                      <w:b/>
                      <w:bCs/>
                      <w:color w:val="auto"/>
                      <w:spacing w:val="-2"/>
                      <w:sz w:val="21"/>
                      <w:szCs w:val="21"/>
                      <w:highlight w:val="none"/>
                      <w:u w:val="single"/>
                    </w:rPr>
                    <w:t>）</w:t>
                  </w:r>
                </w:p>
              </w:tc>
              <w:tc>
                <w:tcPr>
                  <w:tcW w:w="766" w:type="pct"/>
                  <w:noWrap w:val="0"/>
                  <w:vAlign w:val="center"/>
                </w:tcPr>
                <w:p>
                  <w:pPr>
                    <w:pStyle w:val="63"/>
                    <w:snapToGrid w:val="0"/>
                    <w:spacing w:before="36" w:beforeLines="15" w:line="276" w:lineRule="auto"/>
                    <w:jc w:val="center"/>
                    <w:rPr>
                      <w:color w:val="auto"/>
                      <w:sz w:val="21"/>
                      <w:szCs w:val="21"/>
                      <w:highlight w:val="none"/>
                      <w:u w:val="single"/>
                    </w:rPr>
                  </w:pPr>
                  <w:r>
                    <w:rPr>
                      <w:b/>
                      <w:bCs/>
                      <w:color w:val="auto"/>
                      <w:spacing w:val="2"/>
                      <w:sz w:val="21"/>
                      <w:szCs w:val="21"/>
                      <w:highlight w:val="none"/>
                      <w:u w:val="single"/>
                    </w:rPr>
                    <w:t>核算排</w:t>
                  </w:r>
                  <w:r>
                    <w:rPr>
                      <w:b/>
                      <w:bCs/>
                      <w:color w:val="auto"/>
                      <w:spacing w:val="-1"/>
                      <w:sz w:val="21"/>
                      <w:szCs w:val="21"/>
                      <w:highlight w:val="none"/>
                      <w:u w:val="single"/>
                    </w:rPr>
                    <w:t>放</w:t>
                  </w:r>
                  <w:r>
                    <w:rPr>
                      <w:b/>
                      <w:bCs/>
                      <w:color w:val="auto"/>
                      <w:sz w:val="21"/>
                      <w:szCs w:val="21"/>
                      <w:highlight w:val="none"/>
                      <w:u w:val="single"/>
                    </w:rPr>
                    <w:t>速</w:t>
                  </w:r>
                  <w:r>
                    <w:rPr>
                      <w:b/>
                      <w:bCs/>
                      <w:color w:val="auto"/>
                      <w:w w:val="95"/>
                      <w:sz w:val="21"/>
                      <w:szCs w:val="21"/>
                      <w:highlight w:val="none"/>
                      <w:u w:val="single"/>
                    </w:rPr>
                    <w:t>率/（</w:t>
                  </w:r>
                  <w:r>
                    <w:rPr>
                      <w:rFonts w:hint="eastAsia"/>
                      <w:b/>
                      <w:bCs/>
                      <w:color w:val="auto"/>
                      <w:w w:val="95"/>
                      <w:sz w:val="21"/>
                      <w:szCs w:val="21"/>
                      <w:highlight w:val="none"/>
                      <w:u w:val="single"/>
                    </w:rPr>
                    <w:t>kg/h</w:t>
                  </w:r>
                  <w:r>
                    <w:rPr>
                      <w:b/>
                      <w:bCs/>
                      <w:color w:val="auto"/>
                      <w:w w:val="95"/>
                      <w:sz w:val="21"/>
                      <w:szCs w:val="21"/>
                      <w:highlight w:val="none"/>
                      <w:u w:val="single"/>
                    </w:rPr>
                    <w:t>）</w:t>
                  </w:r>
                </w:p>
              </w:tc>
              <w:tc>
                <w:tcPr>
                  <w:tcW w:w="841" w:type="pct"/>
                  <w:noWrap w:val="0"/>
                  <w:vAlign w:val="center"/>
                </w:tcPr>
                <w:p>
                  <w:pPr>
                    <w:pStyle w:val="63"/>
                    <w:snapToGrid w:val="0"/>
                    <w:spacing w:before="36" w:beforeLines="15" w:line="276" w:lineRule="auto"/>
                    <w:jc w:val="center"/>
                    <w:rPr>
                      <w:b/>
                      <w:bCs/>
                      <w:color w:val="auto"/>
                      <w:spacing w:val="2"/>
                      <w:sz w:val="21"/>
                      <w:szCs w:val="21"/>
                      <w:highlight w:val="none"/>
                      <w:u w:val="single"/>
                    </w:rPr>
                  </w:pPr>
                  <w:r>
                    <w:rPr>
                      <w:b/>
                      <w:bCs/>
                      <w:color w:val="auto"/>
                      <w:spacing w:val="2"/>
                      <w:sz w:val="21"/>
                      <w:szCs w:val="21"/>
                      <w:highlight w:val="none"/>
                      <w:u w:val="single"/>
                    </w:rPr>
                    <w:t>核算年排放量/（t/a）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一般排放口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46" w:type="pct"/>
                  <w:vMerge w:val="restart"/>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1</w:t>
                  </w:r>
                </w:p>
              </w:tc>
              <w:tc>
                <w:tcPr>
                  <w:tcW w:w="778" w:type="pct"/>
                  <w:vMerge w:val="restart"/>
                  <w:noWrap w:val="0"/>
                  <w:vAlign w:val="center"/>
                </w:tcPr>
                <w:p>
                  <w:pPr>
                    <w:pStyle w:val="63"/>
                    <w:snapToGrid w:val="0"/>
                    <w:spacing w:before="36" w:beforeLines="15" w:line="276" w:lineRule="auto"/>
                    <w:jc w:val="center"/>
                    <w:rPr>
                      <w:rFonts w:hint="eastAsia" w:eastAsia="宋体"/>
                      <w:color w:val="auto"/>
                      <w:sz w:val="21"/>
                      <w:szCs w:val="21"/>
                      <w:highlight w:val="none"/>
                      <w:u w:val="single"/>
                      <w:lang w:eastAsia="zh-CN"/>
                    </w:rPr>
                  </w:pPr>
                  <w:r>
                    <w:rPr>
                      <w:rFonts w:hint="eastAsia"/>
                      <w:color w:val="auto"/>
                      <w:sz w:val="21"/>
                      <w:szCs w:val="21"/>
                      <w:highlight w:val="none"/>
                      <w:u w:val="single"/>
                    </w:rPr>
                    <w:t>DA00</w:t>
                  </w:r>
                  <w:r>
                    <w:rPr>
                      <w:rFonts w:hint="eastAsia"/>
                      <w:color w:val="auto"/>
                      <w:sz w:val="21"/>
                      <w:szCs w:val="21"/>
                      <w:highlight w:val="none"/>
                      <w:u w:val="single"/>
                      <w:lang w:val="en-US" w:eastAsia="zh-CN"/>
                    </w:rPr>
                    <w:t>1</w:t>
                  </w:r>
                </w:p>
              </w:tc>
              <w:tc>
                <w:tcPr>
                  <w:tcW w:w="441" w:type="pct"/>
                  <w:noWrap w:val="0"/>
                  <w:vAlign w:val="center"/>
                </w:tcPr>
                <w:p>
                  <w:pPr>
                    <w:pStyle w:val="63"/>
                    <w:snapToGrid w:val="0"/>
                    <w:spacing w:before="36" w:beforeLines="15" w:line="276" w:lineRule="auto"/>
                    <w:jc w:val="center"/>
                    <w:rPr>
                      <w:color w:val="auto"/>
                      <w:sz w:val="21"/>
                      <w:szCs w:val="21"/>
                      <w:highlight w:val="none"/>
                      <w:u w:val="single"/>
                    </w:rPr>
                  </w:pPr>
                  <w:r>
                    <w:rPr>
                      <w:rFonts w:hint="eastAsia" w:ascii="Times New Roman" w:hAnsi="Times New Roman"/>
                      <w:color w:val="auto"/>
                      <w:sz w:val="21"/>
                      <w:szCs w:val="21"/>
                      <w:highlight w:val="none"/>
                      <w:u w:val="single"/>
                      <w:lang w:val="en-US" w:eastAsia="zh-CN"/>
                    </w:rPr>
                    <w:t>颗粒物</w:t>
                  </w:r>
                </w:p>
              </w:tc>
              <w:tc>
                <w:tcPr>
                  <w:tcW w:w="995" w:type="pct"/>
                  <w:vMerge w:val="restart"/>
                  <w:noWrap w:val="0"/>
                  <w:vAlign w:val="center"/>
                </w:tcPr>
                <w:p>
                  <w:pPr>
                    <w:pStyle w:val="63"/>
                    <w:snapToGrid w:val="0"/>
                    <w:spacing w:before="36" w:beforeLines="15" w:line="276" w:lineRule="auto"/>
                    <w:jc w:val="center"/>
                    <w:rPr>
                      <w:color w:val="auto"/>
                      <w:sz w:val="21"/>
                      <w:szCs w:val="21"/>
                      <w:highlight w:val="none"/>
                      <w:u w:val="single"/>
                    </w:rPr>
                  </w:pPr>
                  <w:r>
                    <w:rPr>
                      <w:rFonts w:hint="eastAsia"/>
                      <w:color w:val="auto"/>
                      <w:sz w:val="21"/>
                      <w:szCs w:val="21"/>
                      <w:highlight w:val="none"/>
                      <w:u w:val="single"/>
                      <w:lang w:val="en-US" w:eastAsia="zh-CN"/>
                    </w:rPr>
                    <w:t>旋风除尘+布袋除尘</w:t>
                  </w:r>
                  <w:r>
                    <w:rPr>
                      <w:rFonts w:hint="eastAsia"/>
                      <w:color w:val="auto"/>
                      <w:sz w:val="21"/>
                      <w:szCs w:val="21"/>
                      <w:highlight w:val="none"/>
                      <w:u w:val="single"/>
                    </w:rPr>
                    <w:t>+15m高排气筒</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eastAsia="宋体"/>
                      <w:color w:val="auto"/>
                      <w:kern w:val="0"/>
                      <w:szCs w:val="21"/>
                      <w:highlight w:val="none"/>
                      <w:u w:val="single"/>
                      <w:lang w:val="en-US" w:eastAsia="zh-CN"/>
                    </w:rPr>
                  </w:pPr>
                  <w:r>
                    <w:rPr>
                      <w:rFonts w:hint="eastAsia"/>
                      <w:color w:val="auto"/>
                      <w:kern w:val="0"/>
                      <w:szCs w:val="21"/>
                      <w:highlight w:val="none"/>
                      <w:u w:val="single"/>
                      <w:lang w:val="en-US" w:eastAsia="zh-CN"/>
                    </w:rPr>
                    <w:t>26.7</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eastAsia="宋体"/>
                      <w:color w:val="auto"/>
                      <w:kern w:val="0"/>
                      <w:szCs w:val="21"/>
                      <w:highlight w:val="none"/>
                      <w:u w:val="single"/>
                      <w:lang w:val="en-US" w:eastAsia="zh-CN"/>
                    </w:rPr>
                  </w:pPr>
                  <w:r>
                    <w:rPr>
                      <w:rFonts w:hint="eastAsia" w:eastAsia="宋体"/>
                      <w:color w:val="auto"/>
                      <w:kern w:val="0"/>
                      <w:szCs w:val="21"/>
                      <w:highlight w:val="none"/>
                      <w:u w:val="single"/>
                      <w:lang w:val="en-US" w:eastAsia="zh-CN"/>
                    </w:rPr>
                    <w:t>0.37</w:t>
                  </w:r>
                </w:p>
              </w:tc>
              <w:tc>
                <w:tcPr>
                  <w:tcW w:w="84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eastAsia="宋体"/>
                      <w:color w:val="auto"/>
                      <w:kern w:val="0"/>
                      <w:szCs w:val="21"/>
                      <w:highlight w:val="none"/>
                      <w:u w:val="single"/>
                      <w:lang w:val="en-US" w:eastAsia="zh-CN"/>
                    </w:rPr>
                  </w:pPr>
                  <w:r>
                    <w:rPr>
                      <w:rFonts w:hint="eastAsia" w:eastAsia="宋体"/>
                      <w:color w:val="auto"/>
                      <w:kern w:val="0"/>
                      <w:szCs w:val="21"/>
                      <w:highlight w:val="none"/>
                      <w:u w:val="single"/>
                      <w:lang w:val="en-US" w:eastAsia="zh-CN"/>
                    </w:rPr>
                    <w:t>1.112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46" w:type="pct"/>
                  <w:vMerge w:val="continue"/>
                  <w:noWrap w:val="0"/>
                  <w:vAlign w:val="center"/>
                </w:tcPr>
                <w:p>
                  <w:pPr>
                    <w:pStyle w:val="63"/>
                    <w:snapToGrid w:val="0"/>
                    <w:spacing w:before="36" w:beforeLines="15" w:line="276" w:lineRule="auto"/>
                    <w:jc w:val="center"/>
                    <w:rPr>
                      <w:color w:val="auto"/>
                      <w:sz w:val="21"/>
                      <w:szCs w:val="21"/>
                      <w:highlight w:val="none"/>
                      <w:u w:val="single"/>
                    </w:rPr>
                  </w:pPr>
                </w:p>
              </w:tc>
              <w:tc>
                <w:tcPr>
                  <w:tcW w:w="778" w:type="pct"/>
                  <w:vMerge w:val="continue"/>
                  <w:noWrap w:val="0"/>
                  <w:vAlign w:val="center"/>
                </w:tcPr>
                <w:p>
                  <w:pPr>
                    <w:pStyle w:val="63"/>
                    <w:snapToGrid w:val="0"/>
                    <w:spacing w:before="36" w:beforeLines="15" w:line="276" w:lineRule="auto"/>
                    <w:jc w:val="center"/>
                    <w:rPr>
                      <w:rFonts w:hint="eastAsia"/>
                      <w:color w:val="auto"/>
                      <w:sz w:val="21"/>
                      <w:szCs w:val="21"/>
                      <w:highlight w:val="none"/>
                      <w:u w:val="single"/>
                    </w:rPr>
                  </w:pPr>
                </w:p>
              </w:tc>
              <w:tc>
                <w:tcPr>
                  <w:tcW w:w="44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rPr>
                    <w:t>SO</w:t>
                  </w:r>
                  <w:r>
                    <w:rPr>
                      <w:rFonts w:hint="eastAsia" w:ascii="Times New Roman" w:hAnsi="Times New Roman" w:eastAsia="宋体" w:cs="Times New Roman"/>
                      <w:color w:val="auto"/>
                      <w:sz w:val="21"/>
                      <w:szCs w:val="21"/>
                      <w:highlight w:val="none"/>
                      <w:u w:val="single"/>
                      <w:vertAlign w:val="subscript"/>
                    </w:rPr>
                    <w:t>2</w:t>
                  </w:r>
                </w:p>
              </w:tc>
              <w:tc>
                <w:tcPr>
                  <w:tcW w:w="995" w:type="pct"/>
                  <w:vMerge w:val="continue"/>
                  <w:noWrap w:val="0"/>
                  <w:vAlign w:val="center"/>
                </w:tcPr>
                <w:p>
                  <w:pPr>
                    <w:pStyle w:val="63"/>
                    <w:snapToGrid w:val="0"/>
                    <w:spacing w:before="36" w:beforeLines="15" w:line="276" w:lineRule="auto"/>
                    <w:jc w:val="center"/>
                    <w:rPr>
                      <w:rFonts w:hint="eastAsia"/>
                      <w:color w:val="auto"/>
                      <w:sz w:val="21"/>
                      <w:szCs w:val="21"/>
                      <w:highlight w:val="none"/>
                      <w:u w:val="single"/>
                      <w:lang w:val="en-US" w:eastAsia="zh-CN"/>
                    </w:rPr>
                  </w:pP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kern w:val="0"/>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31.25</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宋体"/>
                      <w:color w:val="auto"/>
                      <w:kern w:val="0"/>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0.25</w:t>
                  </w:r>
                </w:p>
              </w:tc>
              <w:tc>
                <w:tcPr>
                  <w:tcW w:w="84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宋体"/>
                      <w:color w:val="auto"/>
                      <w:kern w:val="0"/>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46" w:type="pct"/>
                  <w:vMerge w:val="continue"/>
                  <w:noWrap w:val="0"/>
                  <w:vAlign w:val="center"/>
                </w:tcPr>
                <w:p>
                  <w:pPr>
                    <w:pStyle w:val="63"/>
                    <w:snapToGrid w:val="0"/>
                    <w:spacing w:before="36" w:beforeLines="15" w:line="276" w:lineRule="auto"/>
                    <w:jc w:val="center"/>
                    <w:rPr>
                      <w:color w:val="auto"/>
                      <w:sz w:val="21"/>
                      <w:szCs w:val="21"/>
                      <w:highlight w:val="none"/>
                      <w:u w:val="single"/>
                    </w:rPr>
                  </w:pPr>
                </w:p>
              </w:tc>
              <w:tc>
                <w:tcPr>
                  <w:tcW w:w="778" w:type="pct"/>
                  <w:vMerge w:val="continue"/>
                  <w:noWrap w:val="0"/>
                  <w:vAlign w:val="center"/>
                </w:tcPr>
                <w:p>
                  <w:pPr>
                    <w:pStyle w:val="63"/>
                    <w:snapToGrid w:val="0"/>
                    <w:spacing w:before="36" w:beforeLines="15" w:line="276" w:lineRule="auto"/>
                    <w:jc w:val="center"/>
                    <w:rPr>
                      <w:rFonts w:hint="eastAsia"/>
                      <w:color w:val="auto"/>
                      <w:sz w:val="21"/>
                      <w:szCs w:val="21"/>
                      <w:highlight w:val="none"/>
                      <w:u w:val="single"/>
                    </w:rPr>
                  </w:pPr>
                </w:p>
              </w:tc>
              <w:tc>
                <w:tcPr>
                  <w:tcW w:w="44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rPr>
                    <w:t>NO</w:t>
                  </w:r>
                  <w:r>
                    <w:rPr>
                      <w:rFonts w:hint="eastAsia" w:ascii="Times New Roman" w:hAnsi="Times New Roman" w:eastAsia="宋体" w:cs="Times New Roman"/>
                      <w:color w:val="auto"/>
                      <w:sz w:val="21"/>
                      <w:szCs w:val="21"/>
                      <w:highlight w:val="none"/>
                      <w:u w:val="single"/>
                      <w:vertAlign w:val="subscript"/>
                    </w:rPr>
                    <w:t>X</w:t>
                  </w:r>
                </w:p>
              </w:tc>
              <w:tc>
                <w:tcPr>
                  <w:tcW w:w="995" w:type="pct"/>
                  <w:vMerge w:val="continue"/>
                  <w:noWrap w:val="0"/>
                  <w:vAlign w:val="center"/>
                </w:tcPr>
                <w:p>
                  <w:pPr>
                    <w:pStyle w:val="63"/>
                    <w:snapToGrid w:val="0"/>
                    <w:spacing w:before="36" w:beforeLines="15" w:line="276" w:lineRule="auto"/>
                    <w:jc w:val="center"/>
                    <w:rPr>
                      <w:rFonts w:hint="eastAsia"/>
                      <w:color w:val="auto"/>
                      <w:sz w:val="21"/>
                      <w:szCs w:val="21"/>
                      <w:highlight w:val="none"/>
                      <w:u w:val="single"/>
                      <w:lang w:val="en-US" w:eastAsia="zh-CN"/>
                    </w:rPr>
                  </w:pP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kern w:val="0"/>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18.75</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宋体"/>
                      <w:color w:val="auto"/>
                      <w:kern w:val="0"/>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0.15</w:t>
                  </w:r>
                </w:p>
              </w:tc>
              <w:tc>
                <w:tcPr>
                  <w:tcW w:w="841"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宋体"/>
                      <w:color w:val="auto"/>
                      <w:kern w:val="0"/>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有组织排放总计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025" w:type="pct"/>
                  <w:gridSpan w:val="2"/>
                  <w:vMerge w:val="restart"/>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有组织排放总计</w:t>
                  </w:r>
                </w:p>
              </w:tc>
              <w:tc>
                <w:tcPr>
                  <w:tcW w:w="3132" w:type="pct"/>
                  <w:gridSpan w:val="4"/>
                  <w:noWrap w:val="0"/>
                  <w:vAlign w:val="center"/>
                </w:tcPr>
                <w:p>
                  <w:pPr>
                    <w:pStyle w:val="63"/>
                    <w:snapToGrid w:val="0"/>
                    <w:spacing w:before="36" w:beforeLines="15" w:line="276" w:lineRule="auto"/>
                    <w:jc w:val="center"/>
                    <w:rPr>
                      <w:color w:val="auto"/>
                      <w:sz w:val="21"/>
                      <w:szCs w:val="21"/>
                      <w:highlight w:val="none"/>
                      <w:u w:val="single"/>
                    </w:rPr>
                  </w:pPr>
                  <w:r>
                    <w:rPr>
                      <w:rFonts w:hint="eastAsia"/>
                      <w:color w:val="auto"/>
                      <w:sz w:val="21"/>
                      <w:szCs w:val="21"/>
                      <w:highlight w:val="none"/>
                      <w:u w:val="single"/>
                    </w:rPr>
                    <w:t>颗粒物</w:t>
                  </w:r>
                </w:p>
              </w:tc>
              <w:tc>
                <w:tcPr>
                  <w:tcW w:w="841" w:type="pct"/>
                  <w:noWrap w:val="0"/>
                  <w:vAlign w:val="center"/>
                </w:tcPr>
                <w:p>
                  <w:pPr>
                    <w:jc w:val="center"/>
                    <w:rPr>
                      <w:rFonts w:hint="default" w:eastAsia="宋体"/>
                      <w:color w:val="auto"/>
                      <w:kern w:val="0"/>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1.112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5" w:type="pct"/>
                  <w:gridSpan w:val="2"/>
                  <w:vMerge w:val="continue"/>
                  <w:noWrap w:val="0"/>
                  <w:vAlign w:val="center"/>
                </w:tcPr>
                <w:p>
                  <w:pPr>
                    <w:pStyle w:val="63"/>
                    <w:snapToGrid w:val="0"/>
                    <w:spacing w:before="36" w:beforeLines="15" w:line="276" w:lineRule="auto"/>
                    <w:jc w:val="center"/>
                    <w:rPr>
                      <w:color w:val="auto"/>
                      <w:sz w:val="21"/>
                      <w:szCs w:val="21"/>
                      <w:highlight w:val="none"/>
                      <w:u w:val="single"/>
                    </w:rPr>
                  </w:pPr>
                </w:p>
              </w:tc>
              <w:tc>
                <w:tcPr>
                  <w:tcW w:w="4964" w:type="dxa"/>
                  <w:gridSpan w:val="4"/>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sz w:val="21"/>
                      <w:szCs w:val="21"/>
                      <w:highlight w:val="none"/>
                      <w:u w:val="single"/>
                    </w:rPr>
                  </w:pPr>
                  <w:r>
                    <w:rPr>
                      <w:rFonts w:hint="eastAsia" w:ascii="Times New Roman" w:hAnsi="Times New Roman" w:eastAsia="宋体" w:cs="Times New Roman"/>
                      <w:color w:val="auto"/>
                      <w:sz w:val="21"/>
                      <w:szCs w:val="21"/>
                      <w:highlight w:val="none"/>
                      <w:u w:val="single"/>
                    </w:rPr>
                    <w:t>SO</w:t>
                  </w:r>
                  <w:r>
                    <w:rPr>
                      <w:rFonts w:hint="eastAsia" w:ascii="Times New Roman" w:hAnsi="Times New Roman" w:eastAsia="宋体" w:cs="Times New Roman"/>
                      <w:color w:val="auto"/>
                      <w:sz w:val="21"/>
                      <w:szCs w:val="21"/>
                      <w:highlight w:val="none"/>
                      <w:u w:val="single"/>
                      <w:vertAlign w:val="subscript"/>
                    </w:rPr>
                    <w:t>2</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025" w:type="pct"/>
                  <w:gridSpan w:val="2"/>
                  <w:vMerge w:val="continue"/>
                  <w:noWrap w:val="0"/>
                  <w:vAlign w:val="center"/>
                </w:tcPr>
                <w:p>
                  <w:pPr>
                    <w:pStyle w:val="63"/>
                    <w:snapToGrid w:val="0"/>
                    <w:spacing w:before="36" w:beforeLines="15" w:line="276" w:lineRule="auto"/>
                    <w:jc w:val="center"/>
                    <w:rPr>
                      <w:color w:val="auto"/>
                      <w:sz w:val="21"/>
                      <w:szCs w:val="21"/>
                      <w:highlight w:val="none"/>
                      <w:u w:val="single"/>
                    </w:rPr>
                  </w:pPr>
                </w:p>
              </w:tc>
              <w:tc>
                <w:tcPr>
                  <w:tcW w:w="4964" w:type="dxa"/>
                  <w:gridSpan w:val="4"/>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sz w:val="21"/>
                      <w:szCs w:val="21"/>
                      <w:highlight w:val="none"/>
                      <w:u w:val="single"/>
                    </w:rPr>
                  </w:pPr>
                  <w:r>
                    <w:rPr>
                      <w:rFonts w:hint="eastAsia" w:ascii="Times New Roman" w:hAnsi="Times New Roman" w:eastAsia="宋体" w:cs="Times New Roman"/>
                      <w:color w:val="auto"/>
                      <w:sz w:val="21"/>
                      <w:szCs w:val="21"/>
                      <w:highlight w:val="none"/>
                      <w:u w:val="single"/>
                    </w:rPr>
                    <w:t>NO</w:t>
                  </w:r>
                  <w:r>
                    <w:rPr>
                      <w:rFonts w:hint="eastAsia" w:ascii="Times New Roman" w:hAnsi="Times New Roman" w:eastAsia="宋体" w:cs="Times New Roman"/>
                      <w:color w:val="auto"/>
                      <w:sz w:val="21"/>
                      <w:szCs w:val="21"/>
                      <w:highlight w:val="none"/>
                      <w:u w:val="single"/>
                      <w:vertAlign w:val="subscript"/>
                    </w:rPr>
                    <w:t>X</w:t>
                  </w:r>
                </w:p>
              </w:tc>
              <w:tc>
                <w:tcPr>
                  <w:tcW w:w="1336"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0.31</w:t>
                  </w:r>
                </w:p>
              </w:tc>
            </w:tr>
          </w:tbl>
          <w:p>
            <w:pPr>
              <w:tabs>
                <w:tab w:val="left" w:pos="3403"/>
              </w:tabs>
              <w:adjustRightInd w:val="0"/>
              <w:snapToGrid w:val="0"/>
              <w:spacing w:before="120" w:beforeLines="50" w:line="360" w:lineRule="auto"/>
              <w:jc w:val="center"/>
              <w:rPr>
                <w:color w:val="auto"/>
                <w:sz w:val="24"/>
                <w:highlight w:val="none"/>
                <w:u w:val="single"/>
              </w:rPr>
            </w:pPr>
            <w:r>
              <w:rPr>
                <w:b/>
                <w:bCs/>
                <w:color w:val="auto"/>
                <w:sz w:val="24"/>
                <w:highlight w:val="none"/>
                <w:u w:val="single"/>
              </w:rPr>
              <w:t>表</w:t>
            </w:r>
            <w:r>
              <w:rPr>
                <w:rFonts w:hint="eastAsia"/>
                <w:b/>
                <w:bCs/>
                <w:color w:val="auto"/>
                <w:sz w:val="24"/>
                <w:highlight w:val="none"/>
                <w:u w:val="single"/>
              </w:rPr>
              <w:t xml:space="preserve">4-5  </w:t>
            </w:r>
            <w:r>
              <w:rPr>
                <w:b/>
                <w:bCs/>
                <w:color w:val="auto"/>
                <w:spacing w:val="1"/>
                <w:sz w:val="24"/>
                <w:highlight w:val="none"/>
                <w:u w:val="single"/>
              </w:rPr>
              <w:t>项目大气污染物无组织排放量核算表</w:t>
            </w:r>
          </w:p>
          <w:tbl>
            <w:tblPr>
              <w:tblStyle w:val="23"/>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3"/>
              <w:gridCol w:w="570"/>
              <w:gridCol w:w="789"/>
              <w:gridCol w:w="751"/>
              <w:gridCol w:w="1611"/>
              <w:gridCol w:w="1897"/>
              <w:gridCol w:w="931"/>
              <w:gridCol w:w="1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65" w:type="pct"/>
                  <w:vMerge w:val="restart"/>
                  <w:noWrap w:val="0"/>
                  <w:vAlign w:val="center"/>
                </w:tcPr>
                <w:p>
                  <w:pPr>
                    <w:pStyle w:val="63"/>
                    <w:snapToGrid w:val="0"/>
                    <w:spacing w:before="36" w:beforeLines="15"/>
                    <w:jc w:val="center"/>
                    <w:rPr>
                      <w:b/>
                      <w:bCs/>
                      <w:color w:val="auto"/>
                      <w:sz w:val="21"/>
                      <w:szCs w:val="21"/>
                      <w:highlight w:val="none"/>
                      <w:u w:val="single"/>
                    </w:rPr>
                  </w:pPr>
                  <w:r>
                    <w:rPr>
                      <w:b/>
                      <w:bCs/>
                      <w:color w:val="auto"/>
                      <w:sz w:val="21"/>
                      <w:szCs w:val="21"/>
                      <w:highlight w:val="none"/>
                      <w:u w:val="single"/>
                    </w:rPr>
                    <w:t>序号</w:t>
                  </w:r>
                </w:p>
              </w:tc>
              <w:tc>
                <w:tcPr>
                  <w:tcW w:w="356" w:type="pct"/>
                  <w:vMerge w:val="restart"/>
                  <w:noWrap w:val="0"/>
                  <w:vAlign w:val="center"/>
                </w:tcPr>
                <w:p>
                  <w:pPr>
                    <w:pStyle w:val="63"/>
                    <w:snapToGrid w:val="0"/>
                    <w:spacing w:before="36" w:beforeLines="15"/>
                    <w:jc w:val="center"/>
                    <w:rPr>
                      <w:b/>
                      <w:bCs/>
                      <w:color w:val="auto"/>
                      <w:sz w:val="21"/>
                      <w:szCs w:val="21"/>
                      <w:highlight w:val="none"/>
                      <w:u w:val="single"/>
                    </w:rPr>
                  </w:pPr>
                  <w:r>
                    <w:rPr>
                      <w:b/>
                      <w:bCs/>
                      <w:color w:val="auto"/>
                      <w:sz w:val="21"/>
                      <w:szCs w:val="21"/>
                      <w:highlight w:val="none"/>
                      <w:u w:val="single"/>
                    </w:rPr>
                    <w:t>排放口编号</w:t>
                  </w:r>
                </w:p>
              </w:tc>
              <w:tc>
                <w:tcPr>
                  <w:tcW w:w="494" w:type="pct"/>
                  <w:vMerge w:val="restart"/>
                  <w:noWrap w:val="0"/>
                  <w:vAlign w:val="center"/>
                </w:tcPr>
                <w:p>
                  <w:pPr>
                    <w:pStyle w:val="63"/>
                    <w:snapToGrid w:val="0"/>
                    <w:spacing w:before="36" w:beforeLines="15"/>
                    <w:jc w:val="center"/>
                    <w:rPr>
                      <w:b/>
                      <w:bCs/>
                      <w:color w:val="auto"/>
                      <w:sz w:val="21"/>
                      <w:szCs w:val="21"/>
                      <w:highlight w:val="none"/>
                      <w:u w:val="single"/>
                    </w:rPr>
                  </w:pPr>
                  <w:r>
                    <w:rPr>
                      <w:b/>
                      <w:bCs/>
                      <w:color w:val="auto"/>
                      <w:sz w:val="21"/>
                      <w:szCs w:val="21"/>
                      <w:highlight w:val="none"/>
                      <w:u w:val="single"/>
                    </w:rPr>
                    <w:t>产污环节</w:t>
                  </w:r>
                </w:p>
              </w:tc>
              <w:tc>
                <w:tcPr>
                  <w:tcW w:w="470" w:type="pct"/>
                  <w:vMerge w:val="restart"/>
                  <w:noWrap w:val="0"/>
                  <w:vAlign w:val="center"/>
                </w:tcPr>
                <w:p>
                  <w:pPr>
                    <w:pStyle w:val="63"/>
                    <w:snapToGrid w:val="0"/>
                    <w:spacing w:before="36" w:beforeLines="15"/>
                    <w:jc w:val="center"/>
                    <w:rPr>
                      <w:b/>
                      <w:bCs/>
                      <w:color w:val="auto"/>
                      <w:sz w:val="21"/>
                      <w:szCs w:val="21"/>
                      <w:highlight w:val="none"/>
                      <w:u w:val="single"/>
                    </w:rPr>
                  </w:pPr>
                  <w:r>
                    <w:rPr>
                      <w:b/>
                      <w:bCs/>
                      <w:color w:val="auto"/>
                      <w:spacing w:val="1"/>
                      <w:sz w:val="21"/>
                      <w:szCs w:val="21"/>
                      <w:highlight w:val="none"/>
                      <w:u w:val="single"/>
                    </w:rPr>
                    <w:t>污染物</w:t>
                  </w:r>
                </w:p>
              </w:tc>
              <w:tc>
                <w:tcPr>
                  <w:tcW w:w="1009" w:type="pct"/>
                  <w:vMerge w:val="restart"/>
                  <w:noWrap w:val="0"/>
                  <w:vAlign w:val="center"/>
                </w:tcPr>
                <w:p>
                  <w:pPr>
                    <w:pStyle w:val="63"/>
                    <w:snapToGrid w:val="0"/>
                    <w:spacing w:before="36" w:beforeLines="15"/>
                    <w:jc w:val="center"/>
                    <w:rPr>
                      <w:b/>
                      <w:bCs/>
                      <w:color w:val="auto"/>
                      <w:sz w:val="21"/>
                      <w:szCs w:val="21"/>
                      <w:highlight w:val="none"/>
                      <w:u w:val="single"/>
                    </w:rPr>
                  </w:pPr>
                  <w:r>
                    <w:rPr>
                      <w:b/>
                      <w:bCs/>
                      <w:color w:val="auto"/>
                      <w:sz w:val="21"/>
                      <w:szCs w:val="21"/>
                      <w:highlight w:val="none"/>
                      <w:u w:val="single"/>
                    </w:rPr>
                    <w:t>主要污染防治措施</w:t>
                  </w:r>
                </w:p>
              </w:tc>
              <w:tc>
                <w:tcPr>
                  <w:tcW w:w="1771" w:type="pct"/>
                  <w:gridSpan w:val="2"/>
                  <w:noWrap w:val="0"/>
                  <w:vAlign w:val="center"/>
                </w:tcPr>
                <w:p>
                  <w:pPr>
                    <w:pStyle w:val="63"/>
                    <w:snapToGrid w:val="0"/>
                    <w:spacing w:before="36" w:beforeLines="15"/>
                    <w:jc w:val="center"/>
                    <w:rPr>
                      <w:color w:val="auto"/>
                      <w:sz w:val="21"/>
                      <w:szCs w:val="21"/>
                      <w:highlight w:val="none"/>
                      <w:u w:val="single"/>
                    </w:rPr>
                  </w:pPr>
                  <w:r>
                    <w:rPr>
                      <w:b/>
                      <w:bCs/>
                      <w:color w:val="auto"/>
                      <w:spacing w:val="1"/>
                      <w:sz w:val="21"/>
                      <w:szCs w:val="21"/>
                      <w:highlight w:val="none"/>
                      <w:u w:val="single"/>
                    </w:rPr>
                    <w:t>国家或地方污染物排放标准</w:t>
                  </w:r>
                </w:p>
              </w:tc>
              <w:tc>
                <w:tcPr>
                  <w:tcW w:w="632" w:type="pct"/>
                  <w:vMerge w:val="restart"/>
                  <w:noWrap w:val="0"/>
                  <w:vAlign w:val="center"/>
                </w:tcPr>
                <w:p>
                  <w:pPr>
                    <w:pStyle w:val="63"/>
                    <w:snapToGrid w:val="0"/>
                    <w:spacing w:before="36" w:beforeLines="15" w:line="276" w:lineRule="auto"/>
                    <w:jc w:val="center"/>
                    <w:rPr>
                      <w:color w:val="auto"/>
                      <w:sz w:val="21"/>
                      <w:szCs w:val="21"/>
                      <w:highlight w:val="none"/>
                      <w:u w:val="single"/>
                    </w:rPr>
                  </w:pPr>
                  <w:r>
                    <w:rPr>
                      <w:b/>
                      <w:bCs/>
                      <w:color w:val="auto"/>
                      <w:spacing w:val="1"/>
                      <w:sz w:val="21"/>
                      <w:szCs w:val="21"/>
                      <w:highlight w:val="none"/>
                      <w:u w:val="single"/>
                    </w:rPr>
                    <w:t>年排放量</w:t>
                  </w:r>
                  <w:r>
                    <w:rPr>
                      <w:b/>
                      <w:bCs/>
                      <w:color w:val="auto"/>
                      <w:sz w:val="21"/>
                      <w:szCs w:val="21"/>
                      <w:highlight w:val="none"/>
                      <w:u w:val="singl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65" w:type="pct"/>
                  <w:vMerge w:val="continue"/>
                  <w:noWrap w:val="0"/>
                  <w:vAlign w:val="center"/>
                </w:tcPr>
                <w:p>
                  <w:pPr>
                    <w:adjustRightInd w:val="0"/>
                    <w:snapToGrid w:val="0"/>
                    <w:spacing w:before="36" w:beforeLines="15"/>
                    <w:jc w:val="center"/>
                    <w:rPr>
                      <w:color w:val="auto"/>
                      <w:szCs w:val="21"/>
                      <w:highlight w:val="none"/>
                      <w:u w:val="single"/>
                    </w:rPr>
                  </w:pPr>
                </w:p>
              </w:tc>
              <w:tc>
                <w:tcPr>
                  <w:tcW w:w="356" w:type="pct"/>
                  <w:vMerge w:val="continue"/>
                  <w:noWrap w:val="0"/>
                  <w:vAlign w:val="center"/>
                </w:tcPr>
                <w:p>
                  <w:pPr>
                    <w:adjustRightInd w:val="0"/>
                    <w:snapToGrid w:val="0"/>
                    <w:spacing w:before="36" w:beforeLines="15"/>
                    <w:jc w:val="center"/>
                    <w:rPr>
                      <w:color w:val="auto"/>
                      <w:szCs w:val="21"/>
                      <w:highlight w:val="none"/>
                      <w:u w:val="single"/>
                    </w:rPr>
                  </w:pPr>
                </w:p>
              </w:tc>
              <w:tc>
                <w:tcPr>
                  <w:tcW w:w="494" w:type="pct"/>
                  <w:vMerge w:val="continue"/>
                  <w:noWrap w:val="0"/>
                  <w:vAlign w:val="center"/>
                </w:tcPr>
                <w:p>
                  <w:pPr>
                    <w:adjustRightInd w:val="0"/>
                    <w:snapToGrid w:val="0"/>
                    <w:spacing w:before="36" w:beforeLines="15"/>
                    <w:jc w:val="center"/>
                    <w:rPr>
                      <w:color w:val="auto"/>
                      <w:szCs w:val="21"/>
                      <w:highlight w:val="none"/>
                      <w:u w:val="single"/>
                    </w:rPr>
                  </w:pPr>
                </w:p>
              </w:tc>
              <w:tc>
                <w:tcPr>
                  <w:tcW w:w="470" w:type="pct"/>
                  <w:vMerge w:val="continue"/>
                  <w:noWrap w:val="0"/>
                  <w:vAlign w:val="center"/>
                </w:tcPr>
                <w:p>
                  <w:pPr>
                    <w:adjustRightInd w:val="0"/>
                    <w:snapToGrid w:val="0"/>
                    <w:spacing w:before="36" w:beforeLines="15"/>
                    <w:jc w:val="center"/>
                    <w:rPr>
                      <w:color w:val="auto"/>
                      <w:szCs w:val="21"/>
                      <w:highlight w:val="none"/>
                      <w:u w:val="single"/>
                    </w:rPr>
                  </w:pPr>
                </w:p>
              </w:tc>
              <w:tc>
                <w:tcPr>
                  <w:tcW w:w="1009" w:type="pct"/>
                  <w:vMerge w:val="continue"/>
                  <w:noWrap w:val="0"/>
                  <w:vAlign w:val="center"/>
                </w:tcPr>
                <w:p>
                  <w:pPr>
                    <w:adjustRightInd w:val="0"/>
                    <w:snapToGrid w:val="0"/>
                    <w:spacing w:before="36" w:beforeLines="15"/>
                    <w:jc w:val="center"/>
                    <w:rPr>
                      <w:color w:val="auto"/>
                      <w:szCs w:val="21"/>
                      <w:highlight w:val="none"/>
                      <w:u w:val="single"/>
                    </w:rPr>
                  </w:pPr>
                </w:p>
              </w:tc>
              <w:tc>
                <w:tcPr>
                  <w:tcW w:w="1188" w:type="pct"/>
                  <w:noWrap w:val="0"/>
                  <w:vAlign w:val="center"/>
                </w:tcPr>
                <w:p>
                  <w:pPr>
                    <w:pStyle w:val="63"/>
                    <w:snapToGrid w:val="0"/>
                    <w:spacing w:before="36" w:beforeLines="15"/>
                    <w:jc w:val="center"/>
                    <w:rPr>
                      <w:color w:val="auto"/>
                      <w:sz w:val="21"/>
                      <w:szCs w:val="21"/>
                      <w:highlight w:val="none"/>
                      <w:u w:val="single"/>
                    </w:rPr>
                  </w:pPr>
                  <w:r>
                    <w:rPr>
                      <w:b/>
                      <w:bCs/>
                      <w:color w:val="auto"/>
                      <w:spacing w:val="1"/>
                      <w:sz w:val="21"/>
                      <w:szCs w:val="21"/>
                      <w:highlight w:val="none"/>
                      <w:u w:val="single"/>
                    </w:rPr>
                    <w:t>标准名称</w:t>
                  </w:r>
                </w:p>
              </w:tc>
              <w:tc>
                <w:tcPr>
                  <w:tcW w:w="583" w:type="pct"/>
                  <w:noWrap w:val="0"/>
                  <w:vAlign w:val="center"/>
                </w:tcPr>
                <w:p>
                  <w:pPr>
                    <w:pStyle w:val="63"/>
                    <w:snapToGrid w:val="0"/>
                    <w:spacing w:before="36" w:beforeLines="15"/>
                    <w:jc w:val="center"/>
                    <w:rPr>
                      <w:color w:val="auto"/>
                      <w:sz w:val="21"/>
                      <w:szCs w:val="21"/>
                      <w:highlight w:val="none"/>
                      <w:u w:val="single"/>
                    </w:rPr>
                  </w:pPr>
                  <w:r>
                    <w:rPr>
                      <w:b/>
                      <w:bCs/>
                      <w:color w:val="auto"/>
                      <w:spacing w:val="2"/>
                      <w:sz w:val="21"/>
                      <w:szCs w:val="21"/>
                      <w:highlight w:val="none"/>
                      <w:u w:val="single"/>
                    </w:rPr>
                    <w:t>浓度限</w:t>
                  </w:r>
                  <w:r>
                    <w:rPr>
                      <w:b/>
                      <w:bCs/>
                      <w:color w:val="auto"/>
                      <w:spacing w:val="-1"/>
                      <w:sz w:val="21"/>
                      <w:szCs w:val="21"/>
                      <w:highlight w:val="none"/>
                      <w:u w:val="single"/>
                    </w:rPr>
                    <w:t>值</w:t>
                  </w:r>
                  <w:r>
                    <w:rPr>
                      <w:b/>
                      <w:bCs/>
                      <w:color w:val="auto"/>
                      <w:sz w:val="21"/>
                      <w:szCs w:val="21"/>
                      <w:highlight w:val="none"/>
                      <w:u w:val="single"/>
                    </w:rPr>
                    <w:t>/（g/m</w:t>
                  </w:r>
                  <w:r>
                    <w:rPr>
                      <w:rFonts w:hint="eastAsia"/>
                      <w:b/>
                      <w:bCs/>
                      <w:color w:val="auto"/>
                      <w:sz w:val="21"/>
                      <w:szCs w:val="21"/>
                      <w:highlight w:val="none"/>
                      <w:u w:val="single"/>
                      <w:vertAlign w:val="superscript"/>
                    </w:rPr>
                    <w:t>3</w:t>
                  </w:r>
                  <w:r>
                    <w:rPr>
                      <w:b/>
                      <w:bCs/>
                      <w:color w:val="auto"/>
                      <w:sz w:val="21"/>
                      <w:szCs w:val="21"/>
                      <w:highlight w:val="none"/>
                      <w:u w:val="single"/>
                    </w:rPr>
                    <w:t>）</w:t>
                  </w:r>
                </w:p>
              </w:tc>
              <w:tc>
                <w:tcPr>
                  <w:tcW w:w="632" w:type="pct"/>
                  <w:vMerge w:val="continue"/>
                  <w:noWrap w:val="0"/>
                  <w:vAlign w:val="center"/>
                </w:tcPr>
                <w:p>
                  <w:pPr>
                    <w:adjustRightInd w:val="0"/>
                    <w:snapToGrid w:val="0"/>
                    <w:spacing w:before="36" w:beforeLines="15" w:line="276" w:lineRule="auto"/>
                    <w:rPr>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265" w:type="pct"/>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1</w:t>
                  </w:r>
                </w:p>
              </w:tc>
              <w:tc>
                <w:tcPr>
                  <w:tcW w:w="356" w:type="pct"/>
                  <w:noWrap w:val="0"/>
                  <w:vAlign w:val="center"/>
                </w:tcPr>
                <w:p>
                  <w:pPr>
                    <w:pStyle w:val="63"/>
                    <w:snapToGrid w:val="0"/>
                    <w:spacing w:before="36" w:beforeLines="15" w:line="276" w:lineRule="auto"/>
                    <w:jc w:val="center"/>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生产车间</w:t>
                  </w:r>
                </w:p>
              </w:tc>
              <w:tc>
                <w:tcPr>
                  <w:tcW w:w="494" w:type="pct"/>
                  <w:noWrap w:val="0"/>
                  <w:vAlign w:val="center"/>
                </w:tcPr>
                <w:p>
                  <w:pPr>
                    <w:pStyle w:val="63"/>
                    <w:snapToGrid w:val="0"/>
                    <w:spacing w:before="36" w:beforeLines="15" w:line="276" w:lineRule="auto"/>
                    <w:jc w:val="center"/>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破碎、粉碎、筛分、制粒</w:t>
                  </w:r>
                </w:p>
              </w:tc>
              <w:tc>
                <w:tcPr>
                  <w:tcW w:w="470" w:type="pct"/>
                  <w:vMerge w:val="restart"/>
                  <w:noWrap w:val="0"/>
                  <w:vAlign w:val="center"/>
                </w:tcPr>
                <w:p>
                  <w:pPr>
                    <w:pStyle w:val="63"/>
                    <w:snapToGrid w:val="0"/>
                    <w:spacing w:before="36" w:beforeLines="15" w:line="276" w:lineRule="auto"/>
                    <w:jc w:val="center"/>
                    <w:rPr>
                      <w:color w:val="auto"/>
                      <w:sz w:val="21"/>
                      <w:szCs w:val="21"/>
                      <w:highlight w:val="none"/>
                      <w:u w:val="single"/>
                    </w:rPr>
                  </w:pPr>
                  <w:r>
                    <w:rPr>
                      <w:rFonts w:hint="eastAsia"/>
                      <w:color w:val="auto"/>
                      <w:sz w:val="21"/>
                      <w:szCs w:val="21"/>
                      <w:highlight w:val="none"/>
                      <w:u w:val="single"/>
                    </w:rPr>
                    <w:t>颗粒物</w:t>
                  </w:r>
                </w:p>
              </w:tc>
              <w:tc>
                <w:tcPr>
                  <w:tcW w:w="1009" w:type="pct"/>
                  <w:vMerge w:val="restart"/>
                  <w:noWrap w:val="0"/>
                  <w:vAlign w:val="center"/>
                </w:tcPr>
                <w:p>
                  <w:pPr>
                    <w:pStyle w:val="63"/>
                    <w:snapToGrid w:val="0"/>
                    <w:spacing w:before="36" w:beforeLines="15" w:line="276" w:lineRule="auto"/>
                    <w:jc w:val="center"/>
                    <w:rPr>
                      <w:rFonts w:hint="eastAsia"/>
                      <w:color w:val="auto"/>
                      <w:sz w:val="21"/>
                      <w:szCs w:val="21"/>
                      <w:highlight w:val="none"/>
                      <w:u w:val="single"/>
                    </w:rPr>
                  </w:pPr>
                  <w:r>
                    <w:rPr>
                      <w:rFonts w:hint="eastAsia"/>
                      <w:color w:val="auto"/>
                      <w:sz w:val="21"/>
                      <w:szCs w:val="21"/>
                      <w:highlight w:val="none"/>
                      <w:u w:val="single"/>
                    </w:rPr>
                    <w:t>加强收集措</w:t>
                  </w:r>
                </w:p>
                <w:p>
                  <w:pPr>
                    <w:pStyle w:val="63"/>
                    <w:snapToGrid w:val="0"/>
                    <w:spacing w:before="36" w:beforeLines="15" w:line="276" w:lineRule="auto"/>
                    <w:jc w:val="center"/>
                    <w:rPr>
                      <w:rFonts w:hint="eastAsia"/>
                      <w:color w:val="auto"/>
                      <w:sz w:val="21"/>
                      <w:szCs w:val="21"/>
                      <w:highlight w:val="none"/>
                      <w:u w:val="single"/>
                    </w:rPr>
                  </w:pPr>
                  <w:r>
                    <w:rPr>
                      <w:rFonts w:hint="eastAsia"/>
                      <w:color w:val="auto"/>
                      <w:sz w:val="21"/>
                      <w:szCs w:val="21"/>
                      <w:highlight w:val="none"/>
                      <w:u w:val="single"/>
                    </w:rPr>
                    <w:t>施维护，减少</w:t>
                  </w:r>
                </w:p>
                <w:p>
                  <w:pPr>
                    <w:pStyle w:val="63"/>
                    <w:snapToGrid w:val="0"/>
                    <w:spacing w:before="36" w:beforeLines="15" w:line="276" w:lineRule="auto"/>
                    <w:jc w:val="center"/>
                    <w:rPr>
                      <w:rFonts w:hint="eastAsia"/>
                      <w:color w:val="auto"/>
                      <w:sz w:val="21"/>
                      <w:szCs w:val="21"/>
                      <w:highlight w:val="none"/>
                      <w:u w:val="single"/>
                    </w:rPr>
                  </w:pPr>
                  <w:r>
                    <w:rPr>
                      <w:rFonts w:hint="eastAsia"/>
                      <w:color w:val="auto"/>
                      <w:sz w:val="21"/>
                      <w:szCs w:val="21"/>
                      <w:highlight w:val="none"/>
                      <w:u w:val="single"/>
                    </w:rPr>
                    <w:t>无组织排放</w:t>
                  </w:r>
                </w:p>
              </w:tc>
              <w:tc>
                <w:tcPr>
                  <w:tcW w:w="1188" w:type="pct"/>
                  <w:vMerge w:val="restart"/>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《大气污染物综合排放标准》（GB16297-1996）</w:t>
                  </w:r>
                </w:p>
              </w:tc>
              <w:tc>
                <w:tcPr>
                  <w:tcW w:w="583" w:type="pct"/>
                  <w:vMerge w:val="restart"/>
                  <w:noWrap w:val="0"/>
                  <w:vAlign w:val="center"/>
                </w:tcPr>
                <w:p>
                  <w:pPr>
                    <w:pStyle w:val="63"/>
                    <w:snapToGrid w:val="0"/>
                    <w:spacing w:before="36" w:beforeLines="15" w:line="276" w:lineRule="auto"/>
                    <w:jc w:val="center"/>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1.0</w:t>
                  </w:r>
                </w:p>
              </w:tc>
              <w:tc>
                <w:tcPr>
                  <w:tcW w:w="632" w:type="pct"/>
                  <w:noWrap w:val="0"/>
                  <w:vAlign w:val="center"/>
                </w:tcPr>
                <w:p>
                  <w:pPr>
                    <w:pStyle w:val="63"/>
                    <w:snapToGrid w:val="0"/>
                    <w:spacing w:before="36" w:beforeLines="15" w:line="276" w:lineRule="auto"/>
                    <w:jc w:val="center"/>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65" w:type="pct"/>
                  <w:noWrap w:val="0"/>
                  <w:vAlign w:val="center"/>
                </w:tcPr>
                <w:p>
                  <w:pPr>
                    <w:pStyle w:val="63"/>
                    <w:snapToGrid w:val="0"/>
                    <w:spacing w:before="36" w:beforeLines="15" w:line="276" w:lineRule="auto"/>
                    <w:jc w:val="center"/>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2</w:t>
                  </w:r>
                </w:p>
              </w:tc>
              <w:tc>
                <w:tcPr>
                  <w:tcW w:w="356" w:type="pct"/>
                  <w:noWrap w:val="0"/>
                  <w:vAlign w:val="center"/>
                </w:tcPr>
                <w:p>
                  <w:pPr>
                    <w:pStyle w:val="63"/>
                    <w:snapToGrid w:val="0"/>
                    <w:spacing w:before="36" w:beforeLines="15" w:line="276" w:lineRule="auto"/>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原料车间</w:t>
                  </w:r>
                </w:p>
              </w:tc>
              <w:tc>
                <w:tcPr>
                  <w:tcW w:w="494" w:type="pct"/>
                  <w:noWrap w:val="0"/>
                  <w:vAlign w:val="center"/>
                </w:tcPr>
                <w:p>
                  <w:pPr>
                    <w:pStyle w:val="63"/>
                    <w:snapToGrid w:val="0"/>
                    <w:spacing w:before="36" w:beforeLines="15" w:line="276" w:lineRule="auto"/>
                    <w:jc w:val="center"/>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装卸、转移粉尘</w:t>
                  </w:r>
                </w:p>
              </w:tc>
              <w:tc>
                <w:tcPr>
                  <w:tcW w:w="470" w:type="pct"/>
                  <w:vMerge w:val="continue"/>
                  <w:noWrap w:val="0"/>
                  <w:vAlign w:val="center"/>
                </w:tcPr>
                <w:p>
                  <w:pPr>
                    <w:pStyle w:val="63"/>
                    <w:snapToGrid w:val="0"/>
                    <w:spacing w:before="36" w:beforeLines="15" w:line="276" w:lineRule="auto"/>
                    <w:jc w:val="center"/>
                    <w:rPr>
                      <w:rFonts w:hint="eastAsia"/>
                      <w:color w:val="auto"/>
                      <w:sz w:val="21"/>
                      <w:szCs w:val="21"/>
                      <w:highlight w:val="none"/>
                      <w:u w:val="single"/>
                    </w:rPr>
                  </w:pPr>
                </w:p>
              </w:tc>
              <w:tc>
                <w:tcPr>
                  <w:tcW w:w="1009" w:type="pct"/>
                  <w:vMerge w:val="continue"/>
                  <w:noWrap w:val="0"/>
                  <w:vAlign w:val="center"/>
                </w:tcPr>
                <w:p>
                  <w:pPr>
                    <w:pStyle w:val="63"/>
                    <w:snapToGrid w:val="0"/>
                    <w:spacing w:before="36" w:beforeLines="15" w:line="276" w:lineRule="auto"/>
                    <w:jc w:val="center"/>
                    <w:rPr>
                      <w:rFonts w:hint="eastAsia"/>
                      <w:color w:val="auto"/>
                      <w:sz w:val="21"/>
                      <w:szCs w:val="21"/>
                      <w:highlight w:val="none"/>
                      <w:u w:val="single"/>
                    </w:rPr>
                  </w:pPr>
                </w:p>
              </w:tc>
              <w:tc>
                <w:tcPr>
                  <w:tcW w:w="1188" w:type="pct"/>
                  <w:vMerge w:val="continue"/>
                  <w:noWrap w:val="0"/>
                  <w:vAlign w:val="center"/>
                </w:tcPr>
                <w:p>
                  <w:pPr>
                    <w:pStyle w:val="63"/>
                    <w:snapToGrid w:val="0"/>
                    <w:spacing w:before="36" w:beforeLines="15" w:line="276" w:lineRule="auto"/>
                    <w:jc w:val="center"/>
                    <w:rPr>
                      <w:color w:val="auto"/>
                      <w:sz w:val="21"/>
                      <w:szCs w:val="21"/>
                      <w:highlight w:val="none"/>
                      <w:u w:val="single"/>
                    </w:rPr>
                  </w:pPr>
                </w:p>
              </w:tc>
              <w:tc>
                <w:tcPr>
                  <w:tcW w:w="583" w:type="pct"/>
                  <w:vMerge w:val="continue"/>
                  <w:noWrap w:val="0"/>
                  <w:vAlign w:val="center"/>
                </w:tcPr>
                <w:p>
                  <w:pPr>
                    <w:pStyle w:val="63"/>
                    <w:snapToGrid w:val="0"/>
                    <w:spacing w:before="36" w:beforeLines="15" w:line="276" w:lineRule="auto"/>
                    <w:jc w:val="center"/>
                    <w:rPr>
                      <w:rFonts w:hint="eastAsia"/>
                      <w:color w:val="auto"/>
                      <w:sz w:val="21"/>
                      <w:szCs w:val="21"/>
                      <w:highlight w:val="none"/>
                      <w:u w:val="single"/>
                      <w:lang w:val="en-US" w:eastAsia="zh-CN"/>
                    </w:rPr>
                  </w:pPr>
                </w:p>
              </w:tc>
              <w:tc>
                <w:tcPr>
                  <w:tcW w:w="632" w:type="pct"/>
                  <w:noWrap w:val="0"/>
                  <w:vAlign w:val="center"/>
                </w:tcPr>
                <w:p>
                  <w:pPr>
                    <w:pStyle w:val="63"/>
                    <w:snapToGrid w:val="0"/>
                    <w:spacing w:before="36" w:beforeLines="15" w:line="276" w:lineRule="auto"/>
                    <w:jc w:val="center"/>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8"/>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无组织排放总计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22" w:type="pct"/>
                  <w:gridSpan w:val="2"/>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无组织排放总计</w:t>
                  </w:r>
                </w:p>
              </w:tc>
              <w:tc>
                <w:tcPr>
                  <w:tcW w:w="3161" w:type="pct"/>
                  <w:gridSpan w:val="4"/>
                  <w:noWrap w:val="0"/>
                  <w:vAlign w:val="center"/>
                </w:tcPr>
                <w:p>
                  <w:pPr>
                    <w:pStyle w:val="63"/>
                    <w:snapToGrid w:val="0"/>
                    <w:spacing w:before="36" w:beforeLines="15" w:line="276" w:lineRule="auto"/>
                    <w:jc w:val="center"/>
                    <w:rPr>
                      <w:color w:val="auto"/>
                      <w:sz w:val="21"/>
                      <w:szCs w:val="21"/>
                      <w:highlight w:val="none"/>
                      <w:u w:val="single"/>
                    </w:rPr>
                  </w:pPr>
                  <w:r>
                    <w:rPr>
                      <w:color w:val="auto"/>
                      <w:sz w:val="21"/>
                      <w:szCs w:val="21"/>
                      <w:highlight w:val="none"/>
                      <w:u w:val="single"/>
                    </w:rPr>
                    <w:t>颗粒物</w:t>
                  </w:r>
                </w:p>
              </w:tc>
              <w:tc>
                <w:tcPr>
                  <w:tcW w:w="1216" w:type="pct"/>
                  <w:gridSpan w:val="2"/>
                  <w:noWrap w:val="0"/>
                  <w:vAlign w:val="center"/>
                </w:tcPr>
                <w:p>
                  <w:pPr>
                    <w:pStyle w:val="63"/>
                    <w:snapToGrid w:val="0"/>
                    <w:spacing w:before="36" w:beforeLines="15" w:line="276" w:lineRule="auto"/>
                    <w:jc w:val="center"/>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0.47</w:t>
                  </w:r>
                </w:p>
              </w:tc>
            </w:tr>
          </w:tbl>
          <w:p>
            <w:pPr>
              <w:tabs>
                <w:tab w:val="left" w:pos="3665"/>
              </w:tabs>
              <w:adjustRightInd w:val="0"/>
              <w:snapToGrid w:val="0"/>
              <w:spacing w:before="120" w:beforeLines="50" w:line="360" w:lineRule="auto"/>
              <w:jc w:val="center"/>
              <w:rPr>
                <w:color w:val="auto"/>
                <w:sz w:val="24"/>
                <w:highlight w:val="none"/>
                <w:u w:val="single"/>
              </w:rPr>
            </w:pPr>
            <w:r>
              <w:rPr>
                <w:b/>
                <w:bCs/>
                <w:color w:val="auto"/>
                <w:sz w:val="24"/>
                <w:highlight w:val="none"/>
                <w:u w:val="single"/>
              </w:rPr>
              <w:t>表</w:t>
            </w:r>
            <w:r>
              <w:rPr>
                <w:rFonts w:hint="eastAsia"/>
                <w:b/>
                <w:bCs/>
                <w:color w:val="auto"/>
                <w:sz w:val="24"/>
                <w:highlight w:val="none"/>
                <w:u w:val="single"/>
              </w:rPr>
              <w:t xml:space="preserve">4-6 </w:t>
            </w:r>
            <w:r>
              <w:rPr>
                <w:b/>
                <w:bCs/>
                <w:color w:val="auto"/>
                <w:spacing w:val="1"/>
                <w:sz w:val="24"/>
                <w:highlight w:val="none"/>
                <w:u w:val="single"/>
              </w:rPr>
              <w:t>项目大气污染物年排放量核算表</w:t>
            </w:r>
          </w:p>
          <w:tbl>
            <w:tblPr>
              <w:tblStyle w:val="23"/>
              <w:tblW w:w="4996" w:type="pct"/>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autofit"/>
              <w:tblCellMar>
                <w:top w:w="0" w:type="dxa"/>
                <w:left w:w="0" w:type="dxa"/>
                <w:bottom w:w="0" w:type="dxa"/>
                <w:right w:w="0" w:type="dxa"/>
              </w:tblCellMar>
            </w:tblPr>
            <w:tblGrid>
              <w:gridCol w:w="1022"/>
              <w:gridCol w:w="4262"/>
              <w:gridCol w:w="270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c>
                <w:tcPr>
                  <w:tcW w:w="639" w:type="pct"/>
                  <w:tcBorders>
                    <w:bottom w:val="single" w:color="000000" w:sz="4" w:space="0"/>
                    <w:right w:val="single" w:color="000000" w:sz="4" w:space="0"/>
                  </w:tcBorders>
                  <w:noWrap w:val="0"/>
                  <w:vAlign w:val="center"/>
                </w:tcPr>
                <w:p>
                  <w:pPr>
                    <w:pStyle w:val="63"/>
                    <w:spacing w:line="261" w:lineRule="exact"/>
                    <w:jc w:val="center"/>
                    <w:rPr>
                      <w:rFonts w:ascii="宋体" w:hAnsi="宋体" w:cs="宋体"/>
                      <w:color w:val="auto"/>
                      <w:sz w:val="21"/>
                      <w:szCs w:val="21"/>
                      <w:highlight w:val="none"/>
                      <w:u w:val="single"/>
                    </w:rPr>
                  </w:pPr>
                  <w:r>
                    <w:rPr>
                      <w:rFonts w:ascii="宋体" w:hAnsi="宋体" w:cs="宋体"/>
                      <w:b/>
                      <w:bCs/>
                      <w:color w:val="auto"/>
                      <w:spacing w:val="2"/>
                      <w:sz w:val="21"/>
                      <w:szCs w:val="21"/>
                      <w:highlight w:val="none"/>
                      <w:u w:val="single"/>
                    </w:rPr>
                    <w:t>序</w:t>
                  </w:r>
                  <w:r>
                    <w:rPr>
                      <w:rFonts w:ascii="宋体" w:hAnsi="宋体" w:cs="宋体"/>
                      <w:b/>
                      <w:bCs/>
                      <w:color w:val="auto"/>
                      <w:sz w:val="21"/>
                      <w:szCs w:val="21"/>
                      <w:highlight w:val="none"/>
                      <w:u w:val="single"/>
                    </w:rPr>
                    <w:t>号</w:t>
                  </w:r>
                </w:p>
              </w:tc>
              <w:tc>
                <w:tcPr>
                  <w:tcW w:w="2666" w:type="pct"/>
                  <w:tcBorders>
                    <w:left w:val="single" w:color="000000" w:sz="4" w:space="0"/>
                    <w:bottom w:val="single" w:color="000000" w:sz="4" w:space="0"/>
                    <w:right w:val="single" w:color="000000" w:sz="4" w:space="0"/>
                  </w:tcBorders>
                  <w:noWrap w:val="0"/>
                  <w:vAlign w:val="center"/>
                </w:tcPr>
                <w:p>
                  <w:pPr>
                    <w:pStyle w:val="63"/>
                    <w:spacing w:line="261" w:lineRule="exact"/>
                    <w:ind w:left="2"/>
                    <w:jc w:val="center"/>
                    <w:rPr>
                      <w:rFonts w:ascii="宋体" w:hAnsi="宋体" w:cs="宋体"/>
                      <w:color w:val="auto"/>
                      <w:sz w:val="21"/>
                      <w:szCs w:val="21"/>
                      <w:highlight w:val="none"/>
                      <w:u w:val="single"/>
                    </w:rPr>
                  </w:pPr>
                  <w:r>
                    <w:rPr>
                      <w:rFonts w:ascii="宋体" w:hAnsi="宋体" w:cs="宋体"/>
                      <w:b/>
                      <w:bCs/>
                      <w:color w:val="auto"/>
                      <w:spacing w:val="1"/>
                      <w:sz w:val="21"/>
                      <w:szCs w:val="21"/>
                      <w:highlight w:val="none"/>
                      <w:u w:val="single"/>
                    </w:rPr>
                    <w:t>污染物</w:t>
                  </w:r>
                </w:p>
              </w:tc>
              <w:tc>
                <w:tcPr>
                  <w:tcW w:w="1693" w:type="pct"/>
                  <w:tcBorders>
                    <w:left w:val="single" w:color="000000" w:sz="4" w:space="0"/>
                    <w:bottom w:val="single" w:color="000000" w:sz="4" w:space="0"/>
                  </w:tcBorders>
                  <w:noWrap w:val="0"/>
                  <w:vAlign w:val="center"/>
                </w:tcPr>
                <w:p>
                  <w:pPr>
                    <w:pStyle w:val="63"/>
                    <w:spacing w:line="277" w:lineRule="exact"/>
                    <w:ind w:left="753"/>
                    <w:rPr>
                      <w:rFonts w:ascii="宋体" w:hAnsi="宋体" w:cs="宋体"/>
                      <w:color w:val="auto"/>
                      <w:sz w:val="21"/>
                      <w:szCs w:val="21"/>
                      <w:highlight w:val="none"/>
                      <w:u w:val="single"/>
                    </w:rPr>
                  </w:pPr>
                  <w:r>
                    <w:rPr>
                      <w:rFonts w:ascii="宋体" w:hAnsi="宋体" w:cs="宋体"/>
                      <w:b/>
                      <w:bCs/>
                      <w:color w:val="auto"/>
                      <w:sz w:val="21"/>
                      <w:szCs w:val="21"/>
                      <w:highlight w:val="none"/>
                      <w:u w:val="single"/>
                    </w:rPr>
                    <w:t>年排放量</w:t>
                  </w:r>
                  <w:r>
                    <w:rPr>
                      <w:rFonts w:eastAsia="Times New Roman"/>
                      <w:b/>
                      <w:bCs/>
                      <w:color w:val="auto"/>
                      <w:sz w:val="21"/>
                      <w:szCs w:val="21"/>
                      <w:highlight w:val="none"/>
                      <w:u w:val="single"/>
                    </w:rPr>
                    <w:t>/</w:t>
                  </w:r>
                  <w:r>
                    <w:rPr>
                      <w:rFonts w:ascii="宋体" w:hAnsi="宋体" w:cs="宋体"/>
                      <w:b/>
                      <w:bCs/>
                      <w:color w:val="auto"/>
                      <w:sz w:val="21"/>
                      <w:szCs w:val="21"/>
                      <w:highlight w:val="none"/>
                      <w:u w:val="single"/>
                    </w:rPr>
                    <w:t>（</w:t>
                  </w:r>
                  <w:r>
                    <w:rPr>
                      <w:rFonts w:eastAsia="Times New Roman"/>
                      <w:b/>
                      <w:bCs/>
                      <w:color w:val="auto"/>
                      <w:sz w:val="21"/>
                      <w:szCs w:val="21"/>
                      <w:highlight w:val="none"/>
                      <w:u w:val="single"/>
                    </w:rPr>
                    <w:t>t/a</w:t>
                  </w:r>
                  <w:r>
                    <w:rPr>
                      <w:rFonts w:ascii="宋体" w:hAnsi="宋体" w:cs="宋体"/>
                      <w:b/>
                      <w:bCs/>
                      <w:color w:val="auto"/>
                      <w:sz w:val="21"/>
                      <w:szCs w:val="21"/>
                      <w:highlight w:val="none"/>
                      <w:u w:val="singl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c>
                <w:tcPr>
                  <w:tcW w:w="639" w:type="pct"/>
                  <w:tcBorders>
                    <w:top w:val="single" w:color="000000" w:sz="4" w:space="0"/>
                    <w:bottom w:val="single" w:color="000000" w:sz="4" w:space="0"/>
                    <w:right w:val="single" w:color="000000" w:sz="4" w:space="0"/>
                  </w:tcBorders>
                  <w:noWrap w:val="0"/>
                  <w:vAlign w:val="center"/>
                </w:tcPr>
                <w:p>
                  <w:pPr>
                    <w:pStyle w:val="63"/>
                    <w:snapToGrid w:val="0"/>
                    <w:spacing w:before="34"/>
                    <w:jc w:val="center"/>
                    <w:rPr>
                      <w:rFonts w:eastAsia="Times New Roman"/>
                      <w:color w:val="auto"/>
                      <w:sz w:val="21"/>
                      <w:szCs w:val="21"/>
                      <w:highlight w:val="none"/>
                      <w:u w:val="single"/>
                    </w:rPr>
                  </w:pPr>
                  <w:r>
                    <w:rPr>
                      <w:color w:val="auto"/>
                      <w:sz w:val="21"/>
                      <w:highlight w:val="none"/>
                      <w:u w:val="single"/>
                    </w:rPr>
                    <w:t>1</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60" w:lineRule="exact"/>
                    <w:ind w:right="2"/>
                    <w:jc w:val="center"/>
                    <w:rPr>
                      <w:rFonts w:ascii="宋体" w:hAnsi="宋体" w:cs="宋体"/>
                      <w:color w:val="auto"/>
                      <w:sz w:val="21"/>
                      <w:szCs w:val="21"/>
                      <w:highlight w:val="none"/>
                      <w:u w:val="single"/>
                    </w:rPr>
                  </w:pPr>
                  <w:r>
                    <w:rPr>
                      <w:rFonts w:ascii="宋体" w:hAnsi="宋体" w:cs="宋体"/>
                      <w:color w:val="auto"/>
                      <w:sz w:val="21"/>
                      <w:szCs w:val="21"/>
                      <w:highlight w:val="none"/>
                      <w:u w:val="single"/>
                    </w:rPr>
                    <w:t>颗粒物</w:t>
                  </w:r>
                </w:p>
              </w:tc>
              <w:tc>
                <w:tcPr>
                  <w:tcW w:w="1693" w:type="pct"/>
                  <w:tcBorders>
                    <w:top w:val="single" w:color="000000" w:sz="4" w:space="0"/>
                    <w:left w:val="single" w:color="000000" w:sz="4" w:space="0"/>
                    <w:bottom w:val="single" w:color="000000" w:sz="4" w:space="0"/>
                  </w:tcBorders>
                  <w:noWrap w:val="0"/>
                  <w:vAlign w:val="center"/>
                </w:tcPr>
                <w:p>
                  <w:pPr>
                    <w:pStyle w:val="63"/>
                    <w:spacing w:before="34"/>
                    <w:ind w:right="7"/>
                    <w:jc w:val="center"/>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1.582</w:t>
                  </w:r>
                </w:p>
              </w:tc>
            </w:tr>
          </w:tbl>
          <w:p>
            <w:pPr>
              <w:pStyle w:val="62"/>
              <w:spacing w:before="120" w:beforeLines="50" w:line="360" w:lineRule="auto"/>
              <w:rPr>
                <w:color w:val="auto"/>
                <w:szCs w:val="24"/>
                <w:highlight w:val="none"/>
                <w:u w:val="single"/>
              </w:rPr>
            </w:pPr>
            <w:r>
              <w:rPr>
                <w:rFonts w:hint="eastAsia"/>
                <w:color w:val="auto"/>
                <w:szCs w:val="24"/>
                <w:highlight w:val="none"/>
                <w:u w:val="single"/>
              </w:rPr>
              <w:t>表4-7  排放口基本情况一览表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75"/>
              <w:gridCol w:w="2038"/>
              <w:gridCol w:w="1152"/>
              <w:gridCol w:w="939"/>
              <w:gridCol w:w="689"/>
              <w:gridCol w:w="526"/>
              <w:gridCol w:w="368"/>
              <w:gridCol w:w="969"/>
              <w:gridCol w:w="6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2" w:hRule="atLeast"/>
              </w:trPr>
              <w:tc>
                <w:tcPr>
                  <w:tcW w:w="422" w:type="pct"/>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hint="eastAsia" w:ascii="Times New Roman" w:hAnsi="Times New Roman"/>
                      <w:b/>
                      <w:bCs/>
                      <w:color w:val="auto"/>
                      <w:sz w:val="21"/>
                      <w:szCs w:val="21"/>
                      <w:highlight w:val="none"/>
                      <w:u w:val="single"/>
                      <w:lang w:val="en-US" w:eastAsia="zh-CN"/>
                    </w:rPr>
                    <w:t>排气筒编号</w:t>
                  </w:r>
                </w:p>
              </w:tc>
              <w:tc>
                <w:tcPr>
                  <w:tcW w:w="1274" w:type="pct"/>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hint="eastAsia" w:ascii="Times New Roman" w:hAnsi="Times New Roman"/>
                      <w:b/>
                      <w:bCs/>
                      <w:color w:val="auto"/>
                      <w:sz w:val="21"/>
                      <w:szCs w:val="21"/>
                      <w:highlight w:val="none"/>
                      <w:u w:val="single"/>
                      <w:lang w:val="en-US" w:eastAsia="zh-CN"/>
                    </w:rPr>
                    <w:t>排气筒坐标</w:t>
                  </w:r>
                </w:p>
              </w:tc>
              <w:tc>
                <w:tcPr>
                  <w:tcW w:w="720" w:type="pct"/>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ascii="Times New Roman" w:hAnsi="Times New Roman"/>
                      <w:b/>
                      <w:bCs/>
                      <w:color w:val="auto"/>
                      <w:sz w:val="21"/>
                      <w:szCs w:val="21"/>
                      <w:highlight w:val="none"/>
                      <w:u w:val="single"/>
                      <w:lang w:val="en-US" w:eastAsia="zh-CN"/>
                    </w:rPr>
                    <w:t>排气筒高度/m</w:t>
                  </w:r>
                </w:p>
              </w:tc>
              <w:tc>
                <w:tcPr>
                  <w:tcW w:w="587" w:type="pct"/>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ascii="Times New Roman" w:hAnsi="Times New Roman"/>
                      <w:b/>
                      <w:bCs/>
                      <w:color w:val="auto"/>
                      <w:sz w:val="21"/>
                      <w:szCs w:val="21"/>
                      <w:highlight w:val="none"/>
                      <w:u w:val="single"/>
                      <w:lang w:val="en-US" w:eastAsia="zh-CN"/>
                    </w:rPr>
                    <w:t>排气筒出口内径/m</w:t>
                  </w:r>
                </w:p>
              </w:tc>
              <w:tc>
                <w:tcPr>
                  <w:tcW w:w="431" w:type="pct"/>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ascii="Times New Roman" w:hAnsi="Times New Roman"/>
                      <w:b/>
                      <w:bCs/>
                      <w:color w:val="auto"/>
                      <w:sz w:val="21"/>
                      <w:szCs w:val="21"/>
                      <w:highlight w:val="none"/>
                      <w:u w:val="single"/>
                      <w:lang w:val="en-US" w:eastAsia="zh-CN"/>
                    </w:rPr>
                    <w:t>温度</w:t>
                  </w:r>
                  <w:r>
                    <w:rPr>
                      <w:rFonts w:hint="eastAsia" w:ascii="Times New Roman" w:hAnsi="Times New Roman"/>
                      <w:b/>
                      <w:bCs/>
                      <w:color w:val="auto"/>
                      <w:sz w:val="21"/>
                      <w:szCs w:val="21"/>
                      <w:highlight w:val="none"/>
                      <w:u w:val="single"/>
                      <w:lang w:val="en-US" w:eastAsia="zh-CN"/>
                    </w:rPr>
                    <w:t>（℃）</w:t>
                  </w:r>
                </w:p>
              </w:tc>
              <w:tc>
                <w:tcPr>
                  <w:tcW w:w="329" w:type="pct"/>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ascii="Times New Roman" w:hAnsi="Times New Roman"/>
                      <w:b/>
                      <w:bCs/>
                      <w:color w:val="auto"/>
                      <w:sz w:val="21"/>
                      <w:szCs w:val="21"/>
                      <w:highlight w:val="none"/>
                      <w:u w:val="single"/>
                      <w:lang w:val="en-US" w:eastAsia="zh-CN"/>
                    </w:rPr>
                    <w:t>名称</w:t>
                  </w:r>
                </w:p>
              </w:tc>
              <w:tc>
                <w:tcPr>
                  <w:tcW w:w="230" w:type="pct"/>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ascii="Times New Roman" w:hAnsi="Times New Roman"/>
                      <w:b/>
                      <w:bCs/>
                      <w:color w:val="auto"/>
                      <w:sz w:val="21"/>
                      <w:szCs w:val="21"/>
                      <w:highlight w:val="none"/>
                      <w:u w:val="single"/>
                      <w:lang w:val="en-US" w:eastAsia="zh-CN"/>
                    </w:rPr>
                    <w:t>类型</w:t>
                  </w:r>
                </w:p>
              </w:tc>
              <w:tc>
                <w:tcPr>
                  <w:tcW w:w="1004" w:type="pct"/>
                  <w:gridSpan w:val="2"/>
                  <w:noWrap w:val="0"/>
                  <w:vAlign w:val="center"/>
                </w:tcPr>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ascii="Times New Roman" w:hAnsi="Times New Roman"/>
                      <w:b/>
                      <w:bCs/>
                      <w:color w:val="auto"/>
                      <w:sz w:val="21"/>
                      <w:szCs w:val="21"/>
                      <w:highlight w:val="none"/>
                      <w:u w:val="single"/>
                      <w:lang w:val="en-US" w:eastAsia="zh-CN"/>
                    </w:rPr>
                    <w:t>排放标准</w:t>
                  </w:r>
                </w:p>
                <w:p>
                  <w:pPr>
                    <w:pStyle w:val="49"/>
                    <w:spacing w:before="0" w:line="240" w:lineRule="auto"/>
                    <w:ind w:right="0" w:firstLine="0" w:firstLineChars="0"/>
                    <w:rPr>
                      <w:rFonts w:ascii="Times New Roman" w:hAnsi="Times New Roman"/>
                      <w:b/>
                      <w:bCs/>
                      <w:color w:val="auto"/>
                      <w:sz w:val="21"/>
                      <w:szCs w:val="21"/>
                      <w:highlight w:val="none"/>
                      <w:u w:val="single"/>
                      <w:lang w:val="en-US" w:eastAsia="zh-CN"/>
                    </w:rPr>
                  </w:pPr>
                  <w:r>
                    <w:rPr>
                      <w:rFonts w:hint="eastAsia" w:ascii="Times New Roman" w:hAnsi="Times New Roman"/>
                      <w:b/>
                      <w:bCs/>
                      <w:color w:val="auto"/>
                      <w:sz w:val="21"/>
                      <w:szCs w:val="21"/>
                      <w:highlight w:val="none"/>
                      <w:u w:val="single"/>
                      <w:lang w:val="en-US" w:eastAsia="zh-CN"/>
                    </w:rPr>
                    <w:t>浓度限值（mg/m</w:t>
                  </w:r>
                  <w:r>
                    <w:rPr>
                      <w:rFonts w:hint="eastAsia" w:ascii="Times New Roman" w:hAnsi="Times New Roman"/>
                      <w:b/>
                      <w:bCs/>
                      <w:color w:val="auto"/>
                      <w:sz w:val="21"/>
                      <w:szCs w:val="21"/>
                      <w:highlight w:val="none"/>
                      <w:u w:val="single"/>
                      <w:vertAlign w:val="superscript"/>
                      <w:lang w:val="en-US" w:eastAsia="zh-CN"/>
                    </w:rPr>
                    <w:t>3</w:t>
                  </w:r>
                  <w:r>
                    <w:rPr>
                      <w:rFonts w:hint="eastAsia" w:ascii="Times New Roman" w:hAnsi="Times New Roman"/>
                      <w:b/>
                      <w:bCs/>
                      <w:color w:val="auto"/>
                      <w:sz w:val="21"/>
                      <w:szCs w:val="21"/>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422" w:type="pct"/>
                  <w:vMerge w:val="restart"/>
                  <w:noWrap w:val="0"/>
                  <w:vAlign w:val="center"/>
                </w:tcPr>
                <w:p>
                  <w:pPr>
                    <w:pStyle w:val="49"/>
                    <w:spacing w:before="0" w:line="240" w:lineRule="auto"/>
                    <w:ind w:right="0" w:firstLine="0" w:firstLineChars="0"/>
                    <w:rPr>
                      <w:rFonts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DA001</w:t>
                  </w:r>
                </w:p>
              </w:tc>
              <w:tc>
                <w:tcPr>
                  <w:tcW w:w="1274" w:type="pct"/>
                  <w:vMerge w:val="restart"/>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eastAsia"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113°28′23.72867″</w:t>
                  </w:r>
                </w:p>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29°21′24.63584″</w:t>
                  </w:r>
                </w:p>
              </w:tc>
              <w:tc>
                <w:tcPr>
                  <w:tcW w:w="720" w:type="pct"/>
                  <w:vMerge w:val="restart"/>
                  <w:noWrap w:val="0"/>
                  <w:vAlign w:val="center"/>
                </w:tcPr>
                <w:p>
                  <w:pPr>
                    <w:pStyle w:val="49"/>
                    <w:spacing w:before="0" w:line="240" w:lineRule="auto"/>
                    <w:ind w:right="0" w:firstLine="0" w:firstLineChars="0"/>
                    <w:rPr>
                      <w:rFonts w:ascii="Times New Roman" w:hAnsi="Times New Roman"/>
                      <w:color w:val="auto"/>
                      <w:sz w:val="21"/>
                      <w:szCs w:val="21"/>
                      <w:highlight w:val="none"/>
                      <w:u w:val="single"/>
                      <w:lang w:val="en-US" w:eastAsia="zh-CN"/>
                    </w:rPr>
                  </w:pPr>
                  <w:r>
                    <w:rPr>
                      <w:rFonts w:ascii="Times New Roman" w:hAnsi="Times New Roman"/>
                      <w:color w:val="auto"/>
                      <w:sz w:val="21"/>
                      <w:szCs w:val="21"/>
                      <w:highlight w:val="none"/>
                      <w:u w:val="single"/>
                      <w:lang w:val="en-US" w:eastAsia="zh-CN"/>
                    </w:rPr>
                    <w:t>15</w:t>
                  </w:r>
                </w:p>
              </w:tc>
              <w:tc>
                <w:tcPr>
                  <w:tcW w:w="587" w:type="pct"/>
                  <w:vMerge w:val="restart"/>
                  <w:noWrap w:val="0"/>
                  <w:vAlign w:val="center"/>
                </w:tcPr>
                <w:p>
                  <w:pPr>
                    <w:pStyle w:val="49"/>
                    <w:spacing w:before="0" w:line="240" w:lineRule="auto"/>
                    <w:ind w:right="0" w:firstLine="0" w:firstLineChars="0"/>
                    <w:rPr>
                      <w:rFonts w:hint="default"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0.5</w:t>
                  </w:r>
                </w:p>
              </w:tc>
              <w:tc>
                <w:tcPr>
                  <w:tcW w:w="431" w:type="pct"/>
                  <w:vMerge w:val="restart"/>
                  <w:noWrap w:val="0"/>
                  <w:vAlign w:val="center"/>
                </w:tcPr>
                <w:p>
                  <w:pPr>
                    <w:pStyle w:val="49"/>
                    <w:spacing w:before="0" w:line="240" w:lineRule="auto"/>
                    <w:ind w:right="0" w:firstLine="0" w:firstLineChars="0"/>
                    <w:rPr>
                      <w:rFonts w:hint="default"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60</w:t>
                  </w:r>
                </w:p>
              </w:tc>
              <w:tc>
                <w:tcPr>
                  <w:tcW w:w="329" w:type="pct"/>
                  <w:vMerge w:val="restart"/>
                  <w:noWrap w:val="0"/>
                  <w:vAlign w:val="center"/>
                </w:tcPr>
                <w:p>
                  <w:pPr>
                    <w:pStyle w:val="49"/>
                    <w:spacing w:before="0" w:line="240" w:lineRule="auto"/>
                    <w:ind w:right="0" w:firstLine="0" w:firstLineChars="0"/>
                    <w:rPr>
                      <w:rFonts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粉尘</w:t>
                  </w:r>
                  <w:r>
                    <w:rPr>
                      <w:rFonts w:ascii="Times New Roman" w:hAnsi="Times New Roman"/>
                      <w:color w:val="auto"/>
                      <w:sz w:val="21"/>
                      <w:szCs w:val="21"/>
                      <w:highlight w:val="none"/>
                      <w:u w:val="single"/>
                      <w:lang w:val="en-US" w:eastAsia="zh-CN"/>
                    </w:rPr>
                    <w:t>废气排气筒</w:t>
                  </w:r>
                </w:p>
              </w:tc>
              <w:tc>
                <w:tcPr>
                  <w:tcW w:w="230" w:type="pct"/>
                  <w:vMerge w:val="restart"/>
                  <w:noWrap w:val="0"/>
                  <w:vAlign w:val="center"/>
                </w:tcPr>
                <w:p>
                  <w:pPr>
                    <w:pStyle w:val="49"/>
                    <w:spacing w:before="0" w:line="240" w:lineRule="auto"/>
                    <w:ind w:right="0" w:firstLine="0" w:firstLineChars="0"/>
                    <w:rPr>
                      <w:rFonts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一般排放口</w:t>
                  </w:r>
                </w:p>
              </w:tc>
              <w:tc>
                <w:tcPr>
                  <w:tcW w:w="606" w:type="pct"/>
                  <w:noWrap w:val="0"/>
                  <w:vAlign w:val="center"/>
                </w:tcPr>
                <w:p>
                  <w:pPr>
                    <w:pStyle w:val="63"/>
                    <w:snapToGrid w:val="0"/>
                    <w:spacing w:before="36" w:beforeLines="15" w:line="276" w:lineRule="auto"/>
                    <w:jc w:val="center"/>
                    <w:rPr>
                      <w:rFonts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颗粒物</w:t>
                  </w:r>
                </w:p>
              </w:tc>
              <w:tc>
                <w:tcPr>
                  <w:tcW w:w="398" w:type="pct"/>
                  <w:noWrap w:val="0"/>
                  <w:vAlign w:val="center"/>
                </w:tcPr>
                <w:p>
                  <w:pPr>
                    <w:pStyle w:val="49"/>
                    <w:spacing w:before="0" w:line="240" w:lineRule="auto"/>
                    <w:ind w:right="0" w:firstLine="0" w:firstLineChars="0"/>
                    <w:rPr>
                      <w:rFonts w:hint="default" w:ascii="Times New Roman" w:hAnsi="Times New Roman"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422" w:type="pct"/>
                  <w:vMerge w:val="continue"/>
                  <w:noWrap w:val="0"/>
                  <w:vAlign w:val="center"/>
                </w:tcPr>
                <w:p>
                  <w:pPr>
                    <w:pStyle w:val="49"/>
                    <w:spacing w:before="0" w:line="240" w:lineRule="auto"/>
                    <w:ind w:right="0" w:firstLine="0" w:firstLineChars="0"/>
                    <w:rPr>
                      <w:color w:val="auto"/>
                      <w:highlight w:val="none"/>
                      <w:u w:val="single"/>
                    </w:rPr>
                  </w:pPr>
                </w:p>
              </w:tc>
              <w:tc>
                <w:tcPr>
                  <w:tcW w:w="1274" w:type="pct"/>
                  <w:vMerge w:val="continue"/>
                  <w:noWrap w:val="0"/>
                  <w:vAlign w:val="center"/>
                </w:tcPr>
                <w:p>
                  <w:pPr>
                    <w:pStyle w:val="49"/>
                    <w:spacing w:before="0" w:line="240" w:lineRule="auto"/>
                    <w:ind w:right="0" w:firstLine="0" w:firstLineChars="0"/>
                    <w:rPr>
                      <w:color w:val="auto"/>
                      <w:highlight w:val="none"/>
                      <w:u w:val="single"/>
                    </w:rPr>
                  </w:pPr>
                </w:p>
              </w:tc>
              <w:tc>
                <w:tcPr>
                  <w:tcW w:w="720" w:type="pct"/>
                  <w:vMerge w:val="continue"/>
                  <w:noWrap w:val="0"/>
                  <w:vAlign w:val="center"/>
                </w:tcPr>
                <w:p>
                  <w:pPr>
                    <w:pStyle w:val="49"/>
                    <w:spacing w:before="0" w:line="240" w:lineRule="auto"/>
                    <w:ind w:right="0" w:firstLine="0" w:firstLineChars="0"/>
                    <w:rPr>
                      <w:color w:val="auto"/>
                      <w:highlight w:val="none"/>
                      <w:u w:val="single"/>
                    </w:rPr>
                  </w:pPr>
                </w:p>
              </w:tc>
              <w:tc>
                <w:tcPr>
                  <w:tcW w:w="587" w:type="pct"/>
                  <w:vMerge w:val="continue"/>
                  <w:noWrap w:val="0"/>
                  <w:vAlign w:val="center"/>
                </w:tcPr>
                <w:p>
                  <w:pPr>
                    <w:pStyle w:val="49"/>
                    <w:spacing w:before="0" w:line="240" w:lineRule="auto"/>
                    <w:ind w:right="0" w:firstLine="0" w:firstLineChars="0"/>
                    <w:rPr>
                      <w:color w:val="auto"/>
                      <w:highlight w:val="none"/>
                      <w:u w:val="single"/>
                    </w:rPr>
                  </w:pPr>
                </w:p>
              </w:tc>
              <w:tc>
                <w:tcPr>
                  <w:tcW w:w="431" w:type="pct"/>
                  <w:vMerge w:val="continue"/>
                  <w:noWrap w:val="0"/>
                  <w:vAlign w:val="center"/>
                </w:tcPr>
                <w:p>
                  <w:pPr>
                    <w:pStyle w:val="49"/>
                    <w:spacing w:before="0" w:line="240" w:lineRule="auto"/>
                    <w:ind w:right="0" w:firstLine="0" w:firstLineChars="0"/>
                    <w:rPr>
                      <w:color w:val="auto"/>
                      <w:highlight w:val="none"/>
                      <w:u w:val="single"/>
                    </w:rPr>
                  </w:pPr>
                </w:p>
              </w:tc>
              <w:tc>
                <w:tcPr>
                  <w:tcW w:w="329" w:type="pct"/>
                  <w:vMerge w:val="continue"/>
                  <w:noWrap w:val="0"/>
                  <w:vAlign w:val="center"/>
                </w:tcPr>
                <w:p>
                  <w:pPr>
                    <w:pStyle w:val="49"/>
                    <w:spacing w:before="0" w:line="240" w:lineRule="auto"/>
                    <w:ind w:right="0" w:firstLine="0" w:firstLineChars="0"/>
                    <w:rPr>
                      <w:color w:val="auto"/>
                      <w:highlight w:val="none"/>
                      <w:u w:val="single"/>
                    </w:rPr>
                  </w:pPr>
                </w:p>
              </w:tc>
              <w:tc>
                <w:tcPr>
                  <w:tcW w:w="230" w:type="pct"/>
                  <w:vMerge w:val="continue"/>
                  <w:noWrap w:val="0"/>
                  <w:vAlign w:val="center"/>
                </w:tcPr>
                <w:p>
                  <w:pPr>
                    <w:pStyle w:val="49"/>
                    <w:spacing w:before="0" w:line="240" w:lineRule="auto"/>
                    <w:ind w:right="0" w:firstLine="0" w:firstLineChars="0"/>
                    <w:rPr>
                      <w:color w:val="auto"/>
                      <w:highlight w:val="none"/>
                      <w:u w:val="single"/>
                    </w:rPr>
                  </w:pP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color w:val="auto"/>
                      <w:highlight w:val="none"/>
                      <w:u w:val="single"/>
                    </w:rPr>
                  </w:pPr>
                  <w:r>
                    <w:rPr>
                      <w:rFonts w:hint="eastAsia" w:ascii="Times New Roman" w:hAnsi="Times New Roman" w:eastAsia="宋体" w:cs="Times New Roman"/>
                      <w:color w:val="auto"/>
                      <w:sz w:val="21"/>
                      <w:szCs w:val="21"/>
                      <w:highlight w:val="none"/>
                      <w:u w:val="single"/>
                    </w:rPr>
                    <w:t>SO</w:t>
                  </w:r>
                  <w:r>
                    <w:rPr>
                      <w:rFonts w:hint="eastAsia" w:ascii="Times New Roman" w:hAnsi="Times New Roman" w:eastAsia="宋体" w:cs="Times New Roman"/>
                      <w:color w:val="auto"/>
                      <w:sz w:val="21"/>
                      <w:szCs w:val="21"/>
                      <w:highlight w:val="none"/>
                      <w:u w:val="single"/>
                      <w:vertAlign w:val="subscript"/>
                    </w:rPr>
                    <w:t>2</w:t>
                  </w:r>
                </w:p>
              </w:tc>
              <w:tc>
                <w:tcPr>
                  <w:tcW w:w="398" w:type="pct"/>
                  <w:noWrap w:val="0"/>
                  <w:vAlign w:val="center"/>
                </w:tcPr>
                <w:p>
                  <w:pPr>
                    <w:pStyle w:val="49"/>
                    <w:spacing w:before="0" w:line="240" w:lineRule="auto"/>
                    <w:ind w:right="0" w:firstLine="0" w:firstLineChars="0"/>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u w:val="single"/>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422" w:type="pct"/>
                  <w:vMerge w:val="continue"/>
                  <w:noWrap w:val="0"/>
                  <w:vAlign w:val="center"/>
                </w:tcPr>
                <w:p>
                  <w:pPr>
                    <w:pStyle w:val="49"/>
                    <w:spacing w:before="0" w:line="240" w:lineRule="auto"/>
                    <w:ind w:right="0" w:firstLine="0" w:firstLineChars="0"/>
                    <w:rPr>
                      <w:color w:val="auto"/>
                      <w:highlight w:val="none"/>
                      <w:u w:val="single"/>
                    </w:rPr>
                  </w:pPr>
                </w:p>
              </w:tc>
              <w:tc>
                <w:tcPr>
                  <w:tcW w:w="1274" w:type="pct"/>
                  <w:vMerge w:val="continue"/>
                  <w:noWrap w:val="0"/>
                  <w:vAlign w:val="center"/>
                </w:tcPr>
                <w:p>
                  <w:pPr>
                    <w:pStyle w:val="49"/>
                    <w:spacing w:before="0" w:line="240" w:lineRule="auto"/>
                    <w:ind w:right="0" w:firstLine="0" w:firstLineChars="0"/>
                    <w:rPr>
                      <w:color w:val="auto"/>
                      <w:highlight w:val="none"/>
                      <w:u w:val="single"/>
                    </w:rPr>
                  </w:pPr>
                </w:p>
              </w:tc>
              <w:tc>
                <w:tcPr>
                  <w:tcW w:w="720" w:type="pct"/>
                  <w:vMerge w:val="continue"/>
                  <w:noWrap w:val="0"/>
                  <w:vAlign w:val="center"/>
                </w:tcPr>
                <w:p>
                  <w:pPr>
                    <w:pStyle w:val="49"/>
                    <w:spacing w:before="0" w:line="240" w:lineRule="auto"/>
                    <w:ind w:right="0" w:firstLine="0" w:firstLineChars="0"/>
                    <w:rPr>
                      <w:color w:val="auto"/>
                      <w:highlight w:val="none"/>
                      <w:u w:val="single"/>
                    </w:rPr>
                  </w:pPr>
                </w:p>
              </w:tc>
              <w:tc>
                <w:tcPr>
                  <w:tcW w:w="587" w:type="pct"/>
                  <w:vMerge w:val="continue"/>
                  <w:noWrap w:val="0"/>
                  <w:vAlign w:val="center"/>
                </w:tcPr>
                <w:p>
                  <w:pPr>
                    <w:pStyle w:val="49"/>
                    <w:spacing w:before="0" w:line="240" w:lineRule="auto"/>
                    <w:ind w:right="0" w:firstLine="0" w:firstLineChars="0"/>
                    <w:rPr>
                      <w:color w:val="auto"/>
                      <w:highlight w:val="none"/>
                      <w:u w:val="single"/>
                    </w:rPr>
                  </w:pPr>
                </w:p>
              </w:tc>
              <w:tc>
                <w:tcPr>
                  <w:tcW w:w="431" w:type="pct"/>
                  <w:vMerge w:val="continue"/>
                  <w:noWrap w:val="0"/>
                  <w:vAlign w:val="center"/>
                </w:tcPr>
                <w:p>
                  <w:pPr>
                    <w:pStyle w:val="49"/>
                    <w:spacing w:before="0" w:line="240" w:lineRule="auto"/>
                    <w:ind w:right="0" w:firstLine="0" w:firstLineChars="0"/>
                    <w:rPr>
                      <w:color w:val="auto"/>
                      <w:highlight w:val="none"/>
                      <w:u w:val="single"/>
                    </w:rPr>
                  </w:pPr>
                </w:p>
              </w:tc>
              <w:tc>
                <w:tcPr>
                  <w:tcW w:w="329" w:type="pct"/>
                  <w:vMerge w:val="continue"/>
                  <w:noWrap w:val="0"/>
                  <w:vAlign w:val="center"/>
                </w:tcPr>
                <w:p>
                  <w:pPr>
                    <w:pStyle w:val="49"/>
                    <w:spacing w:before="0" w:line="240" w:lineRule="auto"/>
                    <w:ind w:right="0" w:firstLine="0" w:firstLineChars="0"/>
                    <w:rPr>
                      <w:color w:val="auto"/>
                      <w:highlight w:val="none"/>
                      <w:u w:val="single"/>
                    </w:rPr>
                  </w:pPr>
                </w:p>
              </w:tc>
              <w:tc>
                <w:tcPr>
                  <w:tcW w:w="230" w:type="pct"/>
                  <w:vMerge w:val="continue"/>
                  <w:noWrap w:val="0"/>
                  <w:vAlign w:val="center"/>
                </w:tcPr>
                <w:p>
                  <w:pPr>
                    <w:pStyle w:val="49"/>
                    <w:spacing w:before="0" w:line="240" w:lineRule="auto"/>
                    <w:ind w:right="0" w:firstLine="0" w:firstLineChars="0"/>
                    <w:rPr>
                      <w:color w:val="auto"/>
                      <w:highlight w:val="none"/>
                      <w:u w:val="single"/>
                    </w:rPr>
                  </w:pP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color w:val="auto"/>
                      <w:highlight w:val="none"/>
                      <w:u w:val="single"/>
                    </w:rPr>
                  </w:pPr>
                  <w:r>
                    <w:rPr>
                      <w:rFonts w:hint="eastAsia" w:ascii="Times New Roman" w:hAnsi="Times New Roman" w:eastAsia="宋体" w:cs="Times New Roman"/>
                      <w:color w:val="auto"/>
                      <w:sz w:val="21"/>
                      <w:szCs w:val="21"/>
                      <w:highlight w:val="none"/>
                      <w:u w:val="single"/>
                    </w:rPr>
                    <w:t>NO</w:t>
                  </w:r>
                  <w:r>
                    <w:rPr>
                      <w:rFonts w:hint="eastAsia" w:ascii="Times New Roman" w:hAnsi="Times New Roman" w:eastAsia="宋体" w:cs="Times New Roman"/>
                      <w:color w:val="auto"/>
                      <w:sz w:val="21"/>
                      <w:szCs w:val="21"/>
                      <w:highlight w:val="none"/>
                      <w:u w:val="single"/>
                      <w:vertAlign w:val="subscript"/>
                    </w:rPr>
                    <w:t>X</w:t>
                  </w:r>
                </w:p>
              </w:tc>
              <w:tc>
                <w:tcPr>
                  <w:tcW w:w="398" w:type="pct"/>
                  <w:noWrap w:val="0"/>
                  <w:vAlign w:val="center"/>
                </w:tcPr>
                <w:p>
                  <w:pPr>
                    <w:pStyle w:val="49"/>
                    <w:spacing w:before="0" w:line="240" w:lineRule="auto"/>
                    <w:ind w:right="0" w:firstLine="0" w:firstLineChars="0"/>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422" w:type="pct"/>
                  <w:vMerge w:val="continue"/>
                  <w:noWrap w:val="0"/>
                  <w:vAlign w:val="center"/>
                </w:tcPr>
                <w:p>
                  <w:pPr>
                    <w:pStyle w:val="49"/>
                    <w:spacing w:before="0" w:line="240" w:lineRule="auto"/>
                    <w:ind w:right="0" w:firstLine="0" w:firstLineChars="0"/>
                    <w:rPr>
                      <w:color w:val="auto"/>
                      <w:highlight w:val="none"/>
                      <w:u w:val="single"/>
                    </w:rPr>
                  </w:pPr>
                </w:p>
              </w:tc>
              <w:tc>
                <w:tcPr>
                  <w:tcW w:w="1274" w:type="pct"/>
                  <w:vMerge w:val="continue"/>
                  <w:noWrap w:val="0"/>
                  <w:vAlign w:val="center"/>
                </w:tcPr>
                <w:p>
                  <w:pPr>
                    <w:pStyle w:val="49"/>
                    <w:spacing w:before="0" w:line="240" w:lineRule="auto"/>
                    <w:ind w:right="0" w:firstLine="0" w:firstLineChars="0"/>
                    <w:rPr>
                      <w:color w:val="auto"/>
                      <w:highlight w:val="none"/>
                      <w:u w:val="single"/>
                    </w:rPr>
                  </w:pPr>
                </w:p>
              </w:tc>
              <w:tc>
                <w:tcPr>
                  <w:tcW w:w="720" w:type="pct"/>
                  <w:vMerge w:val="continue"/>
                  <w:noWrap w:val="0"/>
                  <w:vAlign w:val="center"/>
                </w:tcPr>
                <w:p>
                  <w:pPr>
                    <w:pStyle w:val="49"/>
                    <w:spacing w:before="0" w:line="240" w:lineRule="auto"/>
                    <w:ind w:right="0" w:firstLine="0" w:firstLineChars="0"/>
                    <w:rPr>
                      <w:color w:val="auto"/>
                      <w:highlight w:val="none"/>
                      <w:u w:val="single"/>
                    </w:rPr>
                  </w:pPr>
                </w:p>
              </w:tc>
              <w:tc>
                <w:tcPr>
                  <w:tcW w:w="587" w:type="pct"/>
                  <w:vMerge w:val="continue"/>
                  <w:noWrap w:val="0"/>
                  <w:vAlign w:val="center"/>
                </w:tcPr>
                <w:p>
                  <w:pPr>
                    <w:pStyle w:val="49"/>
                    <w:spacing w:before="0" w:line="240" w:lineRule="auto"/>
                    <w:ind w:right="0" w:firstLine="0" w:firstLineChars="0"/>
                    <w:rPr>
                      <w:color w:val="auto"/>
                      <w:highlight w:val="none"/>
                      <w:u w:val="single"/>
                    </w:rPr>
                  </w:pPr>
                </w:p>
              </w:tc>
              <w:tc>
                <w:tcPr>
                  <w:tcW w:w="431" w:type="pct"/>
                  <w:vMerge w:val="continue"/>
                  <w:noWrap w:val="0"/>
                  <w:vAlign w:val="center"/>
                </w:tcPr>
                <w:p>
                  <w:pPr>
                    <w:pStyle w:val="49"/>
                    <w:spacing w:before="0" w:line="240" w:lineRule="auto"/>
                    <w:ind w:right="0" w:firstLine="0" w:firstLineChars="0"/>
                    <w:rPr>
                      <w:color w:val="auto"/>
                      <w:highlight w:val="none"/>
                      <w:u w:val="single"/>
                    </w:rPr>
                  </w:pPr>
                </w:p>
              </w:tc>
              <w:tc>
                <w:tcPr>
                  <w:tcW w:w="329" w:type="pct"/>
                  <w:vMerge w:val="continue"/>
                  <w:noWrap w:val="0"/>
                  <w:vAlign w:val="center"/>
                </w:tcPr>
                <w:p>
                  <w:pPr>
                    <w:pStyle w:val="49"/>
                    <w:spacing w:before="0" w:line="240" w:lineRule="auto"/>
                    <w:ind w:right="0" w:firstLine="0" w:firstLineChars="0"/>
                    <w:rPr>
                      <w:color w:val="auto"/>
                      <w:highlight w:val="none"/>
                      <w:u w:val="single"/>
                    </w:rPr>
                  </w:pPr>
                </w:p>
              </w:tc>
              <w:tc>
                <w:tcPr>
                  <w:tcW w:w="230" w:type="pct"/>
                  <w:vMerge w:val="continue"/>
                  <w:noWrap w:val="0"/>
                  <w:vAlign w:val="center"/>
                </w:tcPr>
                <w:p>
                  <w:pPr>
                    <w:pStyle w:val="49"/>
                    <w:spacing w:before="0" w:line="240" w:lineRule="auto"/>
                    <w:ind w:right="0" w:firstLine="0" w:firstLineChars="0"/>
                    <w:rPr>
                      <w:color w:val="auto"/>
                      <w:highlight w:val="none"/>
                      <w:u w:val="single"/>
                    </w:rPr>
                  </w:pP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烟气黑度（林格曼级）</w:t>
                  </w:r>
                </w:p>
              </w:tc>
              <w:tc>
                <w:tcPr>
                  <w:tcW w:w="398" w:type="pct"/>
                  <w:noWrap w:val="0"/>
                  <w:vAlign w:val="center"/>
                </w:tcPr>
                <w:p>
                  <w:pPr>
                    <w:pStyle w:val="49"/>
                    <w:spacing w:before="0" w:line="240" w:lineRule="auto"/>
                    <w:ind w:right="0" w:firstLine="0" w:firstLineChars="0"/>
                    <w:rPr>
                      <w:rFonts w:hint="default" w:ascii="Times New Roman" w:hAnsi="Times New Roman" w:cs="Times New Roman"/>
                      <w:color w:val="auto"/>
                      <w:sz w:val="21"/>
                      <w:szCs w:val="21"/>
                      <w:highlight w:val="none"/>
                      <w:u w:val="single"/>
                      <w:lang w:val="en-US" w:eastAsia="zh-CN"/>
                    </w:rPr>
                  </w:pPr>
                  <w:r>
                    <w:rPr>
                      <w:rFonts w:hint="eastAsia" w:ascii="Times New Roman" w:hAnsi="Times New Roman" w:cs="Times New Roman"/>
                      <w:color w:val="auto"/>
                      <w:sz w:val="21"/>
                      <w:szCs w:val="21"/>
                      <w:highlight w:val="none"/>
                      <w:u w:val="single"/>
                      <w:lang w:val="en-US" w:eastAsia="zh-CN"/>
                    </w:rPr>
                    <w:t>1级</w:t>
                  </w:r>
                </w:p>
              </w:tc>
            </w:tr>
          </w:tbl>
          <w:p>
            <w:pPr>
              <w:spacing w:before="120" w:beforeLines="50" w:line="360" w:lineRule="auto"/>
              <w:ind w:firstLine="482" w:firstLineChars="200"/>
              <w:rPr>
                <w:color w:val="auto"/>
                <w:sz w:val="24"/>
                <w:szCs w:val="32"/>
                <w:highlight w:val="none"/>
                <w:u w:val="single"/>
              </w:rPr>
            </w:pPr>
            <w:r>
              <w:rPr>
                <w:rFonts w:hint="eastAsia"/>
                <w:b/>
                <w:bCs/>
                <w:color w:val="auto"/>
                <w:sz w:val="24"/>
                <w:szCs w:val="32"/>
                <w:highlight w:val="none"/>
                <w:u w:val="single"/>
              </w:rPr>
              <w:t>2、废气达标排放可行性分析</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32"/>
                <w:highlight w:val="none"/>
                <w:u w:val="single"/>
              </w:rPr>
            </w:pPr>
            <w:r>
              <w:rPr>
                <w:rFonts w:hint="eastAsia" w:ascii="Times New Roman" w:hAnsi="Times New Roman" w:eastAsia="宋体" w:cs="Times New Roman"/>
                <w:color w:val="auto"/>
                <w:sz w:val="24"/>
                <w:szCs w:val="32"/>
                <w:highlight w:val="none"/>
                <w:u w:val="single"/>
              </w:rPr>
              <w:t>项目</w:t>
            </w:r>
            <w:r>
              <w:rPr>
                <w:rFonts w:hint="eastAsia" w:ascii="Times New Roman" w:hAnsi="Times New Roman" w:eastAsia="宋体" w:cs="Times New Roman"/>
                <w:color w:val="auto"/>
                <w:sz w:val="24"/>
                <w:szCs w:val="32"/>
                <w:highlight w:val="none"/>
                <w:u w:val="single"/>
                <w:lang w:val="en-US" w:eastAsia="zh-CN"/>
              </w:rPr>
              <w:t>破碎、</w:t>
            </w:r>
            <w:r>
              <w:rPr>
                <w:rFonts w:hint="eastAsia" w:ascii="Times New Roman" w:hAnsi="Times New Roman" w:eastAsia="宋体" w:cs="Times New Roman"/>
                <w:color w:val="auto"/>
                <w:sz w:val="24"/>
                <w:szCs w:val="32"/>
                <w:highlight w:val="none"/>
                <w:u w:val="single"/>
              </w:rPr>
              <w:t>粉碎</w:t>
            </w:r>
            <w:r>
              <w:rPr>
                <w:rFonts w:hint="eastAsia" w:cs="Times New Roman"/>
                <w:color w:val="auto"/>
                <w:sz w:val="24"/>
                <w:szCs w:val="32"/>
                <w:highlight w:val="none"/>
                <w:u w:val="single"/>
                <w:lang w:eastAsia="zh-CN"/>
              </w:rPr>
              <w:t>、</w:t>
            </w:r>
            <w:r>
              <w:rPr>
                <w:rFonts w:hint="eastAsia" w:cs="Times New Roman"/>
                <w:color w:val="auto"/>
                <w:sz w:val="24"/>
                <w:szCs w:val="32"/>
                <w:highlight w:val="none"/>
                <w:u w:val="single"/>
                <w:lang w:val="en-US" w:eastAsia="zh-CN"/>
              </w:rPr>
              <w:t>筛分</w:t>
            </w:r>
            <w:r>
              <w:rPr>
                <w:rFonts w:hint="eastAsia" w:ascii="Times New Roman" w:hAnsi="Times New Roman" w:eastAsia="宋体" w:cs="Times New Roman"/>
                <w:color w:val="auto"/>
                <w:sz w:val="24"/>
                <w:szCs w:val="32"/>
                <w:highlight w:val="none"/>
                <w:u w:val="single"/>
              </w:rPr>
              <w:t>、制粒工序粉尘、</w:t>
            </w:r>
            <w:r>
              <w:rPr>
                <w:rFonts w:hint="eastAsia" w:ascii="Times New Roman" w:hAnsi="Times New Roman" w:eastAsia="宋体" w:cs="Times New Roman"/>
                <w:color w:val="auto"/>
                <w:sz w:val="24"/>
                <w:szCs w:val="32"/>
                <w:highlight w:val="none"/>
                <w:u w:val="single"/>
                <w:lang w:val="en-US" w:eastAsia="zh-CN"/>
              </w:rPr>
              <w:t>烘干</w:t>
            </w:r>
            <w:r>
              <w:rPr>
                <w:rFonts w:hint="eastAsia" w:ascii="Times New Roman" w:hAnsi="Times New Roman" w:eastAsia="宋体" w:cs="Times New Roman"/>
                <w:color w:val="auto"/>
                <w:sz w:val="24"/>
                <w:szCs w:val="32"/>
                <w:highlight w:val="none"/>
                <w:u w:val="single"/>
              </w:rPr>
              <w:t>粉尘</w:t>
            </w:r>
            <w:r>
              <w:rPr>
                <w:rFonts w:hint="eastAsia" w:ascii="Times New Roman" w:hAnsi="Times New Roman" w:eastAsia="宋体" w:cs="Times New Roman"/>
                <w:color w:val="auto"/>
                <w:sz w:val="24"/>
                <w:szCs w:val="32"/>
                <w:highlight w:val="none"/>
                <w:u w:val="single"/>
                <w:lang w:val="en-US" w:eastAsia="zh-CN"/>
              </w:rPr>
              <w:t>和热风炉废气</w:t>
            </w:r>
            <w:r>
              <w:rPr>
                <w:rFonts w:hint="eastAsia" w:ascii="Times New Roman" w:hAnsi="Times New Roman" w:eastAsia="宋体" w:cs="Times New Roman"/>
                <w:color w:val="auto"/>
                <w:sz w:val="24"/>
                <w:szCs w:val="32"/>
                <w:highlight w:val="none"/>
                <w:u w:val="single"/>
              </w:rPr>
              <w:t>通过管道密闭连接收集经“旋风+布袋”处理</w:t>
            </w:r>
            <w:r>
              <w:rPr>
                <w:rFonts w:hint="eastAsia" w:ascii="Times New Roman" w:hAnsi="Times New Roman" w:eastAsia="宋体" w:cs="Times New Roman"/>
                <w:color w:val="auto"/>
                <w:sz w:val="24"/>
                <w:szCs w:val="32"/>
                <w:highlight w:val="none"/>
                <w:u w:val="single"/>
                <w:lang w:val="en-US" w:eastAsia="zh-CN"/>
              </w:rPr>
              <w:t>后</w:t>
            </w:r>
            <w:r>
              <w:rPr>
                <w:rFonts w:hint="eastAsia" w:ascii="Times New Roman" w:hAnsi="Times New Roman" w:eastAsia="宋体" w:cs="Times New Roman"/>
                <w:color w:val="auto"/>
                <w:sz w:val="24"/>
                <w:szCs w:val="32"/>
                <w:highlight w:val="none"/>
                <w:u w:val="single"/>
              </w:rPr>
              <w:t>共用一根15m高排气筒（DA001）排放。依据《工业源产排污核算方法和系数手册》（2021年6月发布）2542 生物质致密成型燃料加工行业系数手册，末端治理技术名称包括</w:t>
            </w:r>
            <w:r>
              <w:rPr>
                <w:rFonts w:hint="eastAsia" w:ascii="Times New Roman" w:hAnsi="Times New Roman" w:eastAsia="宋体" w:cs="Times New Roman"/>
                <w:color w:val="auto"/>
                <w:sz w:val="24"/>
                <w:szCs w:val="32"/>
                <w:highlight w:val="none"/>
                <w:u w:val="single"/>
                <w:lang w:val="en-US" w:eastAsia="zh-CN"/>
              </w:rPr>
              <w:t>旋风除尘（处理效率为90%）</w:t>
            </w:r>
            <w:r>
              <w:rPr>
                <w:rFonts w:hint="eastAsia" w:ascii="Times New Roman" w:hAnsi="Times New Roman" w:eastAsia="宋体" w:cs="Times New Roman"/>
                <w:color w:val="auto"/>
                <w:sz w:val="24"/>
                <w:szCs w:val="32"/>
                <w:highlight w:val="none"/>
                <w:u w:val="single"/>
              </w:rPr>
              <w:t>、</w:t>
            </w:r>
            <w:r>
              <w:rPr>
                <w:rFonts w:hint="eastAsia" w:ascii="Times New Roman" w:hAnsi="Times New Roman" w:eastAsia="宋体" w:cs="Times New Roman"/>
                <w:color w:val="auto"/>
                <w:sz w:val="24"/>
                <w:szCs w:val="32"/>
                <w:highlight w:val="none"/>
                <w:u w:val="single"/>
                <w:lang w:val="en-US" w:eastAsia="zh-CN"/>
              </w:rPr>
              <w:t>袋式除尘（处理效率为92%）</w:t>
            </w:r>
            <w:r>
              <w:rPr>
                <w:rFonts w:hint="eastAsia" w:ascii="Times New Roman" w:hAnsi="Times New Roman" w:eastAsia="宋体" w:cs="Times New Roman"/>
                <w:color w:val="auto"/>
                <w:sz w:val="24"/>
                <w:szCs w:val="32"/>
                <w:highlight w:val="none"/>
                <w:u w:val="single"/>
                <w:lang w:eastAsia="zh-CN"/>
              </w:rPr>
              <w:t>。</w:t>
            </w:r>
            <w:r>
              <w:rPr>
                <w:rFonts w:hint="eastAsia" w:ascii="Times New Roman" w:hAnsi="Times New Roman" w:eastAsia="宋体" w:cs="Times New Roman"/>
                <w:color w:val="auto"/>
                <w:sz w:val="24"/>
                <w:szCs w:val="32"/>
                <w:highlight w:val="none"/>
                <w:u w:val="single"/>
              </w:rPr>
              <w:t>故项目产生颗粒物所采用的“</w:t>
            </w:r>
            <w:r>
              <w:rPr>
                <w:rFonts w:hint="eastAsia" w:ascii="Times New Roman" w:hAnsi="Times New Roman" w:eastAsia="宋体" w:cs="Times New Roman"/>
                <w:color w:val="auto"/>
                <w:sz w:val="24"/>
                <w:szCs w:val="32"/>
                <w:highlight w:val="none"/>
                <w:u w:val="single"/>
                <w:lang w:val="en-US" w:eastAsia="zh-CN"/>
              </w:rPr>
              <w:t>旋风除尘、</w:t>
            </w:r>
            <w:r>
              <w:rPr>
                <w:rFonts w:hint="eastAsia" w:ascii="Times New Roman" w:hAnsi="Times New Roman" w:eastAsia="宋体" w:cs="Times New Roman"/>
                <w:color w:val="auto"/>
                <w:sz w:val="24"/>
                <w:szCs w:val="32"/>
                <w:highlight w:val="none"/>
                <w:u w:val="single"/>
              </w:rPr>
              <w:t>布袋除尘”进行处理均属于可行技术。</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32"/>
                <w:highlight w:val="none"/>
                <w:u w:val="single"/>
              </w:rPr>
            </w:pPr>
            <w:r>
              <w:rPr>
                <w:rFonts w:hint="eastAsia" w:ascii="Times New Roman" w:hAnsi="Times New Roman" w:eastAsia="宋体" w:cs="Times New Roman"/>
                <w:color w:val="auto"/>
                <w:sz w:val="24"/>
                <w:szCs w:val="32"/>
                <w:highlight w:val="none"/>
                <w:u w:val="single"/>
              </w:rPr>
              <w:t>旋风除尘工作原理：旋风除尘是利用旋转的含尘气流所产生的离心力，将颗粒污染物从气体中分离出来的过程。当含尘气流由进气管进旋风除尘器时，气流由直线运动变为圆周运动。旋转气流的绝大部分沿器壁和圆筒体成螺旋向下，朝锥体流动，通常称此为外旋流。含尘气体在旋转过程中产生离心力，将密度大于气体的颗粒甩向器壁，颗粒一旦与器壁接触，便失去惯性力而靠入口速度的动量和向下的重力沿壁而下落，进入排灰管。旋转下降的外旋气流在到达椎体时，因圆锥形的收缩而向除尘器中心靠拢，其切向速度不断提高。当气流到达椎体下端某一位置时，便以同样的旋转方向在旋风除尘器中由下回旋而上，继续做螺旋运动。最终，净化气体经排气管排除器外，通常称此为内旋流。一部分未被捕集的颗粒也随之排出。</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32"/>
                <w:highlight w:val="none"/>
                <w:u w:val="single"/>
              </w:rPr>
            </w:pPr>
            <w:r>
              <w:rPr>
                <w:rFonts w:hint="eastAsia" w:ascii="Times New Roman" w:hAnsi="Times New Roman" w:eastAsia="宋体" w:cs="Times New Roman"/>
                <w:color w:val="auto"/>
                <w:sz w:val="24"/>
                <w:szCs w:val="32"/>
                <w:highlight w:val="none"/>
                <w:u w:val="single"/>
              </w:rPr>
              <w:t>布袋除尘器工作原理：袋式除尘器是指通过喷吹压缩空气的方法除掉过滤介质（布袋或滤筒）上附着的粉尘；根据除尘器的大小可能有几组脉冲阀，由脉冲控制仪或PLC控制，每次开一组脉冲阀来除去它所控制的那部分布袋或滤筒的灰尘，而其他的布袋或滤筒正常工作，隔一段时间后下一组脉冲阀打开，清理下一部分除尘器由灰斗、上箱体、中箱体、下箱体等部分组成，上、中、下箱体为分室结构。工作时，含尘体由进风道进入灰斗，粗尘粒直接落入灰斗底部，细尘粒随气流转折向上进入中、下箱体，粉尘积附在滤袋外表面，过滤后的气体进入上箱体至净气集合管-排风道，经排风机排至大气。清灰过程是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含尘气体由进风口进入，经过灰斗时，气体中部分大颗粒粉尘受惯性力和重力作用被分离出来，直接落入灰斗底部。含尘气体通过灰斗后进入中箱体的滤袋过滤区，气体穿过滤袋，粉尘被阻留在滤袋外表面，净化后的气体经滤袋口进入上箱体后，再由出风口排出。</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32"/>
                <w:highlight w:val="none"/>
                <w:u w:val="single"/>
              </w:rPr>
            </w:pPr>
            <w:r>
              <w:rPr>
                <w:rFonts w:hint="eastAsia" w:ascii="Times New Roman" w:hAnsi="Times New Roman" w:eastAsia="宋体" w:cs="Times New Roman"/>
                <w:color w:val="auto"/>
                <w:sz w:val="24"/>
                <w:szCs w:val="32"/>
                <w:highlight w:val="none"/>
                <w:u w:val="single"/>
              </w:rPr>
              <w:t>经过上述措施后，排气筒DA001废气中的颗粒物、二氧化硫</w:t>
            </w:r>
            <w:r>
              <w:rPr>
                <w:rFonts w:hint="eastAsia" w:ascii="Times New Roman" w:hAnsi="Times New Roman" w:eastAsia="宋体" w:cs="Times New Roman"/>
                <w:color w:val="auto"/>
                <w:sz w:val="24"/>
                <w:szCs w:val="32"/>
                <w:highlight w:val="none"/>
                <w:u w:val="single"/>
                <w:lang w:val="en-US" w:eastAsia="zh-CN"/>
              </w:rPr>
              <w:t>满足</w:t>
            </w:r>
            <w:r>
              <w:rPr>
                <w:rFonts w:hint="eastAsia" w:ascii="Times New Roman" w:hAnsi="Times New Roman" w:eastAsia="宋体" w:cs="Times New Roman"/>
                <w:color w:val="auto"/>
                <w:sz w:val="24"/>
                <w:szCs w:val="32"/>
                <w:highlight w:val="none"/>
                <w:u w:val="single"/>
              </w:rPr>
              <w:t>《湖南省工业炉窑大气污染综合治理实施方案》中附件一</w:t>
            </w:r>
            <w:r>
              <w:rPr>
                <w:rFonts w:hint="eastAsia" w:ascii="Times New Roman" w:hAnsi="Times New Roman" w:eastAsia="宋体" w:cs="Times New Roman"/>
                <w:color w:val="auto"/>
                <w:sz w:val="24"/>
                <w:szCs w:val="32"/>
                <w:highlight w:val="none"/>
                <w:u w:val="single"/>
                <w:lang w:val="en-US" w:eastAsia="zh-CN"/>
              </w:rPr>
              <w:t>表中</w:t>
            </w:r>
            <w:r>
              <w:rPr>
                <w:rFonts w:hint="eastAsia" w:ascii="Times New Roman" w:hAnsi="Times New Roman" w:eastAsia="宋体" w:cs="Times New Roman"/>
                <w:color w:val="auto"/>
                <w:sz w:val="24"/>
                <w:szCs w:val="32"/>
                <w:highlight w:val="none"/>
                <w:u w:val="single"/>
              </w:rPr>
              <w:t>的工业炉窑标准限值</w:t>
            </w:r>
            <w:r>
              <w:rPr>
                <w:rFonts w:hint="eastAsia" w:ascii="Times New Roman" w:hAnsi="Times New Roman" w:eastAsia="宋体" w:cs="Times New Roman"/>
                <w:color w:val="auto"/>
                <w:sz w:val="24"/>
                <w:szCs w:val="32"/>
                <w:highlight w:val="none"/>
                <w:u w:val="single"/>
                <w:lang w:eastAsia="zh-CN"/>
              </w:rPr>
              <w:t>，氮氧化物</w:t>
            </w:r>
            <w:r>
              <w:rPr>
                <w:rFonts w:hint="eastAsia" w:ascii="Times New Roman" w:hAnsi="Times New Roman" w:eastAsia="宋体" w:cs="Times New Roman"/>
                <w:color w:val="auto"/>
                <w:sz w:val="24"/>
                <w:szCs w:val="32"/>
                <w:highlight w:val="none"/>
                <w:u w:val="single"/>
                <w:lang w:val="en-US" w:eastAsia="zh-CN"/>
              </w:rPr>
              <w:t>满足</w:t>
            </w:r>
            <w:r>
              <w:rPr>
                <w:rFonts w:hint="eastAsia" w:ascii="Times New Roman" w:hAnsi="Times New Roman" w:eastAsia="宋体" w:cs="Times New Roman"/>
                <w:color w:val="auto"/>
                <w:sz w:val="24"/>
                <w:szCs w:val="32"/>
                <w:highlight w:val="none"/>
                <w:u w:val="single"/>
                <w:lang w:eastAsia="zh-CN"/>
              </w:rPr>
              <w:t>《大气污染物综合排放标准》（GB16297-1996）表2标准</w:t>
            </w:r>
            <w:r>
              <w:rPr>
                <w:rFonts w:hint="eastAsia" w:cs="Times New Roman"/>
                <w:color w:val="auto"/>
                <w:sz w:val="24"/>
                <w:szCs w:val="32"/>
                <w:highlight w:val="none"/>
                <w:u w:val="single"/>
                <w:lang w:eastAsia="zh-CN"/>
              </w:rPr>
              <w:t>，烟气黑度</w:t>
            </w:r>
            <w:r>
              <w:rPr>
                <w:rFonts w:hint="eastAsia" w:cs="Times New Roman"/>
                <w:color w:val="auto"/>
                <w:sz w:val="24"/>
                <w:szCs w:val="32"/>
                <w:highlight w:val="none"/>
                <w:u w:val="single"/>
                <w:lang w:val="en-US" w:eastAsia="zh-CN"/>
              </w:rPr>
              <w:t>满足</w:t>
            </w:r>
            <w:r>
              <w:rPr>
                <w:rFonts w:hint="eastAsia" w:cs="Times New Roman"/>
                <w:color w:val="auto"/>
                <w:sz w:val="24"/>
                <w:szCs w:val="32"/>
                <w:highlight w:val="none"/>
                <w:u w:val="single"/>
                <w:lang w:eastAsia="zh-CN"/>
              </w:rPr>
              <w:t>《工业炉窑大气污染物排放标准》（GB9078-1996）表2标准</w:t>
            </w:r>
            <w:r>
              <w:rPr>
                <w:rFonts w:hint="eastAsia" w:ascii="Times New Roman" w:hAnsi="Times New Roman" w:eastAsia="宋体" w:cs="Times New Roman"/>
                <w:color w:val="auto"/>
                <w:sz w:val="24"/>
                <w:szCs w:val="32"/>
                <w:highlight w:val="none"/>
                <w:u w:val="single"/>
                <w:lang w:eastAsia="zh-CN"/>
              </w:rPr>
              <w:t>（</w:t>
            </w:r>
            <w:r>
              <w:rPr>
                <w:rFonts w:hint="eastAsia" w:ascii="Times New Roman" w:hAnsi="Times New Roman" w:eastAsia="宋体" w:cs="Times New Roman"/>
                <w:color w:val="auto"/>
                <w:sz w:val="24"/>
                <w:szCs w:val="32"/>
                <w:highlight w:val="none"/>
                <w:u w:val="single"/>
                <w:lang w:val="en-US" w:eastAsia="zh-CN"/>
              </w:rPr>
              <w:t>颗粒物</w:t>
            </w:r>
            <w:r>
              <w:rPr>
                <w:rFonts w:hint="eastAsia" w:ascii="Times New Roman" w:hAnsi="Times New Roman" w:eastAsia="宋体" w:cs="Times New Roman"/>
                <w:color w:val="auto"/>
                <w:sz w:val="24"/>
                <w:szCs w:val="32"/>
                <w:highlight w:val="none"/>
                <w:u w:val="single"/>
              </w:rPr>
              <w:t>浓度小于</w:t>
            </w:r>
            <w:r>
              <w:rPr>
                <w:rFonts w:hint="eastAsia" w:ascii="Times New Roman" w:hAnsi="Times New Roman" w:eastAsia="宋体" w:cs="Times New Roman"/>
                <w:color w:val="auto"/>
                <w:sz w:val="24"/>
                <w:szCs w:val="32"/>
                <w:highlight w:val="none"/>
                <w:u w:val="single"/>
                <w:lang w:val="en-US" w:eastAsia="zh-CN"/>
              </w:rPr>
              <w:t>3</w:t>
            </w:r>
            <w:r>
              <w:rPr>
                <w:rFonts w:hint="eastAsia" w:ascii="Times New Roman" w:hAnsi="Times New Roman" w:eastAsia="宋体" w:cs="Times New Roman"/>
                <w:color w:val="auto"/>
                <w:sz w:val="24"/>
                <w:szCs w:val="32"/>
                <w:highlight w:val="none"/>
                <w:u w:val="single"/>
              </w:rPr>
              <w:t>0mg/m³，</w:t>
            </w:r>
            <w:r>
              <w:rPr>
                <w:rFonts w:hint="eastAsia" w:ascii="Times New Roman" w:hAnsi="Times New Roman" w:eastAsia="宋体" w:cs="Times New Roman"/>
                <w:color w:val="auto"/>
                <w:sz w:val="24"/>
                <w:szCs w:val="24"/>
                <w:highlight w:val="none"/>
                <w:u w:val="single"/>
              </w:rPr>
              <w:t>SO</w:t>
            </w:r>
            <w:r>
              <w:rPr>
                <w:rFonts w:hint="eastAsia" w:ascii="Times New Roman" w:hAnsi="Times New Roman" w:eastAsia="宋体" w:cs="Times New Roman"/>
                <w:color w:val="auto"/>
                <w:sz w:val="24"/>
                <w:szCs w:val="24"/>
                <w:highlight w:val="none"/>
                <w:u w:val="single"/>
                <w:vertAlign w:val="subscript"/>
              </w:rPr>
              <w:t>2</w:t>
            </w:r>
            <w:r>
              <w:rPr>
                <w:rFonts w:hint="eastAsia" w:ascii="Times New Roman" w:hAnsi="Times New Roman" w:eastAsia="宋体" w:cs="Times New Roman"/>
                <w:color w:val="auto"/>
                <w:sz w:val="24"/>
                <w:szCs w:val="32"/>
                <w:highlight w:val="none"/>
                <w:u w:val="single"/>
              </w:rPr>
              <w:t>小于</w:t>
            </w:r>
            <w:r>
              <w:rPr>
                <w:rFonts w:hint="eastAsia" w:ascii="Times New Roman" w:hAnsi="Times New Roman" w:eastAsia="宋体" w:cs="Times New Roman"/>
                <w:color w:val="auto"/>
                <w:sz w:val="24"/>
                <w:szCs w:val="32"/>
                <w:highlight w:val="none"/>
                <w:u w:val="single"/>
                <w:lang w:val="en-US" w:eastAsia="zh-CN"/>
              </w:rPr>
              <w:t>20</w:t>
            </w:r>
            <w:r>
              <w:rPr>
                <w:rFonts w:hint="eastAsia" w:ascii="Times New Roman" w:hAnsi="Times New Roman" w:eastAsia="宋体" w:cs="Times New Roman"/>
                <w:color w:val="auto"/>
                <w:sz w:val="24"/>
                <w:szCs w:val="32"/>
                <w:highlight w:val="none"/>
                <w:u w:val="single"/>
              </w:rPr>
              <w:t>0mg/m³，</w:t>
            </w:r>
            <w:r>
              <w:rPr>
                <w:rFonts w:hint="eastAsia" w:ascii="Times New Roman" w:hAnsi="Times New Roman" w:eastAsia="宋体" w:cs="Times New Roman"/>
                <w:color w:val="auto"/>
                <w:sz w:val="24"/>
                <w:szCs w:val="24"/>
                <w:highlight w:val="none"/>
                <w:u w:val="single"/>
              </w:rPr>
              <w:t>NO</w:t>
            </w:r>
            <w:r>
              <w:rPr>
                <w:rFonts w:hint="eastAsia" w:ascii="Times New Roman" w:hAnsi="Times New Roman" w:eastAsia="宋体" w:cs="Times New Roman"/>
                <w:color w:val="auto"/>
                <w:sz w:val="24"/>
                <w:szCs w:val="24"/>
                <w:highlight w:val="none"/>
                <w:u w:val="single"/>
                <w:vertAlign w:val="subscript"/>
              </w:rPr>
              <w:t>X</w:t>
            </w:r>
            <w:r>
              <w:rPr>
                <w:rFonts w:hint="eastAsia" w:ascii="Times New Roman" w:hAnsi="Times New Roman" w:eastAsia="宋体" w:cs="Times New Roman"/>
                <w:color w:val="auto"/>
                <w:sz w:val="24"/>
                <w:szCs w:val="32"/>
                <w:highlight w:val="none"/>
                <w:u w:val="single"/>
              </w:rPr>
              <w:t>小于</w:t>
            </w:r>
            <w:r>
              <w:rPr>
                <w:rFonts w:hint="eastAsia" w:ascii="Times New Roman" w:hAnsi="Times New Roman" w:eastAsia="宋体" w:cs="Times New Roman"/>
                <w:color w:val="auto"/>
                <w:sz w:val="24"/>
                <w:szCs w:val="32"/>
                <w:highlight w:val="none"/>
                <w:u w:val="single"/>
                <w:lang w:val="en-US" w:eastAsia="zh-CN"/>
              </w:rPr>
              <w:t>240</w:t>
            </w:r>
            <w:r>
              <w:rPr>
                <w:rFonts w:hint="eastAsia" w:ascii="Times New Roman" w:hAnsi="Times New Roman" w:eastAsia="宋体" w:cs="Times New Roman"/>
                <w:color w:val="auto"/>
                <w:sz w:val="24"/>
                <w:szCs w:val="32"/>
                <w:highlight w:val="none"/>
                <w:u w:val="single"/>
              </w:rPr>
              <w:t>mg/m³</w:t>
            </w:r>
            <w:r>
              <w:rPr>
                <w:rFonts w:hint="eastAsia" w:cs="Times New Roman"/>
                <w:color w:val="auto"/>
                <w:sz w:val="24"/>
                <w:szCs w:val="32"/>
                <w:highlight w:val="none"/>
                <w:u w:val="single"/>
                <w:lang w:eastAsia="zh-CN"/>
              </w:rPr>
              <w:t>、</w:t>
            </w:r>
            <w:r>
              <w:rPr>
                <w:rFonts w:hint="eastAsia" w:cs="Times New Roman"/>
                <w:color w:val="auto"/>
                <w:sz w:val="24"/>
                <w:szCs w:val="32"/>
                <w:highlight w:val="none"/>
                <w:u w:val="single"/>
                <w:lang w:val="en-US" w:eastAsia="zh-CN"/>
              </w:rPr>
              <w:t>烟气黑度林格曼级1级</w:t>
            </w:r>
            <w:r>
              <w:rPr>
                <w:rFonts w:hint="eastAsia" w:ascii="Times New Roman" w:hAnsi="Times New Roman" w:eastAsia="宋体" w:cs="Times New Roman"/>
                <w:color w:val="auto"/>
                <w:sz w:val="24"/>
                <w:szCs w:val="32"/>
                <w:highlight w:val="none"/>
                <w:u w:val="single"/>
              </w:rPr>
              <w:t>）</w:t>
            </w:r>
            <w:r>
              <w:rPr>
                <w:rFonts w:hint="eastAsia" w:ascii="Times New Roman" w:hAnsi="Times New Roman" w:eastAsia="宋体" w:cs="Times New Roman"/>
                <w:color w:val="auto"/>
                <w:sz w:val="24"/>
                <w:szCs w:val="32"/>
                <w:highlight w:val="none"/>
                <w:u w:val="single"/>
                <w:lang w:eastAsia="zh-CN"/>
              </w:rPr>
              <w:t>，</w:t>
            </w:r>
            <w:r>
              <w:rPr>
                <w:rFonts w:hint="eastAsia" w:ascii="Times New Roman" w:hAnsi="Times New Roman" w:eastAsia="宋体" w:cs="Times New Roman"/>
                <w:color w:val="auto"/>
                <w:sz w:val="24"/>
                <w:szCs w:val="32"/>
                <w:highlight w:val="none"/>
                <w:u w:val="single"/>
              </w:rPr>
              <w:t>能够实现达标排放，对周边</w:t>
            </w:r>
            <w:r>
              <w:rPr>
                <w:rFonts w:hint="eastAsia" w:ascii="Times New Roman" w:hAnsi="Times New Roman" w:eastAsia="宋体" w:cs="Times New Roman"/>
                <w:color w:val="auto"/>
                <w:sz w:val="24"/>
                <w:szCs w:val="32"/>
                <w:highlight w:val="none"/>
                <w:u w:val="single"/>
                <w:lang w:val="en-US" w:eastAsia="zh-CN"/>
              </w:rPr>
              <w:t>大气环境</w:t>
            </w:r>
            <w:r>
              <w:rPr>
                <w:rFonts w:hint="eastAsia" w:ascii="Times New Roman" w:hAnsi="Times New Roman" w:eastAsia="宋体" w:cs="Times New Roman"/>
                <w:color w:val="auto"/>
                <w:sz w:val="24"/>
                <w:szCs w:val="32"/>
                <w:highlight w:val="none"/>
                <w:u w:val="single"/>
              </w:rPr>
              <w:t>基本不会产生影响。</w:t>
            </w:r>
          </w:p>
          <w:p>
            <w:pPr>
              <w:spacing w:line="360" w:lineRule="auto"/>
              <w:ind w:firstLine="482" w:firstLineChars="200"/>
              <w:rPr>
                <w:b/>
                <w:bCs/>
                <w:color w:val="auto"/>
                <w:sz w:val="24"/>
                <w:szCs w:val="32"/>
                <w:highlight w:val="none"/>
                <w:u w:val="single"/>
              </w:rPr>
            </w:pPr>
            <w:r>
              <w:rPr>
                <w:rFonts w:hint="eastAsia"/>
                <w:b/>
                <w:bCs/>
                <w:color w:val="auto"/>
                <w:sz w:val="24"/>
                <w:szCs w:val="32"/>
                <w:highlight w:val="none"/>
                <w:u w:val="single"/>
              </w:rPr>
              <w:t>3、非正常工况</w:t>
            </w:r>
          </w:p>
          <w:p>
            <w:pPr>
              <w:spacing w:line="360" w:lineRule="auto"/>
              <w:ind w:firstLine="480" w:firstLineChars="200"/>
              <w:rPr>
                <w:color w:val="auto"/>
                <w:sz w:val="24"/>
                <w:szCs w:val="32"/>
                <w:highlight w:val="none"/>
                <w:u w:val="single"/>
              </w:rPr>
            </w:pPr>
            <w:r>
              <w:rPr>
                <w:color w:val="auto"/>
                <w:sz w:val="24"/>
                <w:szCs w:val="32"/>
                <w:highlight w:val="none"/>
                <w:u w:val="single"/>
              </w:rPr>
              <w:t>根据《环境影响评价技术导则  大气环境》（HJ2.2-2018）中对废气非正常排放的定义“生产过程中开停车、设备检修、工艺设备运转异常等非正常工况下的污染物排放，以及污染物排放控制措施达不到应有效率等情况下的排放”。本评价非正常排放主要考虑废气处理设施失效的情况，具体非正常排放情况见下表</w:t>
            </w:r>
            <w:r>
              <w:rPr>
                <w:rFonts w:hint="eastAsia"/>
                <w:color w:val="auto"/>
                <w:sz w:val="24"/>
                <w:szCs w:val="32"/>
                <w:highlight w:val="none"/>
                <w:u w:val="single"/>
              </w:rPr>
              <w:t>。</w:t>
            </w:r>
          </w:p>
          <w:p>
            <w:pPr>
              <w:spacing w:line="360" w:lineRule="auto"/>
              <w:jc w:val="center"/>
              <w:rPr>
                <w:color w:val="auto"/>
                <w:sz w:val="32"/>
                <w:szCs w:val="40"/>
                <w:highlight w:val="none"/>
                <w:u w:val="single"/>
              </w:rPr>
            </w:pPr>
            <w:r>
              <w:rPr>
                <w:rFonts w:hint="eastAsia"/>
                <w:b/>
                <w:bCs/>
                <w:color w:val="auto"/>
                <w:sz w:val="24"/>
                <w:szCs w:val="32"/>
                <w:highlight w:val="none"/>
                <w:u w:val="single"/>
              </w:rPr>
              <w:t>表4-8 污染源非正常排放量核算表</w:t>
            </w:r>
          </w:p>
          <w:tbl>
            <w:tblPr>
              <w:tblStyle w:val="23"/>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249"/>
              <w:gridCol w:w="664"/>
              <w:gridCol w:w="1264"/>
              <w:gridCol w:w="1123"/>
              <w:gridCol w:w="992"/>
              <w:gridCol w:w="905"/>
              <w:gridCol w:w="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b/>
                      <w:bCs/>
                      <w:color w:val="auto"/>
                      <w:highlight w:val="none"/>
                      <w:u w:val="single"/>
                    </w:rPr>
                  </w:pPr>
                  <w:r>
                    <w:rPr>
                      <w:rFonts w:hint="eastAsia"/>
                      <w:b/>
                      <w:bCs/>
                      <w:color w:val="auto"/>
                      <w:highlight w:val="none"/>
                      <w:u w:val="single"/>
                    </w:rPr>
                    <w:t>污染源</w:t>
                  </w:r>
                </w:p>
              </w:tc>
              <w:tc>
                <w:tcPr>
                  <w:tcW w:w="783"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b/>
                      <w:bCs/>
                      <w:color w:val="auto"/>
                      <w:highlight w:val="none"/>
                      <w:u w:val="single"/>
                    </w:rPr>
                  </w:pPr>
                  <w:r>
                    <w:rPr>
                      <w:rFonts w:hint="eastAsia"/>
                      <w:b/>
                      <w:bCs/>
                      <w:color w:val="auto"/>
                      <w:highlight w:val="none"/>
                      <w:u w:val="single"/>
                    </w:rPr>
                    <w:t>非正常排放原因</w:t>
                  </w:r>
                </w:p>
              </w:tc>
              <w:tc>
                <w:tcPr>
                  <w:tcW w:w="417"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b/>
                      <w:bCs/>
                      <w:color w:val="auto"/>
                      <w:highlight w:val="none"/>
                      <w:u w:val="single"/>
                    </w:rPr>
                  </w:pPr>
                  <w:r>
                    <w:rPr>
                      <w:rFonts w:hint="eastAsia"/>
                      <w:b/>
                      <w:bCs/>
                      <w:color w:val="auto"/>
                      <w:highlight w:val="none"/>
                      <w:u w:val="single"/>
                    </w:rPr>
                    <w:t>污染物</w:t>
                  </w:r>
                </w:p>
              </w:tc>
              <w:tc>
                <w:tcPr>
                  <w:tcW w:w="792"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b/>
                      <w:bCs/>
                      <w:color w:val="auto"/>
                      <w:highlight w:val="none"/>
                      <w:u w:val="single"/>
                    </w:rPr>
                  </w:pPr>
                  <w:r>
                    <w:rPr>
                      <w:rFonts w:hint="eastAsia"/>
                      <w:b/>
                      <w:bCs/>
                      <w:color w:val="auto"/>
                      <w:highlight w:val="none"/>
                      <w:u w:val="single"/>
                    </w:rPr>
                    <w:t>非正常排放浓度</w:t>
                  </w:r>
                  <w:r>
                    <w:rPr>
                      <w:b/>
                      <w:bCs/>
                      <w:color w:val="auto"/>
                      <w:spacing w:val="-2"/>
                      <w:szCs w:val="21"/>
                      <w:highlight w:val="none"/>
                      <w:u w:val="single"/>
                    </w:rPr>
                    <w:t>（</w:t>
                  </w:r>
                  <w:r>
                    <w:rPr>
                      <w:rFonts w:hint="eastAsia"/>
                      <w:b/>
                      <w:bCs/>
                      <w:color w:val="auto"/>
                      <w:spacing w:val="-2"/>
                      <w:szCs w:val="21"/>
                      <w:highlight w:val="none"/>
                      <w:u w:val="single"/>
                    </w:rPr>
                    <w:t>m</w:t>
                  </w:r>
                  <w:r>
                    <w:rPr>
                      <w:b/>
                      <w:bCs/>
                      <w:color w:val="auto"/>
                      <w:spacing w:val="-2"/>
                      <w:szCs w:val="21"/>
                      <w:highlight w:val="none"/>
                      <w:u w:val="single"/>
                    </w:rPr>
                    <w:t>g/m</w:t>
                  </w:r>
                  <w:r>
                    <w:rPr>
                      <w:rFonts w:hint="eastAsia"/>
                      <w:b/>
                      <w:bCs/>
                      <w:color w:val="auto"/>
                      <w:spacing w:val="-2"/>
                      <w:szCs w:val="21"/>
                      <w:highlight w:val="none"/>
                      <w:u w:val="single"/>
                      <w:vertAlign w:val="superscript"/>
                    </w:rPr>
                    <w:t>3</w:t>
                  </w:r>
                  <w:r>
                    <w:rPr>
                      <w:b/>
                      <w:bCs/>
                      <w:color w:val="auto"/>
                      <w:spacing w:val="-2"/>
                      <w:szCs w:val="21"/>
                      <w:highlight w:val="none"/>
                      <w:u w:val="single"/>
                    </w:rPr>
                    <w:t>）</w:t>
                  </w:r>
                </w:p>
              </w:tc>
              <w:tc>
                <w:tcPr>
                  <w:tcW w:w="704"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rFonts w:hint="eastAsia" w:eastAsia="宋体"/>
                      <w:b/>
                      <w:bCs/>
                      <w:color w:val="auto"/>
                      <w:highlight w:val="none"/>
                      <w:u w:val="single"/>
                      <w:lang w:eastAsia="zh-CN"/>
                    </w:rPr>
                  </w:pPr>
                  <w:r>
                    <w:rPr>
                      <w:rFonts w:hint="eastAsia"/>
                      <w:b/>
                      <w:bCs/>
                      <w:color w:val="auto"/>
                      <w:highlight w:val="none"/>
                      <w:u w:val="single"/>
                    </w:rPr>
                    <w:t>非正常排放速率</w:t>
                  </w:r>
                  <w:r>
                    <w:rPr>
                      <w:rFonts w:hint="eastAsia"/>
                      <w:b/>
                      <w:bCs/>
                      <w:color w:val="auto"/>
                      <w:highlight w:val="none"/>
                      <w:u w:val="single"/>
                      <w:lang w:eastAsia="zh-CN"/>
                    </w:rPr>
                    <w:t>（</w:t>
                  </w:r>
                  <w:r>
                    <w:rPr>
                      <w:rFonts w:hint="eastAsia"/>
                      <w:b/>
                      <w:bCs/>
                      <w:color w:val="auto"/>
                      <w:highlight w:val="none"/>
                      <w:u w:val="single"/>
                      <w:lang w:val="en-US" w:eastAsia="zh-CN"/>
                    </w:rPr>
                    <w:t>kg/h</w:t>
                  </w:r>
                  <w:r>
                    <w:rPr>
                      <w:rFonts w:hint="eastAsia"/>
                      <w:b/>
                      <w:bCs/>
                      <w:color w:val="auto"/>
                      <w:highlight w:val="none"/>
                      <w:u w:val="single"/>
                      <w:lang w:eastAsia="zh-CN"/>
                    </w:rPr>
                    <w:t>）</w:t>
                  </w:r>
                </w:p>
              </w:tc>
              <w:tc>
                <w:tcPr>
                  <w:tcW w:w="608"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b/>
                      <w:bCs/>
                      <w:color w:val="auto"/>
                      <w:highlight w:val="none"/>
                      <w:u w:val="single"/>
                    </w:rPr>
                  </w:pPr>
                  <w:r>
                    <w:rPr>
                      <w:rFonts w:hint="eastAsia"/>
                      <w:b/>
                      <w:bCs/>
                      <w:color w:val="auto"/>
                      <w:highlight w:val="none"/>
                      <w:u w:val="single"/>
                    </w:rPr>
                    <w:t>执行标准</w:t>
                  </w:r>
                  <w:r>
                    <w:rPr>
                      <w:b/>
                      <w:bCs/>
                      <w:color w:val="auto"/>
                      <w:spacing w:val="-2"/>
                      <w:szCs w:val="21"/>
                      <w:highlight w:val="none"/>
                      <w:u w:val="single"/>
                    </w:rPr>
                    <w:t>（</w:t>
                  </w:r>
                  <w:r>
                    <w:rPr>
                      <w:rFonts w:hint="eastAsia"/>
                      <w:b/>
                      <w:bCs/>
                      <w:color w:val="auto"/>
                      <w:spacing w:val="-2"/>
                      <w:szCs w:val="21"/>
                      <w:highlight w:val="none"/>
                      <w:u w:val="single"/>
                    </w:rPr>
                    <w:t>m</w:t>
                  </w:r>
                  <w:r>
                    <w:rPr>
                      <w:b/>
                      <w:bCs/>
                      <w:color w:val="auto"/>
                      <w:spacing w:val="-2"/>
                      <w:szCs w:val="21"/>
                      <w:highlight w:val="none"/>
                      <w:u w:val="single"/>
                    </w:rPr>
                    <w:t>g/m</w:t>
                  </w:r>
                  <w:r>
                    <w:rPr>
                      <w:rFonts w:hint="eastAsia"/>
                      <w:b/>
                      <w:bCs/>
                      <w:color w:val="auto"/>
                      <w:spacing w:val="-2"/>
                      <w:szCs w:val="21"/>
                      <w:highlight w:val="none"/>
                      <w:u w:val="single"/>
                      <w:vertAlign w:val="superscript"/>
                    </w:rPr>
                    <w:t>3</w:t>
                  </w:r>
                  <w:r>
                    <w:rPr>
                      <w:b/>
                      <w:bCs/>
                      <w:color w:val="auto"/>
                      <w:spacing w:val="-2"/>
                      <w:szCs w:val="21"/>
                      <w:highlight w:val="none"/>
                      <w:u w:val="single"/>
                    </w:rPr>
                    <w:t>）</w:t>
                  </w:r>
                </w:p>
              </w:tc>
              <w:tc>
                <w:tcPr>
                  <w:tcW w:w="567"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b/>
                      <w:bCs/>
                      <w:color w:val="auto"/>
                      <w:highlight w:val="none"/>
                      <w:u w:val="single"/>
                    </w:rPr>
                  </w:pPr>
                  <w:r>
                    <w:rPr>
                      <w:rFonts w:hint="eastAsia"/>
                      <w:b/>
                      <w:bCs/>
                      <w:color w:val="auto"/>
                      <w:highlight w:val="none"/>
                      <w:u w:val="single"/>
                    </w:rPr>
                    <w:t>单次持续时间/h</w:t>
                  </w:r>
                </w:p>
              </w:tc>
              <w:tc>
                <w:tcPr>
                  <w:tcW w:w="539"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b/>
                      <w:bCs/>
                      <w:color w:val="auto"/>
                      <w:highlight w:val="none"/>
                      <w:u w:val="single"/>
                    </w:rPr>
                  </w:pPr>
                  <w:r>
                    <w:rPr>
                      <w:rFonts w:hint="eastAsia"/>
                      <w:b/>
                      <w:bCs/>
                      <w:color w:val="auto"/>
                      <w:highlight w:val="none"/>
                      <w:u w:val="single"/>
                    </w:rPr>
                    <w:t>年发生频次/次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rFonts w:hint="eastAsia" w:eastAsia="宋体"/>
                      <w:color w:val="auto"/>
                      <w:highlight w:val="none"/>
                      <w:u w:val="single"/>
                      <w:lang w:eastAsia="zh-CN"/>
                    </w:rPr>
                  </w:pPr>
                  <w:r>
                    <w:rPr>
                      <w:rFonts w:hint="eastAsia"/>
                      <w:color w:val="auto"/>
                      <w:highlight w:val="none"/>
                      <w:u w:val="single"/>
                    </w:rPr>
                    <w:t>DA00</w:t>
                  </w:r>
                  <w:r>
                    <w:rPr>
                      <w:rFonts w:hint="eastAsia"/>
                      <w:color w:val="auto"/>
                      <w:highlight w:val="none"/>
                      <w:u w:val="single"/>
                      <w:lang w:val="en-US" w:eastAsia="zh-CN"/>
                    </w:rPr>
                    <w:t>1</w:t>
                  </w:r>
                </w:p>
              </w:tc>
              <w:tc>
                <w:tcPr>
                  <w:tcW w:w="783"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rFonts w:hint="eastAsia"/>
                      <w:color w:val="auto"/>
                      <w:highlight w:val="none"/>
                      <w:u w:val="single"/>
                    </w:rPr>
                  </w:pPr>
                  <w:r>
                    <w:rPr>
                      <w:rFonts w:hint="eastAsia"/>
                      <w:color w:val="auto"/>
                      <w:highlight w:val="none"/>
                      <w:u w:val="single"/>
                    </w:rPr>
                    <w:t>工艺设备运转异常、污染</w:t>
                  </w:r>
                </w:p>
                <w:p>
                  <w:pPr>
                    <w:keepNext w:val="0"/>
                    <w:keepLines w:val="0"/>
                    <w:pageBreakBefore w:val="0"/>
                    <w:kinsoku/>
                    <w:wordWrap/>
                    <w:overflowPunct/>
                    <w:topLinePunct w:val="0"/>
                    <w:autoSpaceDE/>
                    <w:autoSpaceDN/>
                    <w:bidi w:val="0"/>
                    <w:ind w:left="-105" w:leftChars="-50" w:right="-105" w:rightChars="-50"/>
                    <w:jc w:val="center"/>
                    <w:textAlignment w:val="auto"/>
                    <w:rPr>
                      <w:color w:val="auto"/>
                      <w:highlight w:val="none"/>
                      <w:u w:val="single"/>
                    </w:rPr>
                  </w:pPr>
                  <w:r>
                    <w:rPr>
                      <w:rFonts w:hint="eastAsia"/>
                      <w:color w:val="auto"/>
                      <w:highlight w:val="none"/>
                      <w:u w:val="single"/>
                    </w:rPr>
                    <w:t>物排放控制措施达不到应有效率等</w:t>
                  </w:r>
                </w:p>
              </w:tc>
              <w:tc>
                <w:tcPr>
                  <w:tcW w:w="417" w:type="pct"/>
                  <w:noWrap w:val="0"/>
                  <w:vAlign w:val="center"/>
                </w:tcPr>
                <w:p>
                  <w:pPr>
                    <w:pStyle w:val="49"/>
                    <w:keepNext w:val="0"/>
                    <w:keepLines w:val="0"/>
                    <w:pageBreakBefore w:val="0"/>
                    <w:kinsoku/>
                    <w:wordWrap/>
                    <w:overflowPunct/>
                    <w:topLinePunct w:val="0"/>
                    <w:autoSpaceDE/>
                    <w:autoSpaceDN/>
                    <w:bidi w:val="0"/>
                    <w:spacing w:before="0" w:line="240" w:lineRule="auto"/>
                    <w:ind w:left="-105" w:leftChars="-50" w:right="-105" w:rightChars="-50" w:firstLine="0" w:firstLineChars="0"/>
                    <w:textAlignment w:val="auto"/>
                    <w:rPr>
                      <w:rFonts w:hint="eastAsia"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颗粒物</w:t>
                  </w:r>
                </w:p>
              </w:tc>
              <w:tc>
                <w:tcPr>
                  <w:tcW w:w="792"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eastAsia="宋体"/>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3018</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olor w:val="auto"/>
                      <w:szCs w:val="21"/>
                      <w:highlight w:val="none"/>
                      <w:u w:val="single"/>
                      <w:lang w:val="en-US"/>
                    </w:rPr>
                  </w:pPr>
                  <w:r>
                    <w:rPr>
                      <w:rFonts w:hint="eastAsia" w:ascii="Times New Roman" w:hAnsi="Times New Roman" w:eastAsia="宋体" w:cs="Times New Roman"/>
                      <w:color w:val="auto"/>
                      <w:szCs w:val="21"/>
                      <w:highlight w:val="none"/>
                      <w:u w:val="single"/>
                      <w:lang w:val="en-US" w:eastAsia="zh-CN"/>
                    </w:rPr>
                    <w:t>45.27</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olor w:val="auto"/>
                      <w:szCs w:val="21"/>
                      <w:highlight w:val="none"/>
                      <w:u w:val="single"/>
                      <w:lang w:val="en-US"/>
                    </w:rPr>
                  </w:pPr>
                  <w:r>
                    <w:rPr>
                      <w:rFonts w:hint="eastAsia" w:ascii="Times New Roman" w:hAnsi="Times New Roman" w:eastAsia="宋体" w:cs="Times New Roman"/>
                      <w:color w:val="auto"/>
                      <w:szCs w:val="21"/>
                      <w:highlight w:val="none"/>
                      <w:u w:val="single"/>
                      <w:lang w:val="en-US" w:eastAsia="zh-CN"/>
                    </w:rPr>
                    <w:t>30</w:t>
                  </w:r>
                </w:p>
              </w:tc>
              <w:tc>
                <w:tcPr>
                  <w:tcW w:w="567"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color w:val="auto"/>
                      <w:highlight w:val="none"/>
                      <w:u w:val="single"/>
                    </w:rPr>
                  </w:pPr>
                  <w:r>
                    <w:rPr>
                      <w:rFonts w:hint="eastAsia"/>
                      <w:color w:val="auto"/>
                      <w:highlight w:val="none"/>
                      <w:u w:val="single"/>
                    </w:rPr>
                    <w:t>0.5</w:t>
                  </w:r>
                </w:p>
              </w:tc>
              <w:tc>
                <w:tcPr>
                  <w:tcW w:w="539" w:type="pct"/>
                  <w:noWrap w:val="0"/>
                  <w:vAlign w:val="center"/>
                </w:tcPr>
                <w:p>
                  <w:pPr>
                    <w:keepNext w:val="0"/>
                    <w:keepLines w:val="0"/>
                    <w:pageBreakBefore w:val="0"/>
                    <w:kinsoku/>
                    <w:wordWrap/>
                    <w:overflowPunct/>
                    <w:topLinePunct w:val="0"/>
                    <w:autoSpaceDE/>
                    <w:autoSpaceDN/>
                    <w:bidi w:val="0"/>
                    <w:ind w:left="-105" w:leftChars="-50" w:right="-105" w:rightChars="-50"/>
                    <w:jc w:val="center"/>
                    <w:textAlignment w:val="auto"/>
                    <w:rPr>
                      <w:color w:val="auto"/>
                      <w:highlight w:val="none"/>
                      <w:u w:val="single"/>
                    </w:rPr>
                  </w:pPr>
                  <w:r>
                    <w:rPr>
                      <w:rFonts w:hint="eastAsia"/>
                      <w:color w:val="auto"/>
                      <w:highlight w:val="none"/>
                      <w:u w:val="single"/>
                    </w:rPr>
                    <w:t>1</w:t>
                  </w:r>
                </w:p>
              </w:tc>
            </w:tr>
          </w:tbl>
          <w:p>
            <w:pPr>
              <w:spacing w:before="120" w:beforeLines="50" w:line="360" w:lineRule="auto"/>
              <w:ind w:firstLine="480" w:firstLineChars="200"/>
              <w:rPr>
                <w:rFonts w:hint="eastAsia"/>
                <w:color w:val="auto"/>
                <w:sz w:val="24"/>
                <w:szCs w:val="32"/>
                <w:highlight w:val="none"/>
                <w:u w:val="single"/>
              </w:rPr>
            </w:pPr>
            <w:r>
              <w:rPr>
                <w:rFonts w:hint="eastAsia"/>
                <w:color w:val="auto"/>
                <w:sz w:val="24"/>
                <w:szCs w:val="32"/>
                <w:highlight w:val="none"/>
                <w:u w:val="single"/>
              </w:rPr>
              <w:t>由上表可知，非正常工况下，DA00</w:t>
            </w:r>
            <w:r>
              <w:rPr>
                <w:rFonts w:hint="eastAsia"/>
                <w:color w:val="auto"/>
                <w:sz w:val="24"/>
                <w:szCs w:val="32"/>
                <w:highlight w:val="none"/>
                <w:u w:val="single"/>
                <w:lang w:val="en-US" w:eastAsia="zh-CN"/>
              </w:rPr>
              <w:t>1</w:t>
            </w:r>
            <w:r>
              <w:rPr>
                <w:rFonts w:hint="eastAsia"/>
                <w:color w:val="auto"/>
                <w:sz w:val="24"/>
                <w:szCs w:val="32"/>
                <w:highlight w:val="none"/>
                <w:u w:val="single"/>
              </w:rPr>
              <w:t>废气排气筒排放的</w:t>
            </w:r>
            <w:r>
              <w:rPr>
                <w:rFonts w:hint="eastAsia"/>
                <w:color w:val="auto"/>
                <w:sz w:val="24"/>
                <w:szCs w:val="32"/>
                <w:highlight w:val="none"/>
                <w:u w:val="single"/>
                <w:lang w:val="en-US" w:eastAsia="zh-CN"/>
              </w:rPr>
              <w:t>颗粒物</w:t>
            </w:r>
            <w:r>
              <w:rPr>
                <w:rFonts w:hint="eastAsia"/>
                <w:color w:val="auto"/>
                <w:sz w:val="24"/>
                <w:szCs w:val="32"/>
                <w:highlight w:val="none"/>
                <w:u w:val="single"/>
              </w:rPr>
              <w:t>浓度</w:t>
            </w:r>
            <w:r>
              <w:rPr>
                <w:rFonts w:hint="eastAsia"/>
                <w:color w:val="auto"/>
                <w:sz w:val="24"/>
                <w:szCs w:val="32"/>
                <w:highlight w:val="none"/>
                <w:u w:val="single"/>
                <w:lang w:val="en-US" w:eastAsia="zh-CN"/>
              </w:rPr>
              <w:t>超</w:t>
            </w:r>
            <w:r>
              <w:rPr>
                <w:rFonts w:hint="eastAsia"/>
                <w:color w:val="auto"/>
                <w:sz w:val="24"/>
                <w:szCs w:val="32"/>
                <w:highlight w:val="none"/>
                <w:u w:val="single"/>
              </w:rPr>
              <w:t>标。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pPr>
              <w:spacing w:line="360" w:lineRule="auto"/>
              <w:ind w:firstLine="480" w:firstLineChars="200"/>
              <w:rPr>
                <w:rFonts w:hint="eastAsia"/>
                <w:color w:val="auto"/>
                <w:sz w:val="24"/>
                <w:szCs w:val="32"/>
                <w:highlight w:val="none"/>
                <w:u w:val="single"/>
              </w:rPr>
            </w:pPr>
            <w:r>
              <w:rPr>
                <w:rFonts w:hint="eastAsia"/>
                <w:color w:val="auto"/>
                <w:sz w:val="24"/>
                <w:szCs w:val="32"/>
                <w:highlight w:val="none"/>
                <w:u w:val="single"/>
              </w:rPr>
              <w:t>①当废气处理设施出现急停车时立即停止车间一切生产工序，粉碎</w:t>
            </w:r>
            <w:r>
              <w:rPr>
                <w:rFonts w:hint="eastAsia"/>
                <w:color w:val="auto"/>
                <w:sz w:val="24"/>
                <w:szCs w:val="32"/>
                <w:highlight w:val="none"/>
                <w:u w:val="single"/>
                <w:lang w:eastAsia="zh-CN"/>
              </w:rPr>
              <w:t>、</w:t>
            </w:r>
            <w:r>
              <w:rPr>
                <w:rFonts w:hint="eastAsia"/>
                <w:color w:val="auto"/>
                <w:sz w:val="24"/>
                <w:szCs w:val="32"/>
                <w:highlight w:val="none"/>
                <w:u w:val="single"/>
                <w:lang w:val="en-US" w:eastAsia="zh-CN"/>
              </w:rPr>
              <w:t>烘干</w:t>
            </w:r>
            <w:r>
              <w:rPr>
                <w:rFonts w:hint="eastAsia"/>
                <w:color w:val="auto"/>
                <w:sz w:val="24"/>
                <w:szCs w:val="32"/>
                <w:highlight w:val="none"/>
                <w:u w:val="single"/>
              </w:rPr>
              <w:t>生产线将处于停止生产或处于待开车状态，不再向停车部分输送物料。此时，积极抢修，排除故障。待停车原因消除后，按开车的程序恢复生产。</w:t>
            </w:r>
          </w:p>
          <w:p>
            <w:pPr>
              <w:spacing w:line="360" w:lineRule="auto"/>
              <w:ind w:firstLine="480" w:firstLineChars="200"/>
              <w:rPr>
                <w:rFonts w:hint="eastAsia"/>
                <w:color w:val="auto"/>
                <w:sz w:val="24"/>
                <w:szCs w:val="32"/>
                <w:highlight w:val="none"/>
                <w:u w:val="single"/>
              </w:rPr>
            </w:pPr>
            <w:r>
              <w:rPr>
                <w:rFonts w:hint="eastAsia"/>
                <w:color w:val="auto"/>
                <w:sz w:val="24"/>
                <w:szCs w:val="32"/>
                <w:highlight w:val="none"/>
                <w:u w:val="single"/>
              </w:rPr>
              <w:t>②设备检修期间停止生产。</w:t>
            </w:r>
          </w:p>
          <w:p>
            <w:pPr>
              <w:spacing w:line="360" w:lineRule="auto"/>
              <w:ind w:firstLine="480" w:firstLineChars="200"/>
              <w:rPr>
                <w:rFonts w:hint="eastAsia"/>
                <w:color w:val="auto"/>
                <w:sz w:val="24"/>
                <w:szCs w:val="32"/>
                <w:highlight w:val="none"/>
                <w:u w:val="single"/>
              </w:rPr>
            </w:pPr>
            <w:r>
              <w:rPr>
                <w:rFonts w:hint="eastAsia"/>
                <w:color w:val="auto"/>
                <w:sz w:val="24"/>
                <w:szCs w:val="32"/>
                <w:highlight w:val="none"/>
                <w:u w:val="single"/>
              </w:rPr>
              <w:t>③环保设施定期检查、保养、维修，确保处理效率。</w:t>
            </w:r>
          </w:p>
          <w:p>
            <w:pPr>
              <w:spacing w:line="360" w:lineRule="auto"/>
              <w:ind w:firstLine="482" w:firstLineChars="200"/>
              <w:rPr>
                <w:rFonts w:hint="eastAsia" w:ascii="Times New Roman" w:hAnsi="Times New Roman" w:eastAsia="宋体" w:cs="Times New Roman"/>
                <w:b/>
                <w:bCs/>
                <w:color w:val="auto"/>
                <w:sz w:val="24"/>
                <w:szCs w:val="32"/>
                <w:highlight w:val="none"/>
                <w:u w:val="single"/>
                <w:lang w:val="en-US" w:eastAsia="zh-CN"/>
              </w:rPr>
            </w:pPr>
            <w:r>
              <w:rPr>
                <w:rFonts w:hint="eastAsia" w:ascii="Times New Roman" w:hAnsi="Times New Roman" w:eastAsia="宋体" w:cs="Times New Roman"/>
                <w:b/>
                <w:bCs/>
                <w:color w:val="auto"/>
                <w:sz w:val="24"/>
                <w:szCs w:val="32"/>
                <w:highlight w:val="none"/>
                <w:u w:val="single"/>
                <w:lang w:val="en-US" w:eastAsia="zh-CN"/>
              </w:rPr>
              <w:t xml:space="preserve"> 4、无组织粉尘控制措施</w:t>
            </w:r>
          </w:p>
          <w:p>
            <w:pPr>
              <w:spacing w:line="360" w:lineRule="auto"/>
              <w:ind w:firstLine="480" w:firstLineChars="200"/>
              <w:rPr>
                <w:rFonts w:hint="eastAsia"/>
                <w:color w:val="auto"/>
                <w:sz w:val="24"/>
                <w:szCs w:val="32"/>
                <w:highlight w:val="none"/>
                <w:u w:val="single"/>
                <w:lang w:val="en-US" w:eastAsia="zh-CN"/>
              </w:rPr>
            </w:pPr>
            <w:r>
              <w:rPr>
                <w:rFonts w:hint="eastAsia"/>
                <w:color w:val="auto"/>
                <w:sz w:val="24"/>
                <w:szCs w:val="32"/>
                <w:highlight w:val="none"/>
                <w:u w:val="single"/>
                <w:lang w:val="en-US" w:eastAsia="zh-CN"/>
              </w:rPr>
              <w:t>项目车间为封闭车间，大部分颗粒物沉降在车间内，为针对厂区内外的落地粉尘的处理采取下列措施：</w:t>
            </w:r>
          </w:p>
          <w:p>
            <w:pPr>
              <w:spacing w:line="360" w:lineRule="auto"/>
              <w:ind w:firstLine="480" w:firstLineChars="200"/>
              <w:rPr>
                <w:rFonts w:hint="eastAsia"/>
                <w:color w:val="auto"/>
                <w:sz w:val="24"/>
                <w:szCs w:val="32"/>
                <w:highlight w:val="none"/>
                <w:u w:val="single"/>
                <w:lang w:val="en-US" w:eastAsia="zh-CN"/>
              </w:rPr>
            </w:pPr>
            <w:r>
              <w:rPr>
                <w:rFonts w:hint="eastAsia"/>
                <w:color w:val="auto"/>
                <w:sz w:val="24"/>
                <w:szCs w:val="32"/>
                <w:highlight w:val="none"/>
                <w:u w:val="single"/>
                <w:lang w:val="en-US" w:eastAsia="zh-CN"/>
              </w:rPr>
              <w:t>厂内车间：</w:t>
            </w:r>
          </w:p>
          <w:p>
            <w:pPr>
              <w:spacing w:line="360" w:lineRule="auto"/>
              <w:ind w:firstLine="480" w:firstLineChars="200"/>
              <w:rPr>
                <w:rFonts w:hint="eastAsia"/>
                <w:color w:val="auto"/>
                <w:sz w:val="24"/>
                <w:szCs w:val="32"/>
                <w:highlight w:val="none"/>
                <w:u w:val="single"/>
                <w:lang w:val="en-US" w:eastAsia="zh-CN"/>
              </w:rPr>
            </w:pPr>
            <w:r>
              <w:rPr>
                <w:rFonts w:hint="eastAsia"/>
                <w:color w:val="auto"/>
                <w:sz w:val="24"/>
                <w:szCs w:val="32"/>
                <w:highlight w:val="none"/>
                <w:u w:val="single"/>
                <w:lang w:val="en-US" w:eastAsia="zh-CN"/>
              </w:rPr>
              <w:t>①加强收集措施维护，车间封闭，防止粉尘外逸；</w:t>
            </w:r>
          </w:p>
          <w:p>
            <w:pPr>
              <w:spacing w:line="360" w:lineRule="auto"/>
              <w:ind w:firstLine="480" w:firstLineChars="200"/>
              <w:rPr>
                <w:rFonts w:hint="eastAsia"/>
                <w:color w:val="auto"/>
                <w:sz w:val="24"/>
                <w:szCs w:val="32"/>
                <w:highlight w:val="none"/>
                <w:u w:val="single"/>
                <w:lang w:val="en-US" w:eastAsia="zh-CN"/>
              </w:rPr>
            </w:pPr>
            <w:r>
              <w:rPr>
                <w:rFonts w:hint="eastAsia"/>
                <w:color w:val="auto"/>
                <w:sz w:val="24"/>
                <w:szCs w:val="32"/>
                <w:highlight w:val="none"/>
                <w:u w:val="single"/>
                <w:lang w:val="en-US" w:eastAsia="zh-CN"/>
              </w:rPr>
              <w:t>②加强个人卫生防护，从事粉尘作业者应穿戴工作服、工作帽，减少身体暴露部位，要根据粉尘的性质，选戴防尘口罩，以防止粉尘从呼吸道吸入，造成危害；</w:t>
            </w:r>
          </w:p>
          <w:p>
            <w:pPr>
              <w:spacing w:line="360" w:lineRule="auto"/>
              <w:ind w:firstLine="480" w:firstLineChars="200"/>
              <w:rPr>
                <w:rFonts w:hint="eastAsia"/>
                <w:color w:val="auto"/>
                <w:sz w:val="24"/>
                <w:szCs w:val="32"/>
                <w:highlight w:val="none"/>
                <w:u w:val="single"/>
                <w:lang w:val="en-US" w:eastAsia="zh-CN"/>
              </w:rPr>
            </w:pPr>
            <w:r>
              <w:rPr>
                <w:rFonts w:hint="eastAsia"/>
                <w:color w:val="auto"/>
                <w:sz w:val="24"/>
                <w:szCs w:val="32"/>
                <w:highlight w:val="none"/>
                <w:u w:val="single"/>
                <w:lang w:val="en-US" w:eastAsia="zh-CN"/>
              </w:rPr>
              <w:t>③安排专人对车间内落地粉尘定期进行打扫清理保持地面清洁，一般为 2~3 次一天。</w:t>
            </w:r>
          </w:p>
          <w:p>
            <w:pPr>
              <w:spacing w:line="360" w:lineRule="auto"/>
              <w:ind w:firstLine="480" w:firstLineChars="200"/>
              <w:rPr>
                <w:rFonts w:hint="eastAsia"/>
                <w:color w:val="auto"/>
                <w:sz w:val="24"/>
                <w:szCs w:val="32"/>
                <w:highlight w:val="none"/>
                <w:u w:val="single"/>
                <w:lang w:val="en-US" w:eastAsia="zh-CN"/>
              </w:rPr>
            </w:pPr>
            <w:r>
              <w:rPr>
                <w:rFonts w:hint="eastAsia"/>
                <w:color w:val="auto"/>
                <w:sz w:val="24"/>
                <w:szCs w:val="32"/>
                <w:highlight w:val="none"/>
                <w:u w:val="single"/>
                <w:lang w:val="en-US" w:eastAsia="zh-CN"/>
              </w:rPr>
              <w:t>厂区外：</w:t>
            </w:r>
          </w:p>
          <w:p>
            <w:pPr>
              <w:spacing w:line="360" w:lineRule="auto"/>
              <w:ind w:firstLine="480" w:firstLineChars="200"/>
              <w:rPr>
                <w:rFonts w:hint="eastAsia" w:eastAsia="宋体"/>
                <w:b/>
                <w:bCs/>
                <w:color w:val="auto"/>
                <w:sz w:val="24"/>
                <w:szCs w:val="32"/>
                <w:highlight w:val="none"/>
                <w:u w:val="single"/>
                <w:lang w:val="en-US" w:eastAsia="zh-CN"/>
              </w:rPr>
            </w:pPr>
            <w:r>
              <w:rPr>
                <w:rFonts w:hint="eastAsia"/>
                <w:color w:val="auto"/>
                <w:sz w:val="24"/>
                <w:szCs w:val="32"/>
                <w:highlight w:val="none"/>
                <w:u w:val="single"/>
                <w:lang w:val="en-US" w:eastAsia="zh-CN"/>
              </w:rPr>
              <w:t>安排专人对厂区外落地粉尘定期进行打扫清理保持地面清洁，一般为2~3次一天。</w:t>
            </w:r>
          </w:p>
          <w:p>
            <w:pPr>
              <w:spacing w:line="360" w:lineRule="auto"/>
              <w:ind w:firstLine="482" w:firstLineChars="200"/>
              <w:rPr>
                <w:rFonts w:hint="eastAsia" w:eastAsia="宋体"/>
                <w:b/>
                <w:bCs/>
                <w:color w:val="auto"/>
                <w:sz w:val="24"/>
                <w:szCs w:val="32"/>
                <w:highlight w:val="none"/>
                <w:u w:val="single"/>
                <w:lang w:val="en-US" w:eastAsia="zh-CN"/>
              </w:rPr>
            </w:pPr>
            <w:r>
              <w:rPr>
                <w:rFonts w:hint="eastAsia"/>
                <w:b/>
                <w:bCs/>
                <w:color w:val="auto"/>
                <w:sz w:val="24"/>
                <w:szCs w:val="32"/>
                <w:highlight w:val="none"/>
                <w:u w:val="single"/>
                <w:lang w:val="en-US" w:eastAsia="zh-CN"/>
              </w:rPr>
              <w:t>5、排气筒设置的合理性分析</w:t>
            </w:r>
          </w:p>
          <w:p>
            <w:pPr>
              <w:spacing w:line="360" w:lineRule="auto"/>
              <w:ind w:firstLine="480" w:firstLineChars="200"/>
              <w:rPr>
                <w:rFonts w:hint="eastAsia"/>
                <w:b w:val="0"/>
                <w:bCs w:val="0"/>
                <w:color w:val="auto"/>
                <w:sz w:val="24"/>
                <w:szCs w:val="32"/>
                <w:highlight w:val="none"/>
                <w:u w:val="single"/>
                <w:lang w:val="en-US" w:eastAsia="zh-CN"/>
              </w:rPr>
            </w:pPr>
            <w:r>
              <w:rPr>
                <w:rFonts w:hint="eastAsia"/>
                <w:b w:val="0"/>
                <w:bCs w:val="0"/>
                <w:color w:val="auto"/>
                <w:sz w:val="24"/>
                <w:szCs w:val="32"/>
                <w:highlight w:val="none"/>
                <w:u w:val="single"/>
                <w:lang w:val="en-US" w:eastAsia="zh-CN"/>
              </w:rPr>
              <w:t>参考《大气污染物综合排放标准》（GB16297-1996）中对排气筒高度的要求：①新污染源的排气筒一般不应低于15m；②排气筒高度须遵守表列排放速率标准值；③排气筒高度应高出周围200m半径范围的建筑5m以上。</w:t>
            </w:r>
          </w:p>
          <w:p>
            <w:pPr>
              <w:spacing w:line="360" w:lineRule="auto"/>
              <w:ind w:firstLine="480" w:firstLineChars="200"/>
              <w:rPr>
                <w:rFonts w:hint="eastAsia"/>
                <w:b w:val="0"/>
                <w:bCs w:val="0"/>
                <w:color w:val="auto"/>
                <w:sz w:val="24"/>
                <w:szCs w:val="32"/>
                <w:highlight w:val="none"/>
                <w:u w:val="single"/>
                <w:lang w:val="en-US" w:eastAsia="zh-CN"/>
              </w:rPr>
            </w:pPr>
            <w:r>
              <w:rPr>
                <w:rFonts w:hint="eastAsia"/>
                <w:b w:val="0"/>
                <w:bCs w:val="0"/>
                <w:color w:val="auto"/>
                <w:sz w:val="24"/>
                <w:szCs w:val="32"/>
                <w:highlight w:val="none"/>
                <w:u w:val="single"/>
                <w:lang w:val="en-US" w:eastAsia="zh-CN"/>
              </w:rPr>
              <w:t>本项目为新建项目，根据现场踏勘可知，目前项目周围200m范围内最高的建筑低于9m，故本项目排气筒高度满足大于周边建筑5m以上，排气筒设置排放满足《大气污染物综合排放标准》（GB16297-1996）的要求。</w:t>
            </w:r>
          </w:p>
          <w:p>
            <w:pPr>
              <w:spacing w:line="360" w:lineRule="auto"/>
              <w:ind w:firstLine="482" w:firstLineChars="200"/>
              <w:rPr>
                <w:rFonts w:hint="eastAsia" w:eastAsia="宋体"/>
                <w:b/>
                <w:bCs/>
                <w:color w:val="auto"/>
                <w:sz w:val="24"/>
                <w:szCs w:val="32"/>
                <w:highlight w:val="none"/>
                <w:u w:val="single"/>
                <w:lang w:eastAsia="zh-CN"/>
              </w:rPr>
            </w:pPr>
            <w:r>
              <w:rPr>
                <w:rFonts w:hint="eastAsia"/>
                <w:b/>
                <w:bCs/>
                <w:color w:val="auto"/>
                <w:sz w:val="24"/>
                <w:szCs w:val="32"/>
                <w:highlight w:val="none"/>
                <w:u w:val="single"/>
                <w:lang w:val="en-US" w:eastAsia="zh-CN"/>
              </w:rPr>
              <w:t>6</w:t>
            </w:r>
            <w:r>
              <w:rPr>
                <w:rFonts w:hint="eastAsia"/>
                <w:b/>
                <w:bCs/>
                <w:color w:val="auto"/>
                <w:sz w:val="24"/>
                <w:szCs w:val="32"/>
                <w:highlight w:val="none"/>
                <w:u w:val="single"/>
              </w:rPr>
              <w:t>、</w:t>
            </w:r>
            <w:r>
              <w:rPr>
                <w:rFonts w:hint="eastAsia"/>
                <w:b/>
                <w:bCs/>
                <w:color w:val="auto"/>
                <w:sz w:val="24"/>
                <w:szCs w:val="32"/>
                <w:highlight w:val="none"/>
                <w:u w:val="single"/>
                <w:lang w:val="en-US" w:eastAsia="zh-CN"/>
              </w:rPr>
              <w:t>废气环境</w:t>
            </w:r>
            <w:r>
              <w:rPr>
                <w:rFonts w:hint="eastAsia"/>
                <w:b/>
                <w:bCs/>
                <w:color w:val="auto"/>
                <w:sz w:val="24"/>
                <w:szCs w:val="32"/>
                <w:highlight w:val="none"/>
                <w:u w:val="single"/>
              </w:rPr>
              <w:t>影响</w:t>
            </w:r>
            <w:r>
              <w:rPr>
                <w:rFonts w:hint="eastAsia"/>
                <w:b/>
                <w:bCs/>
                <w:color w:val="auto"/>
                <w:sz w:val="24"/>
                <w:szCs w:val="32"/>
                <w:highlight w:val="none"/>
                <w:u w:val="single"/>
                <w:lang w:val="en-US" w:eastAsia="zh-CN"/>
              </w:rPr>
              <w:t>分析</w:t>
            </w:r>
          </w:p>
          <w:p>
            <w:pPr>
              <w:spacing w:line="360" w:lineRule="auto"/>
              <w:ind w:firstLine="480" w:firstLineChars="200"/>
              <w:rPr>
                <w:rFonts w:hint="eastAsia" w:ascii="Times New Roman" w:hAnsi="Times New Roman" w:eastAsia="宋体" w:cs="Times New Roman"/>
                <w:color w:val="auto"/>
                <w:sz w:val="24"/>
                <w:szCs w:val="32"/>
                <w:highlight w:val="none"/>
                <w:u w:val="single"/>
                <w:lang w:val="en-US" w:eastAsia="zh-CN"/>
              </w:rPr>
            </w:pPr>
            <w:r>
              <w:rPr>
                <w:rFonts w:hint="eastAsia" w:ascii="Times New Roman" w:hAnsi="Times New Roman" w:eastAsia="宋体" w:cs="Times New Roman"/>
                <w:color w:val="auto"/>
                <w:sz w:val="24"/>
                <w:szCs w:val="32"/>
                <w:highlight w:val="none"/>
                <w:u w:val="single"/>
                <w:lang w:val="en-US" w:eastAsia="zh-CN"/>
              </w:rPr>
              <w:t>项目生产过程中产生的废气污染物主要为颗粒物、二氧化硫</w:t>
            </w:r>
            <w:r>
              <w:rPr>
                <w:rFonts w:hint="eastAsia" w:cs="Times New Roman"/>
                <w:color w:val="auto"/>
                <w:sz w:val="24"/>
                <w:szCs w:val="32"/>
                <w:highlight w:val="none"/>
                <w:u w:val="single"/>
                <w:lang w:val="en-US" w:eastAsia="zh-CN"/>
              </w:rPr>
              <w:t>、</w:t>
            </w:r>
            <w:r>
              <w:rPr>
                <w:rFonts w:hint="eastAsia" w:ascii="Times New Roman" w:hAnsi="Times New Roman" w:eastAsia="宋体" w:cs="Times New Roman"/>
                <w:color w:val="auto"/>
                <w:sz w:val="24"/>
                <w:szCs w:val="32"/>
                <w:highlight w:val="none"/>
                <w:u w:val="single"/>
                <w:lang w:val="en-US" w:eastAsia="zh-CN"/>
              </w:rPr>
              <w:t>氮氧化物</w:t>
            </w:r>
            <w:r>
              <w:rPr>
                <w:rFonts w:hint="eastAsia" w:cs="Times New Roman"/>
                <w:color w:val="auto"/>
                <w:sz w:val="24"/>
                <w:szCs w:val="32"/>
                <w:highlight w:val="none"/>
                <w:u w:val="single"/>
                <w:lang w:val="en-US" w:eastAsia="zh-CN"/>
              </w:rPr>
              <w:t>和烟气黑度</w:t>
            </w:r>
            <w:r>
              <w:rPr>
                <w:rFonts w:hint="eastAsia" w:ascii="Times New Roman" w:hAnsi="Times New Roman" w:eastAsia="宋体" w:cs="Times New Roman"/>
                <w:color w:val="auto"/>
                <w:sz w:val="24"/>
                <w:szCs w:val="32"/>
                <w:highlight w:val="none"/>
                <w:u w:val="single"/>
                <w:lang w:val="en-US" w:eastAsia="zh-CN"/>
              </w:rPr>
              <w:t>。本项目废气经过“旋风+布袋除尘器”处理后通过</w:t>
            </w:r>
            <w:r>
              <w:rPr>
                <w:rFonts w:hint="eastAsia" w:cs="Times New Roman"/>
                <w:color w:val="auto"/>
                <w:sz w:val="24"/>
                <w:szCs w:val="32"/>
                <w:highlight w:val="none"/>
                <w:u w:val="single"/>
                <w:lang w:val="en-US" w:eastAsia="zh-CN"/>
              </w:rPr>
              <w:t>高</w:t>
            </w:r>
            <w:r>
              <w:rPr>
                <w:rFonts w:hint="eastAsia" w:ascii="Times New Roman" w:hAnsi="Times New Roman" w:eastAsia="宋体" w:cs="Times New Roman"/>
                <w:color w:val="auto"/>
                <w:sz w:val="24"/>
                <w:szCs w:val="32"/>
                <w:highlight w:val="none"/>
                <w:u w:val="single"/>
                <w:lang w:val="en-US" w:eastAsia="zh-CN"/>
              </w:rPr>
              <w:t>15m的排气筒排放</w:t>
            </w:r>
            <w:r>
              <w:rPr>
                <w:rFonts w:hint="eastAsia" w:cs="Times New Roman"/>
                <w:color w:val="auto"/>
                <w:sz w:val="24"/>
                <w:szCs w:val="32"/>
                <w:highlight w:val="none"/>
                <w:u w:val="single"/>
                <w:lang w:val="en-US" w:eastAsia="zh-CN"/>
              </w:rPr>
              <w:t>，</w:t>
            </w:r>
            <w:r>
              <w:rPr>
                <w:rFonts w:hint="eastAsia" w:ascii="Times New Roman" w:hAnsi="Times New Roman" w:eastAsia="宋体" w:cs="Times New Roman"/>
                <w:color w:val="auto"/>
                <w:sz w:val="24"/>
                <w:szCs w:val="32"/>
                <w:highlight w:val="none"/>
                <w:u w:val="single"/>
                <w:lang w:val="en-US" w:eastAsia="zh-CN"/>
              </w:rPr>
              <w:t>通过计算分析，本项目拟采取的废气处理措施可行，各项废气污染物均可实现达标排放，项目产生和排放的大气污染物对周围大气环境质量影响不大，不会造成周围大气环境质量明显下降。</w:t>
            </w:r>
          </w:p>
          <w:p>
            <w:pPr>
              <w:spacing w:line="360" w:lineRule="auto"/>
              <w:ind w:firstLine="480" w:firstLineChars="200"/>
              <w:rPr>
                <w:rFonts w:hint="eastAsia" w:ascii="Times New Roman" w:hAnsi="Times New Roman" w:eastAsia="宋体" w:cs="Times New Roman"/>
                <w:color w:val="auto"/>
                <w:sz w:val="24"/>
                <w:szCs w:val="32"/>
                <w:highlight w:val="none"/>
                <w:u w:val="single"/>
                <w:lang w:val="en-US" w:eastAsia="zh-CN"/>
              </w:rPr>
            </w:pPr>
            <w:r>
              <w:rPr>
                <w:rFonts w:hint="eastAsia" w:ascii="Times New Roman" w:hAnsi="Times New Roman" w:eastAsia="宋体" w:cs="Times New Roman"/>
                <w:color w:val="auto"/>
                <w:sz w:val="24"/>
                <w:szCs w:val="32"/>
                <w:highlight w:val="none"/>
                <w:u w:val="single"/>
                <w:lang w:val="en-US" w:eastAsia="zh-CN"/>
              </w:rPr>
              <w:t>为了进一步减轻本项目对周围大气环境的影响程度和范围，</w:t>
            </w:r>
            <w:r>
              <w:rPr>
                <w:rFonts w:hint="eastAsia" w:cs="Times New Roman"/>
                <w:color w:val="auto"/>
                <w:sz w:val="24"/>
                <w:szCs w:val="32"/>
                <w:highlight w:val="none"/>
                <w:u w:val="single"/>
                <w:lang w:val="en-US" w:eastAsia="zh-CN"/>
              </w:rPr>
              <w:t>企业</w:t>
            </w:r>
            <w:r>
              <w:rPr>
                <w:rFonts w:hint="eastAsia" w:ascii="Times New Roman" w:hAnsi="Times New Roman" w:eastAsia="宋体" w:cs="Times New Roman"/>
                <w:color w:val="auto"/>
                <w:sz w:val="24"/>
                <w:szCs w:val="32"/>
                <w:highlight w:val="none"/>
                <w:u w:val="single"/>
                <w:lang w:val="en-US" w:eastAsia="zh-CN"/>
              </w:rPr>
              <w:t>在生产过程中应该加强管理，保证废气治理设备正常运行。当废气治理设备出现故障不能正常运行时，应尽快修复废气处理措施，必要时进行停产维修，避免对周围大气环境造成污染影响。</w:t>
            </w:r>
          </w:p>
          <w:p>
            <w:pPr>
              <w:spacing w:line="360" w:lineRule="auto"/>
              <w:ind w:firstLine="482" w:firstLineChars="200"/>
              <w:rPr>
                <w:color w:val="auto"/>
                <w:sz w:val="24"/>
                <w:szCs w:val="32"/>
                <w:highlight w:val="none"/>
              </w:rPr>
            </w:pPr>
            <w:r>
              <w:rPr>
                <w:rFonts w:hint="eastAsia"/>
                <w:b/>
                <w:bCs/>
                <w:color w:val="auto"/>
                <w:sz w:val="24"/>
                <w:szCs w:val="32"/>
                <w:highlight w:val="none"/>
              </w:rPr>
              <w:t>二、废水</w:t>
            </w:r>
            <w:r>
              <w:rPr>
                <w:b/>
                <w:bCs/>
                <w:color w:val="auto"/>
                <w:sz w:val="24"/>
                <w:szCs w:val="32"/>
                <w:highlight w:val="none"/>
              </w:rPr>
              <w:t>环境影响分析和保护措施</w:t>
            </w:r>
          </w:p>
          <w:p>
            <w:pPr>
              <w:spacing w:line="360" w:lineRule="auto"/>
              <w:ind w:firstLine="480" w:firstLineChars="200"/>
              <w:rPr>
                <w:rFonts w:hint="eastAsia"/>
                <w:color w:val="auto"/>
                <w:sz w:val="24"/>
                <w:szCs w:val="32"/>
                <w:highlight w:val="none"/>
                <w:u w:val="none"/>
              </w:rPr>
            </w:pPr>
            <w:r>
              <w:rPr>
                <w:rFonts w:hint="eastAsia"/>
                <w:color w:val="auto"/>
                <w:sz w:val="24"/>
                <w:szCs w:val="32"/>
                <w:highlight w:val="none"/>
                <w:u w:val="none"/>
              </w:rPr>
              <w:t>本项目雨污分流，雨水通过雨水沟进入</w:t>
            </w:r>
            <w:r>
              <w:rPr>
                <w:rFonts w:hint="eastAsia"/>
                <w:color w:val="auto"/>
                <w:sz w:val="24"/>
                <w:szCs w:val="32"/>
                <w:highlight w:val="none"/>
                <w:u w:val="none"/>
                <w:lang w:val="en-US" w:eastAsia="zh-CN"/>
              </w:rPr>
              <w:t>北</w:t>
            </w:r>
            <w:r>
              <w:rPr>
                <w:rFonts w:hint="eastAsia"/>
                <w:color w:val="auto"/>
                <w:sz w:val="24"/>
                <w:szCs w:val="32"/>
                <w:highlight w:val="none"/>
                <w:u w:val="none"/>
              </w:rPr>
              <w:t>面的</w:t>
            </w:r>
            <w:r>
              <w:rPr>
                <w:rFonts w:hint="eastAsia"/>
                <w:color w:val="auto"/>
                <w:sz w:val="24"/>
                <w:szCs w:val="32"/>
                <w:highlight w:val="none"/>
                <w:u w:val="none"/>
                <w:lang w:eastAsia="zh-CN"/>
              </w:rPr>
              <w:t>游港河</w:t>
            </w:r>
            <w:r>
              <w:rPr>
                <w:rFonts w:hint="eastAsia"/>
                <w:color w:val="auto"/>
                <w:sz w:val="24"/>
                <w:szCs w:val="32"/>
                <w:highlight w:val="none"/>
                <w:u w:val="none"/>
              </w:rPr>
              <w:t>。项目物料均放置于厂房内，降雨时不会被雨水冲刷，项目外排废气中不</w:t>
            </w:r>
            <w:r>
              <w:rPr>
                <w:rFonts w:hint="eastAsia"/>
                <w:color w:val="auto"/>
                <w:sz w:val="24"/>
                <w:szCs w:val="32"/>
                <w:highlight w:val="none"/>
                <w:u w:val="none"/>
                <w:lang w:val="en-US" w:eastAsia="zh-CN"/>
              </w:rPr>
              <w:t>含</w:t>
            </w:r>
            <w:r>
              <w:rPr>
                <w:rFonts w:hint="eastAsia"/>
                <w:color w:val="auto"/>
                <w:sz w:val="24"/>
                <w:szCs w:val="32"/>
                <w:highlight w:val="none"/>
                <w:u w:val="none"/>
              </w:rPr>
              <w:t>重金属等有毒有害污染物，初期雨水中主要含有少量木屑等悬浮物，一般来说不会对地表水环境造成污染。</w:t>
            </w:r>
          </w:p>
          <w:p>
            <w:pPr>
              <w:spacing w:line="360" w:lineRule="auto"/>
              <w:ind w:firstLine="480" w:firstLineChars="200"/>
              <w:rPr>
                <w:rFonts w:hint="eastAsia"/>
                <w:color w:val="auto"/>
                <w:sz w:val="24"/>
                <w:szCs w:val="32"/>
                <w:highlight w:val="none"/>
                <w:u w:val="none"/>
              </w:rPr>
            </w:pPr>
            <w:r>
              <w:rPr>
                <w:rFonts w:hint="eastAsia"/>
                <w:color w:val="auto"/>
                <w:sz w:val="24"/>
                <w:szCs w:val="32"/>
                <w:highlight w:val="none"/>
                <w:u w:val="none"/>
              </w:rPr>
              <w:t>项目劳动定员6人，不在厂内食宿，年工作300天。参照《湖南省用水定额》(DB43/T388-2020)中的指标计算，用水量按38L/d•人计，计算可得，生活用水总量为68.4m</w:t>
            </w:r>
            <w:r>
              <w:rPr>
                <w:rFonts w:hint="eastAsia"/>
                <w:color w:val="auto"/>
                <w:sz w:val="24"/>
                <w:szCs w:val="32"/>
                <w:highlight w:val="none"/>
                <w:u w:val="none"/>
                <w:vertAlign w:val="superscript"/>
              </w:rPr>
              <w:t>3</w:t>
            </w:r>
            <w:r>
              <w:rPr>
                <w:rFonts w:hint="eastAsia"/>
                <w:color w:val="auto"/>
                <w:sz w:val="24"/>
                <w:szCs w:val="32"/>
                <w:highlight w:val="none"/>
                <w:u w:val="none"/>
              </w:rPr>
              <w:t>/a。废水排放量按用水量的80%计，则项目生活污水量为</w:t>
            </w:r>
            <w:r>
              <w:rPr>
                <w:rFonts w:hint="eastAsia"/>
                <w:color w:val="auto"/>
                <w:sz w:val="24"/>
                <w:szCs w:val="32"/>
                <w:highlight w:val="none"/>
                <w:u w:val="none"/>
                <w:lang w:val="en-US" w:eastAsia="zh-CN"/>
              </w:rPr>
              <w:t>54.72</w:t>
            </w:r>
            <w:r>
              <w:rPr>
                <w:rFonts w:hint="eastAsia"/>
                <w:color w:val="auto"/>
                <w:sz w:val="24"/>
                <w:szCs w:val="32"/>
                <w:highlight w:val="none"/>
                <w:u w:val="none"/>
              </w:rPr>
              <w:t>t/a（</w:t>
            </w:r>
            <w:r>
              <w:rPr>
                <w:rFonts w:hint="eastAsia"/>
                <w:color w:val="auto"/>
                <w:sz w:val="24"/>
                <w:szCs w:val="32"/>
                <w:highlight w:val="none"/>
                <w:u w:val="none"/>
                <w:lang w:val="en-US" w:eastAsia="zh-CN"/>
              </w:rPr>
              <w:t>0.182</w:t>
            </w:r>
            <w:r>
              <w:rPr>
                <w:rFonts w:hint="eastAsia"/>
                <w:color w:val="auto"/>
                <w:sz w:val="24"/>
                <w:szCs w:val="32"/>
                <w:highlight w:val="none"/>
                <w:u w:val="none"/>
              </w:rPr>
              <w:t>t/d），本项目生活污水产生量小，生活污水经化粪池处理后用于周边菜地的</w:t>
            </w:r>
            <w:r>
              <w:rPr>
                <w:rFonts w:hint="eastAsia"/>
                <w:color w:val="auto"/>
                <w:sz w:val="24"/>
                <w:szCs w:val="32"/>
                <w:highlight w:val="none"/>
                <w:u w:val="none"/>
                <w:lang w:val="en-US" w:eastAsia="zh-CN"/>
              </w:rPr>
              <w:t>浇灌</w:t>
            </w:r>
            <w:r>
              <w:rPr>
                <w:rFonts w:hint="eastAsia"/>
                <w:color w:val="auto"/>
                <w:sz w:val="24"/>
                <w:szCs w:val="32"/>
                <w:highlight w:val="none"/>
                <w:u w:val="none"/>
              </w:rPr>
              <w:t>，不外排。</w:t>
            </w:r>
            <w:r>
              <w:rPr>
                <w:rFonts w:hint="eastAsia"/>
                <w:color w:val="auto"/>
                <w:sz w:val="24"/>
                <w:szCs w:val="32"/>
                <w:highlight w:val="none"/>
                <w:u w:val="none"/>
                <w:lang w:eastAsia="zh-CN"/>
              </w:rPr>
              <w:t>本项目</w:t>
            </w:r>
            <w:r>
              <w:rPr>
                <w:rFonts w:hint="eastAsia"/>
                <w:color w:val="auto"/>
                <w:sz w:val="24"/>
                <w:szCs w:val="32"/>
                <w:highlight w:val="none"/>
                <w:u w:val="none"/>
                <w:lang w:val="en-US" w:eastAsia="zh-CN"/>
              </w:rPr>
              <w:t>位于农村地区，</w:t>
            </w:r>
            <w:r>
              <w:rPr>
                <w:rFonts w:hint="eastAsia"/>
                <w:color w:val="auto"/>
                <w:sz w:val="24"/>
                <w:szCs w:val="32"/>
                <w:highlight w:val="none"/>
                <w:u w:val="none"/>
                <w:lang w:eastAsia="zh-CN"/>
              </w:rPr>
              <w:t>周边</w:t>
            </w:r>
            <w:r>
              <w:rPr>
                <w:rFonts w:hint="eastAsia"/>
                <w:color w:val="auto"/>
                <w:sz w:val="24"/>
                <w:szCs w:val="32"/>
                <w:highlight w:val="none"/>
                <w:u w:val="none"/>
                <w:lang w:val="en-US" w:eastAsia="zh-CN"/>
              </w:rPr>
              <w:t>菜地</w:t>
            </w:r>
            <w:r>
              <w:rPr>
                <w:rFonts w:hint="eastAsia"/>
                <w:color w:val="auto"/>
                <w:sz w:val="24"/>
                <w:szCs w:val="32"/>
                <w:highlight w:val="none"/>
                <w:u w:val="none"/>
                <w:lang w:eastAsia="zh-CN"/>
              </w:rPr>
              <w:t>面积</w:t>
            </w:r>
            <w:r>
              <w:rPr>
                <w:rFonts w:hint="eastAsia"/>
                <w:color w:val="auto"/>
                <w:sz w:val="24"/>
                <w:szCs w:val="32"/>
                <w:highlight w:val="none"/>
                <w:u w:val="none"/>
                <w:lang w:val="en-US" w:eastAsia="zh-CN"/>
              </w:rPr>
              <w:t>较大</w:t>
            </w:r>
            <w:r>
              <w:rPr>
                <w:rFonts w:hint="eastAsia"/>
                <w:color w:val="auto"/>
                <w:sz w:val="24"/>
                <w:szCs w:val="32"/>
                <w:highlight w:val="none"/>
                <w:u w:val="none"/>
                <w:lang w:eastAsia="zh-CN"/>
              </w:rPr>
              <w:t>，生活污水</w:t>
            </w:r>
            <w:r>
              <w:rPr>
                <w:rFonts w:hint="eastAsia"/>
                <w:color w:val="auto"/>
                <w:sz w:val="24"/>
                <w:szCs w:val="32"/>
                <w:highlight w:val="none"/>
                <w:u w:val="none"/>
                <w:lang w:val="en-US" w:eastAsia="zh-CN"/>
              </w:rPr>
              <w:t>可全部</w:t>
            </w:r>
            <w:r>
              <w:rPr>
                <w:rFonts w:hint="eastAsia"/>
                <w:color w:val="auto"/>
                <w:sz w:val="24"/>
                <w:szCs w:val="32"/>
                <w:highlight w:val="none"/>
                <w:u w:val="none"/>
                <w:lang w:eastAsia="zh-CN"/>
              </w:rPr>
              <w:t>用于周边</w:t>
            </w:r>
            <w:r>
              <w:rPr>
                <w:rFonts w:hint="eastAsia"/>
                <w:color w:val="auto"/>
                <w:sz w:val="24"/>
                <w:szCs w:val="32"/>
                <w:highlight w:val="none"/>
                <w:u w:val="none"/>
                <w:lang w:val="en-US" w:eastAsia="zh-CN"/>
              </w:rPr>
              <w:t>菜地浇灌</w:t>
            </w:r>
            <w:r>
              <w:rPr>
                <w:rFonts w:hint="eastAsia"/>
                <w:color w:val="auto"/>
                <w:sz w:val="24"/>
                <w:szCs w:val="32"/>
                <w:highlight w:val="none"/>
                <w:u w:val="none"/>
                <w:lang w:eastAsia="zh-CN"/>
              </w:rPr>
              <w:t>，</w:t>
            </w:r>
            <w:r>
              <w:rPr>
                <w:rFonts w:hint="eastAsia"/>
                <w:color w:val="auto"/>
                <w:sz w:val="24"/>
                <w:szCs w:val="32"/>
                <w:highlight w:val="none"/>
                <w:u w:val="none"/>
                <w:lang w:val="en-US" w:eastAsia="zh-CN"/>
              </w:rPr>
              <w:t>生活污水对周边影响较小</w:t>
            </w:r>
            <w:r>
              <w:rPr>
                <w:rFonts w:hint="eastAsia"/>
                <w:color w:val="auto"/>
                <w:sz w:val="24"/>
                <w:szCs w:val="32"/>
                <w:highlight w:val="none"/>
                <w:u w:val="none"/>
              </w:rPr>
              <w:t>。</w:t>
            </w:r>
          </w:p>
          <w:p>
            <w:pPr>
              <w:spacing w:line="360" w:lineRule="auto"/>
              <w:ind w:firstLine="482" w:firstLineChars="200"/>
              <w:rPr>
                <w:color w:val="auto"/>
                <w:sz w:val="24"/>
                <w:szCs w:val="32"/>
                <w:highlight w:val="none"/>
              </w:rPr>
            </w:pPr>
            <w:r>
              <w:rPr>
                <w:rFonts w:hint="eastAsia"/>
                <w:b/>
                <w:bCs/>
                <w:color w:val="auto"/>
                <w:sz w:val="24"/>
                <w:szCs w:val="32"/>
                <w:highlight w:val="none"/>
              </w:rPr>
              <w:t>三、声环境影响分析和保护措施</w:t>
            </w:r>
          </w:p>
          <w:p>
            <w:p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1、噪声源强</w:t>
            </w:r>
          </w:p>
          <w:p>
            <w:pPr>
              <w:spacing w:line="360" w:lineRule="auto"/>
              <w:ind w:firstLine="480" w:firstLineChars="200"/>
              <w:rPr>
                <w:color w:val="auto"/>
                <w:sz w:val="24"/>
                <w:szCs w:val="32"/>
                <w:highlight w:val="none"/>
              </w:rPr>
            </w:pPr>
            <w:r>
              <w:rPr>
                <w:rFonts w:hint="eastAsia"/>
                <w:color w:val="auto"/>
                <w:sz w:val="24"/>
                <w:szCs w:val="32"/>
                <w:highlight w:val="none"/>
              </w:rPr>
              <w:t>项目主要噪声源于设备运行时产生的噪声，根据《实用环境保护数据大全》（第六册）及类比其他同类型项目，这类生产设备噪声值约为 60~90dB(A）之间：</w:t>
            </w:r>
          </w:p>
          <w:p>
            <w:pPr>
              <w:spacing w:line="360" w:lineRule="auto"/>
              <w:jc w:val="center"/>
              <w:rPr>
                <w:b/>
                <w:bCs/>
                <w:color w:val="auto"/>
                <w:sz w:val="24"/>
                <w:szCs w:val="32"/>
                <w:highlight w:val="none"/>
              </w:rPr>
            </w:pPr>
            <w:r>
              <w:rPr>
                <w:rFonts w:hint="eastAsia"/>
                <w:b/>
                <w:bCs/>
                <w:color w:val="auto"/>
                <w:sz w:val="24"/>
                <w:szCs w:val="32"/>
                <w:highlight w:val="none"/>
              </w:rPr>
              <w:t>表4-9  项目主要噪声源</w:t>
            </w:r>
          </w:p>
          <w:tbl>
            <w:tblPr>
              <w:tblStyle w:val="23"/>
              <w:tblW w:w="7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6"/>
              <w:gridCol w:w="1688"/>
              <w:gridCol w:w="1323"/>
              <w:gridCol w:w="1406"/>
              <w:gridCol w:w="1406"/>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688"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设备名称</w:t>
                  </w:r>
                </w:p>
              </w:tc>
              <w:tc>
                <w:tcPr>
                  <w:tcW w:w="1323"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数量(台/套)</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噪声强度</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治理措施</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降噪效果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l</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制粒</w:t>
                  </w:r>
                  <w:r>
                    <w:rPr>
                      <w:rFonts w:hint="default" w:ascii="Times New Roman" w:hAnsi="Times New Roman" w:cs="Times New Roman"/>
                      <w:color w:val="auto"/>
                      <w:sz w:val="21"/>
                      <w:szCs w:val="21"/>
                      <w:highlight w:val="none"/>
                    </w:rPr>
                    <w:t>机</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06"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60~70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破碎机</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406"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color w:val="auto"/>
                      <w:highlight w:val="none"/>
                      <w:lang w:val="en-US" w:eastAsia="zh-CN"/>
                    </w:rPr>
                    <w:t>7</w:t>
                  </w:r>
                  <w:r>
                    <w:rPr>
                      <w:rFonts w:hint="eastAsia"/>
                      <w:color w:val="auto"/>
                      <w:highlight w:val="none"/>
                    </w:rPr>
                    <w:t>0~90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粉碎机</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06" w:type="dxa"/>
                  <w:noWrap w:val="0"/>
                  <w:vAlign w:val="center"/>
                </w:tcPr>
                <w:p>
                  <w:pPr>
                    <w:jc w:val="center"/>
                    <w:rPr>
                      <w:rFonts w:hint="default" w:ascii="Times New Roman" w:hAnsi="Times New Roman" w:cs="Times New Roman"/>
                      <w:color w:val="auto"/>
                      <w:sz w:val="21"/>
                      <w:szCs w:val="21"/>
                      <w:highlight w:val="none"/>
                    </w:rPr>
                  </w:pPr>
                  <w:r>
                    <w:rPr>
                      <w:rFonts w:hint="eastAsia"/>
                      <w:color w:val="auto"/>
                      <w:highlight w:val="none"/>
                      <w:lang w:val="en-US" w:eastAsia="zh-CN"/>
                    </w:rPr>
                    <w:t>7</w:t>
                  </w:r>
                  <w:r>
                    <w:rPr>
                      <w:rFonts w:hint="eastAsia"/>
                      <w:color w:val="auto"/>
                      <w:highlight w:val="none"/>
                    </w:rPr>
                    <w:t>0~90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皮带输送机</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406"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olor w:val="auto"/>
                      <w:highlight w:val="none"/>
                      <w:lang w:val="en-US" w:eastAsia="zh-CN"/>
                    </w:rPr>
                    <w:t>6</w:t>
                  </w:r>
                  <w:r>
                    <w:rPr>
                      <w:rFonts w:hint="eastAsia"/>
                      <w:color w:val="auto"/>
                      <w:highlight w:val="none"/>
                    </w:rPr>
                    <w:t>0~</w:t>
                  </w:r>
                  <w:r>
                    <w:rPr>
                      <w:rFonts w:hint="eastAsia"/>
                      <w:color w:val="auto"/>
                      <w:highlight w:val="none"/>
                      <w:lang w:val="en-US" w:eastAsia="zh-CN"/>
                    </w:rPr>
                    <w:t>70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螺旋输送机</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06" w:type="dxa"/>
                  <w:noWrap w:val="0"/>
                  <w:vAlign w:val="center"/>
                </w:tcPr>
                <w:p>
                  <w:pPr>
                    <w:jc w:val="center"/>
                    <w:rPr>
                      <w:rFonts w:hint="default" w:ascii="Times New Roman" w:hAnsi="Times New Roman" w:cs="Times New Roman"/>
                      <w:color w:val="auto"/>
                      <w:sz w:val="21"/>
                      <w:szCs w:val="21"/>
                      <w:highlight w:val="none"/>
                      <w:lang w:val="en-US"/>
                    </w:rPr>
                  </w:pPr>
                  <w:r>
                    <w:rPr>
                      <w:rFonts w:hint="eastAsia"/>
                      <w:color w:val="auto"/>
                      <w:highlight w:val="none"/>
                    </w:rPr>
                    <w:t>6</w:t>
                  </w:r>
                  <w:r>
                    <w:rPr>
                      <w:rFonts w:hint="eastAsia"/>
                      <w:color w:val="auto"/>
                      <w:highlight w:val="none"/>
                      <w:lang w:val="en-US" w:eastAsia="zh-CN"/>
                    </w:rPr>
                    <w:t>0</w:t>
                  </w:r>
                  <w:r>
                    <w:rPr>
                      <w:rFonts w:hint="eastAsia"/>
                      <w:color w:val="auto"/>
                      <w:highlight w:val="none"/>
                    </w:rPr>
                    <w:t>~</w:t>
                  </w:r>
                  <w:r>
                    <w:rPr>
                      <w:rFonts w:hint="eastAsia"/>
                      <w:color w:val="auto"/>
                      <w:highlight w:val="none"/>
                      <w:lang w:val="en-US" w:eastAsia="zh-CN"/>
                    </w:rPr>
                    <w:t>70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6</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振动筛</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06" w:type="dxa"/>
                  <w:noWrap w:val="0"/>
                  <w:vAlign w:val="center"/>
                </w:tcPr>
                <w:p>
                  <w:pPr>
                    <w:jc w:val="center"/>
                    <w:rPr>
                      <w:rFonts w:hint="default" w:ascii="Times New Roman" w:hAnsi="Times New Roman" w:cs="Times New Roman"/>
                      <w:color w:val="auto"/>
                      <w:sz w:val="21"/>
                      <w:szCs w:val="21"/>
                      <w:highlight w:val="none"/>
                    </w:rPr>
                  </w:pPr>
                  <w:r>
                    <w:rPr>
                      <w:rFonts w:hint="eastAsia"/>
                      <w:color w:val="auto"/>
                      <w:highlight w:val="none"/>
                      <w:lang w:val="en-US" w:eastAsia="zh-CN"/>
                    </w:rPr>
                    <w:t>7</w:t>
                  </w:r>
                  <w:r>
                    <w:rPr>
                      <w:rFonts w:hint="eastAsia"/>
                      <w:color w:val="auto"/>
                      <w:highlight w:val="none"/>
                    </w:rPr>
                    <w:t>0~90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7</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烘干</w:t>
                  </w:r>
                  <w:r>
                    <w:rPr>
                      <w:rFonts w:hint="eastAsia" w:ascii="Times New Roman" w:hAnsi="Times New Roman" w:cs="Times New Roman"/>
                      <w:color w:val="auto"/>
                      <w:sz w:val="21"/>
                      <w:szCs w:val="21"/>
                      <w:highlight w:val="none"/>
                      <w:lang w:val="en-US" w:eastAsia="zh-CN"/>
                    </w:rPr>
                    <w:t>筒</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p>
              </w:tc>
              <w:tc>
                <w:tcPr>
                  <w:tcW w:w="1406" w:type="dxa"/>
                  <w:noWrap w:val="0"/>
                  <w:vAlign w:val="center"/>
                </w:tcPr>
                <w:p>
                  <w:pPr>
                    <w:jc w:val="center"/>
                    <w:rPr>
                      <w:rFonts w:hint="default" w:ascii="Times New Roman" w:hAnsi="Times New Roman" w:cs="Times New Roman"/>
                      <w:color w:val="auto"/>
                      <w:sz w:val="21"/>
                      <w:szCs w:val="21"/>
                      <w:highlight w:val="none"/>
                    </w:rPr>
                  </w:pPr>
                  <w:r>
                    <w:rPr>
                      <w:rFonts w:hint="eastAsia"/>
                      <w:color w:val="auto"/>
                      <w:highlight w:val="none"/>
                      <w:lang w:val="en-US" w:eastAsia="zh-CN"/>
                    </w:rPr>
                    <w:t>7</w:t>
                  </w:r>
                  <w:r>
                    <w:rPr>
                      <w:rFonts w:hint="eastAsia"/>
                      <w:color w:val="auto"/>
                      <w:highlight w:val="none"/>
                    </w:rPr>
                    <w:t>0~90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8</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布袋除尘器</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06" w:type="dxa"/>
                  <w:noWrap w:val="0"/>
                  <w:vAlign w:val="center"/>
                </w:tcPr>
                <w:p>
                  <w:pPr>
                    <w:jc w:val="center"/>
                    <w:rPr>
                      <w:rFonts w:hint="default" w:ascii="Times New Roman" w:hAnsi="Times New Roman" w:cs="Times New Roman"/>
                      <w:color w:val="auto"/>
                      <w:sz w:val="21"/>
                      <w:szCs w:val="21"/>
                      <w:highlight w:val="none"/>
                    </w:rPr>
                  </w:pPr>
                  <w:r>
                    <w:rPr>
                      <w:rFonts w:hint="eastAsia"/>
                      <w:color w:val="auto"/>
                      <w:highlight w:val="none"/>
                      <w:lang w:val="en-US" w:eastAsia="zh-CN"/>
                    </w:rPr>
                    <w:t>6</w:t>
                  </w:r>
                  <w:r>
                    <w:rPr>
                      <w:rFonts w:hint="eastAsia"/>
                      <w:color w:val="auto"/>
                      <w:highlight w:val="none"/>
                    </w:rPr>
                    <w:t>0~8</w:t>
                  </w:r>
                  <w:r>
                    <w:rPr>
                      <w:rFonts w:hint="eastAsia"/>
                      <w:color w:val="auto"/>
                      <w:highlight w:val="none"/>
                      <w:lang w:val="en-US" w:eastAsia="zh-CN"/>
                    </w:rPr>
                    <w:t>5</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76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1688"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风机</w:t>
                  </w:r>
                </w:p>
              </w:tc>
              <w:tc>
                <w:tcPr>
                  <w:tcW w:w="1323"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406" w:type="dxa"/>
                  <w:noWrap w:val="0"/>
                  <w:vAlign w:val="top"/>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70~90</w:t>
                  </w:r>
                </w:p>
              </w:tc>
              <w:tc>
                <w:tcPr>
                  <w:tcW w:w="1406"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隔声、减震</w:t>
                  </w:r>
                </w:p>
              </w:tc>
              <w:tc>
                <w:tcPr>
                  <w:tcW w:w="1407"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本项目运营过程中产生的噪声主要来源于各生产设备运行时的噪声，其采取降噪后1m处噪声值约为60~85dB(A)。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eastAsia"/>
                <w:color w:val="auto"/>
                <w:sz w:val="24"/>
                <w:szCs w:val="32"/>
                <w:highlight w:val="none"/>
                <w:lang w:val="en-US" w:eastAsia="zh-CN"/>
              </w:rPr>
              <w:t>（2）厂界噪声预测分析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default"/>
                <w:color w:val="auto"/>
                <w:sz w:val="24"/>
                <w:szCs w:val="32"/>
                <w:highlight w:val="none"/>
                <w:lang w:val="en-US" w:eastAsia="zh-CN"/>
              </w:rPr>
              <w:t>按照《环境影响评价技术导则</w:t>
            </w:r>
            <w:r>
              <w:rPr>
                <w:rFonts w:hint="eastAsia"/>
                <w:color w:val="auto"/>
                <w:sz w:val="24"/>
                <w:szCs w:val="32"/>
                <w:highlight w:val="none"/>
                <w:lang w:val="en-US" w:eastAsia="zh-CN"/>
              </w:rPr>
              <w:t xml:space="preserve"> </w:t>
            </w:r>
            <w:r>
              <w:rPr>
                <w:rFonts w:hint="default"/>
                <w:color w:val="auto"/>
                <w:sz w:val="24"/>
                <w:szCs w:val="32"/>
                <w:highlight w:val="none"/>
                <w:lang w:val="en-US" w:eastAsia="zh-CN"/>
              </w:rPr>
              <w:t>声环境》（HJ 2.4-20</w:t>
            </w:r>
            <w:r>
              <w:rPr>
                <w:rFonts w:hint="eastAsia"/>
                <w:color w:val="auto"/>
                <w:sz w:val="24"/>
                <w:szCs w:val="32"/>
                <w:highlight w:val="none"/>
                <w:lang w:val="en-US" w:eastAsia="zh-CN"/>
              </w:rPr>
              <w:t>21</w:t>
            </w:r>
            <w:r>
              <w:rPr>
                <w:rFonts w:hint="default"/>
                <w:color w:val="auto"/>
                <w:sz w:val="24"/>
                <w:szCs w:val="32"/>
                <w:highlight w:val="none"/>
                <w:lang w:val="en-US" w:eastAsia="zh-CN"/>
              </w:rPr>
              <w:t>）中推荐的模式进行预测计算，具体预测模式如下：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本评价选择点声源预测模式预测项目主要声源排放噪声随距离的衰减变化规律。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1）对室外噪声源主要考虑噪声的几何发散衰减：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highlight w:val="none"/>
                <w:lang w:val="en-US" w:eastAsia="zh-CN"/>
              </w:rPr>
            </w:pPr>
            <w:r>
              <w:rPr>
                <w:color w:val="auto"/>
                <w:highlight w:val="none"/>
              </w:rPr>
              <w:drawing>
                <wp:inline distT="0" distB="0" distL="114300" distR="114300">
                  <wp:extent cx="1593215" cy="38417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3"/>
                          <a:srcRect t="21274" b="14967"/>
                          <a:stretch>
                            <a:fillRect/>
                          </a:stretch>
                        </pic:blipFill>
                        <pic:spPr>
                          <a:xfrm>
                            <a:off x="0" y="0"/>
                            <a:ext cx="1593215" cy="384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式中，Lp(r)为点声源在预测点产生的倍频带声压级，dB；Lp(r0)为声源在参考点产生的倍频带声压级，dB；r 为预测点距声源距离，m；r0为参考位置距声源距离，m。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2）对室内噪声源采用室内声源噪声模式并换算成等效的室外声源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室内靠近围护结构处的倍频带声压级计算公式为：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32"/>
                <w:highlight w:val="none"/>
                <w:lang w:val="en-US" w:eastAsia="zh-CN"/>
              </w:rPr>
            </w:pPr>
            <w:r>
              <w:rPr>
                <w:color w:val="auto"/>
                <w:highlight w:val="none"/>
              </w:rPr>
              <w:drawing>
                <wp:inline distT="0" distB="0" distL="114300" distR="114300">
                  <wp:extent cx="1609090" cy="361315"/>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4"/>
                          <a:srcRect t="8208"/>
                          <a:stretch>
                            <a:fillRect/>
                          </a:stretch>
                        </pic:blipFill>
                        <pic:spPr>
                          <a:xfrm>
                            <a:off x="0" y="0"/>
                            <a:ext cx="1609090" cy="361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在室内近似为扩散声场时，将室内倍频带声压级换算成室外靠近围护结构处的倍频带声压级，计算公式：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32"/>
                <w:highlight w:val="none"/>
                <w:lang w:val="en-US" w:eastAsia="zh-CN"/>
              </w:rPr>
            </w:pPr>
            <w:r>
              <w:rPr>
                <w:color w:val="auto"/>
                <w:highlight w:val="none"/>
              </w:rPr>
              <w:drawing>
                <wp:inline distT="0" distB="0" distL="114300" distR="114300">
                  <wp:extent cx="1335405" cy="225425"/>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5"/>
                          <a:srcRect t="18518" b="16203"/>
                          <a:stretch>
                            <a:fillRect/>
                          </a:stretch>
                        </pic:blipFill>
                        <pic:spPr>
                          <a:xfrm>
                            <a:off x="0" y="0"/>
                            <a:ext cx="1335405" cy="2254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将室外声源的声压级和透过面积换算成等效的室外声源，计算出中心位置位于透声面积（S）处的等效声源的倍频带声功率级，计算公式：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32"/>
                <w:highlight w:val="none"/>
                <w:lang w:val="en-US" w:eastAsia="zh-CN"/>
              </w:rPr>
            </w:pPr>
            <w:r>
              <w:rPr>
                <w:color w:val="auto"/>
                <w:highlight w:val="none"/>
              </w:rPr>
              <w:drawing>
                <wp:inline distT="0" distB="0" distL="114300" distR="114300">
                  <wp:extent cx="1454785" cy="260985"/>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6"/>
                          <a:stretch>
                            <a:fillRect/>
                          </a:stretch>
                        </pic:blipFill>
                        <pic:spPr>
                          <a:xfrm>
                            <a:off x="0" y="0"/>
                            <a:ext cx="1454785" cy="260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上述式中，r 为声源与室内靠近围护结构处的距离；r1为参考点距声源的距离；R为房间常数，R=Sa/(1-a)，S为房间内表面面积，a为平均吸声系数；Q为方向性因子，当声源放在房间中心时，Q=1，当放在一面墙的中心时，Q=2，当放在两面墙的夹角处时，Q=4，当放在三面墙夹角处时，Q=8；TL为围护结构的隔声量，车间及围墙的隔声量一般采用10~20dB（A）；S为透声面积（m</w:t>
            </w:r>
            <w:r>
              <w:rPr>
                <w:rFonts w:hint="eastAsia" w:ascii="Times New Roman" w:hAnsi="Times New Roman" w:eastAsia="宋体" w:cs="Times New Roman"/>
                <w:color w:val="auto"/>
                <w:sz w:val="24"/>
                <w:szCs w:val="32"/>
                <w:highlight w:val="none"/>
                <w:vertAlign w:val="superscript"/>
                <w:lang w:val="en-US" w:eastAsia="zh-CN"/>
              </w:rPr>
              <w:t>2</w:t>
            </w:r>
            <w:r>
              <w:rPr>
                <w:rFonts w:hint="eastAsia" w:ascii="Times New Roman" w:hAnsi="Times New Roman" w:eastAsia="宋体" w:cs="Times New Roman"/>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3）由建设项目自身声源在预测点产生的声级。噪声贡献值（Leqg）计算公式为：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32"/>
                <w:highlight w:val="none"/>
                <w:lang w:val="en-US" w:eastAsia="zh-CN"/>
              </w:rPr>
            </w:pPr>
            <w:r>
              <w:rPr>
                <w:color w:val="auto"/>
                <w:highlight w:val="none"/>
              </w:rPr>
              <w:drawing>
                <wp:inline distT="0" distB="0" distL="114300" distR="114300">
                  <wp:extent cx="1867535" cy="536575"/>
                  <wp:effectExtent l="0" t="0" r="0"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7"/>
                          <a:stretch>
                            <a:fillRect/>
                          </a:stretch>
                        </pic:blipFill>
                        <pic:spPr>
                          <a:xfrm>
                            <a:off x="0" y="0"/>
                            <a:ext cx="1867535" cy="5365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式中：Leqg-噪声贡献值，dB；T-预测计算的时间段，s；ti-i 声源在 T 时段内的运行时间，s；LAi--i 声源在预测点产生的等效连续 A 声级，dB。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4）预测内容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u w:val="single"/>
                <w:lang w:val="en-US" w:eastAsia="zh-CN"/>
              </w:rPr>
            </w:pPr>
            <w:r>
              <w:rPr>
                <w:rFonts w:hint="eastAsia" w:ascii="Times New Roman" w:hAnsi="Times New Roman" w:eastAsia="宋体" w:cs="Times New Roman"/>
                <w:color w:val="auto"/>
                <w:sz w:val="24"/>
                <w:szCs w:val="32"/>
                <w:highlight w:val="none"/>
                <w:lang w:val="en-US" w:eastAsia="zh-CN"/>
              </w:rPr>
              <w:t>本项目仅昼间营运，本评价仅考虑噪声源对昼间环境的影响，考虑在采取噪声污染防治措施情况下，项目噪声源同时产生噪声对建设项目厂界的影响。</w:t>
            </w:r>
          </w:p>
          <w:p>
            <w:pPr>
              <w:spacing w:line="360" w:lineRule="auto"/>
              <w:jc w:val="center"/>
              <w:rPr>
                <w:rFonts w:hint="eastAsia" w:ascii="Times New Roman" w:hAnsi="Times New Roman" w:eastAsia="宋体" w:cs="Times New Roman"/>
                <w:b/>
                <w:bCs/>
                <w:color w:val="auto"/>
                <w:sz w:val="24"/>
                <w:szCs w:val="32"/>
                <w:highlight w:val="none"/>
                <w:u w:val="single"/>
              </w:rPr>
            </w:pPr>
            <w:r>
              <w:rPr>
                <w:rFonts w:hint="eastAsia" w:ascii="Times New Roman" w:hAnsi="Times New Roman" w:eastAsia="宋体" w:cs="Times New Roman"/>
                <w:b/>
                <w:bCs/>
                <w:color w:val="auto"/>
                <w:sz w:val="24"/>
                <w:szCs w:val="32"/>
                <w:highlight w:val="none"/>
                <w:u w:val="single"/>
              </w:rPr>
              <w:t>表4-</w:t>
            </w:r>
            <w:r>
              <w:rPr>
                <w:rFonts w:hint="eastAsia" w:ascii="Times New Roman" w:hAnsi="Times New Roman" w:eastAsia="宋体" w:cs="Times New Roman"/>
                <w:b/>
                <w:bCs/>
                <w:color w:val="auto"/>
                <w:sz w:val="24"/>
                <w:szCs w:val="32"/>
                <w:highlight w:val="none"/>
                <w:u w:val="single"/>
                <w:lang w:val="en-US" w:eastAsia="zh-CN"/>
              </w:rPr>
              <w:t>10</w:t>
            </w:r>
            <w:r>
              <w:rPr>
                <w:rFonts w:hint="eastAsia" w:ascii="Times New Roman" w:hAnsi="Times New Roman" w:eastAsia="宋体" w:cs="Times New Roman"/>
                <w:b/>
                <w:bCs/>
                <w:color w:val="auto"/>
                <w:sz w:val="24"/>
                <w:szCs w:val="32"/>
                <w:highlight w:val="none"/>
                <w:u w:val="single"/>
              </w:rPr>
              <w:t xml:space="preserve"> 厂界噪声对周边环境的影响预测   单位：dB(A)</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670"/>
              <w:gridCol w:w="665"/>
              <w:gridCol w:w="988"/>
              <w:gridCol w:w="672"/>
              <w:gridCol w:w="897"/>
              <w:gridCol w:w="769"/>
              <w:gridCol w:w="860"/>
              <w:gridCol w:w="521"/>
              <w:gridCol w:w="1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64" w:type="pct"/>
                  <w:vMerge w:val="restart"/>
                  <w:noWrap w:val="0"/>
                  <w:vAlign w:val="center"/>
                </w:tcPr>
                <w:p>
                  <w:pPr>
                    <w:pStyle w:val="75"/>
                    <w:rPr>
                      <w:color w:val="auto"/>
                      <w:highlight w:val="none"/>
                      <w:u w:val="single"/>
                    </w:rPr>
                  </w:pPr>
                  <w:r>
                    <w:rPr>
                      <w:color w:val="auto"/>
                      <w:highlight w:val="none"/>
                      <w:u w:val="single"/>
                    </w:rPr>
                    <w:t>噪声</w:t>
                  </w:r>
                </w:p>
                <w:p>
                  <w:pPr>
                    <w:pStyle w:val="75"/>
                    <w:rPr>
                      <w:color w:val="auto"/>
                      <w:highlight w:val="none"/>
                      <w:u w:val="single"/>
                    </w:rPr>
                  </w:pPr>
                  <w:r>
                    <w:rPr>
                      <w:color w:val="auto"/>
                      <w:highlight w:val="none"/>
                      <w:u w:val="single"/>
                    </w:rPr>
                    <w:t>源</w:t>
                  </w:r>
                </w:p>
              </w:tc>
              <w:tc>
                <w:tcPr>
                  <w:tcW w:w="419" w:type="pct"/>
                  <w:vMerge w:val="restart"/>
                  <w:noWrap w:val="0"/>
                  <w:vAlign w:val="center"/>
                </w:tcPr>
                <w:p>
                  <w:pPr>
                    <w:pStyle w:val="75"/>
                    <w:rPr>
                      <w:color w:val="auto"/>
                      <w:highlight w:val="none"/>
                      <w:u w:val="single"/>
                    </w:rPr>
                  </w:pPr>
                  <w:r>
                    <w:rPr>
                      <w:color w:val="auto"/>
                      <w:highlight w:val="none"/>
                      <w:u w:val="single"/>
                    </w:rPr>
                    <w:t>声源强度</w:t>
                  </w:r>
                </w:p>
              </w:tc>
              <w:tc>
                <w:tcPr>
                  <w:tcW w:w="1034" w:type="pct"/>
                  <w:gridSpan w:val="2"/>
                  <w:noWrap w:val="0"/>
                  <w:vAlign w:val="center"/>
                </w:tcPr>
                <w:p>
                  <w:pPr>
                    <w:pStyle w:val="75"/>
                    <w:rPr>
                      <w:color w:val="auto"/>
                      <w:highlight w:val="none"/>
                      <w:u w:val="single"/>
                    </w:rPr>
                  </w:pPr>
                  <w:r>
                    <w:rPr>
                      <w:color w:val="auto"/>
                      <w:highlight w:val="none"/>
                      <w:u w:val="single"/>
                    </w:rPr>
                    <w:t>东厂界</w:t>
                  </w:r>
                </w:p>
              </w:tc>
              <w:tc>
                <w:tcPr>
                  <w:tcW w:w="981" w:type="pct"/>
                  <w:gridSpan w:val="2"/>
                  <w:noWrap w:val="0"/>
                  <w:vAlign w:val="center"/>
                </w:tcPr>
                <w:p>
                  <w:pPr>
                    <w:pStyle w:val="75"/>
                    <w:rPr>
                      <w:color w:val="auto"/>
                      <w:highlight w:val="none"/>
                      <w:u w:val="single"/>
                    </w:rPr>
                  </w:pPr>
                  <w:r>
                    <w:rPr>
                      <w:color w:val="auto"/>
                      <w:highlight w:val="none"/>
                      <w:u w:val="single"/>
                    </w:rPr>
                    <w:t>南厂界</w:t>
                  </w:r>
                </w:p>
              </w:tc>
              <w:tc>
                <w:tcPr>
                  <w:tcW w:w="1019" w:type="pct"/>
                  <w:gridSpan w:val="2"/>
                  <w:noWrap w:val="0"/>
                  <w:vAlign w:val="center"/>
                </w:tcPr>
                <w:p>
                  <w:pPr>
                    <w:pStyle w:val="75"/>
                    <w:rPr>
                      <w:color w:val="auto"/>
                      <w:highlight w:val="none"/>
                      <w:u w:val="single"/>
                    </w:rPr>
                  </w:pPr>
                  <w:r>
                    <w:rPr>
                      <w:color w:val="auto"/>
                      <w:highlight w:val="none"/>
                      <w:u w:val="single"/>
                    </w:rPr>
                    <w:t>西厂界</w:t>
                  </w:r>
                </w:p>
              </w:tc>
              <w:tc>
                <w:tcPr>
                  <w:tcW w:w="980" w:type="pct"/>
                  <w:gridSpan w:val="2"/>
                  <w:noWrap w:val="0"/>
                  <w:vAlign w:val="center"/>
                </w:tcPr>
                <w:p>
                  <w:pPr>
                    <w:pStyle w:val="75"/>
                    <w:rPr>
                      <w:color w:val="auto"/>
                      <w:highlight w:val="none"/>
                      <w:u w:val="single"/>
                    </w:rPr>
                  </w:pPr>
                  <w:r>
                    <w:rPr>
                      <w:color w:val="auto"/>
                      <w:highlight w:val="none"/>
                      <w:u w:val="single"/>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64" w:type="pct"/>
                  <w:vMerge w:val="continue"/>
                  <w:noWrap w:val="0"/>
                  <w:vAlign w:val="center"/>
                </w:tcPr>
                <w:p>
                  <w:pPr>
                    <w:pStyle w:val="75"/>
                    <w:rPr>
                      <w:color w:val="auto"/>
                      <w:highlight w:val="none"/>
                      <w:u w:val="single"/>
                    </w:rPr>
                  </w:pPr>
                </w:p>
              </w:tc>
              <w:tc>
                <w:tcPr>
                  <w:tcW w:w="419" w:type="pct"/>
                  <w:vMerge w:val="continue"/>
                  <w:noWrap w:val="0"/>
                  <w:vAlign w:val="center"/>
                </w:tcPr>
                <w:p>
                  <w:pPr>
                    <w:pStyle w:val="75"/>
                    <w:rPr>
                      <w:color w:val="auto"/>
                      <w:highlight w:val="none"/>
                      <w:u w:val="single"/>
                    </w:rPr>
                  </w:pPr>
                </w:p>
              </w:tc>
              <w:tc>
                <w:tcPr>
                  <w:tcW w:w="416" w:type="pct"/>
                  <w:noWrap w:val="0"/>
                  <w:vAlign w:val="center"/>
                </w:tcPr>
                <w:p>
                  <w:pPr>
                    <w:pStyle w:val="75"/>
                    <w:rPr>
                      <w:color w:val="auto"/>
                      <w:highlight w:val="none"/>
                      <w:u w:val="single"/>
                    </w:rPr>
                  </w:pPr>
                  <w:r>
                    <w:rPr>
                      <w:color w:val="auto"/>
                      <w:highlight w:val="none"/>
                      <w:u w:val="single"/>
                    </w:rPr>
                    <w:t>距离</w:t>
                  </w:r>
                </w:p>
                <w:p>
                  <w:pPr>
                    <w:pStyle w:val="75"/>
                    <w:rPr>
                      <w:color w:val="auto"/>
                      <w:highlight w:val="none"/>
                      <w:u w:val="single"/>
                    </w:rPr>
                  </w:pPr>
                  <w:r>
                    <w:rPr>
                      <w:color w:val="auto"/>
                      <w:highlight w:val="none"/>
                      <w:u w:val="single"/>
                    </w:rPr>
                    <w:t>m</w:t>
                  </w:r>
                </w:p>
              </w:tc>
              <w:tc>
                <w:tcPr>
                  <w:tcW w:w="618" w:type="pct"/>
                  <w:noWrap w:val="0"/>
                  <w:vAlign w:val="center"/>
                </w:tcPr>
                <w:p>
                  <w:pPr>
                    <w:pStyle w:val="75"/>
                    <w:rPr>
                      <w:color w:val="auto"/>
                      <w:highlight w:val="none"/>
                      <w:u w:val="single"/>
                    </w:rPr>
                  </w:pPr>
                  <w:r>
                    <w:rPr>
                      <w:color w:val="auto"/>
                      <w:highlight w:val="none"/>
                      <w:u w:val="single"/>
                    </w:rPr>
                    <w:t>贡献值dB（A）</w:t>
                  </w:r>
                </w:p>
              </w:tc>
              <w:tc>
                <w:tcPr>
                  <w:tcW w:w="420" w:type="pct"/>
                  <w:noWrap w:val="0"/>
                  <w:vAlign w:val="center"/>
                </w:tcPr>
                <w:p>
                  <w:pPr>
                    <w:pStyle w:val="75"/>
                    <w:rPr>
                      <w:color w:val="auto"/>
                      <w:highlight w:val="none"/>
                      <w:u w:val="single"/>
                    </w:rPr>
                  </w:pPr>
                  <w:r>
                    <w:rPr>
                      <w:color w:val="auto"/>
                      <w:highlight w:val="none"/>
                      <w:u w:val="single"/>
                    </w:rPr>
                    <w:t>距离</w:t>
                  </w:r>
                </w:p>
                <w:p>
                  <w:pPr>
                    <w:pStyle w:val="75"/>
                    <w:rPr>
                      <w:color w:val="auto"/>
                      <w:highlight w:val="none"/>
                      <w:u w:val="single"/>
                    </w:rPr>
                  </w:pPr>
                  <w:r>
                    <w:rPr>
                      <w:color w:val="auto"/>
                      <w:highlight w:val="none"/>
                      <w:u w:val="single"/>
                    </w:rPr>
                    <w:t>m</w:t>
                  </w:r>
                </w:p>
              </w:tc>
              <w:tc>
                <w:tcPr>
                  <w:tcW w:w="560" w:type="pct"/>
                  <w:noWrap w:val="0"/>
                  <w:vAlign w:val="center"/>
                </w:tcPr>
                <w:p>
                  <w:pPr>
                    <w:pStyle w:val="75"/>
                    <w:rPr>
                      <w:color w:val="auto"/>
                      <w:highlight w:val="none"/>
                      <w:u w:val="single"/>
                    </w:rPr>
                  </w:pPr>
                  <w:r>
                    <w:rPr>
                      <w:color w:val="auto"/>
                      <w:highlight w:val="none"/>
                      <w:u w:val="single"/>
                    </w:rPr>
                    <w:t>贡献值dB（A）</w:t>
                  </w:r>
                </w:p>
              </w:tc>
              <w:tc>
                <w:tcPr>
                  <w:tcW w:w="481" w:type="pct"/>
                  <w:noWrap w:val="0"/>
                  <w:vAlign w:val="center"/>
                </w:tcPr>
                <w:p>
                  <w:pPr>
                    <w:pStyle w:val="75"/>
                    <w:rPr>
                      <w:color w:val="auto"/>
                      <w:highlight w:val="none"/>
                      <w:u w:val="single"/>
                    </w:rPr>
                  </w:pPr>
                  <w:r>
                    <w:rPr>
                      <w:color w:val="auto"/>
                      <w:highlight w:val="none"/>
                      <w:u w:val="single"/>
                    </w:rPr>
                    <w:t>距离m</w:t>
                  </w:r>
                </w:p>
              </w:tc>
              <w:tc>
                <w:tcPr>
                  <w:tcW w:w="538" w:type="pct"/>
                  <w:noWrap w:val="0"/>
                  <w:vAlign w:val="center"/>
                </w:tcPr>
                <w:p>
                  <w:pPr>
                    <w:pStyle w:val="75"/>
                    <w:rPr>
                      <w:color w:val="auto"/>
                      <w:highlight w:val="none"/>
                      <w:u w:val="single"/>
                    </w:rPr>
                  </w:pPr>
                  <w:r>
                    <w:rPr>
                      <w:color w:val="auto"/>
                      <w:highlight w:val="none"/>
                      <w:u w:val="single"/>
                    </w:rPr>
                    <w:t>贡献值dB（A）</w:t>
                  </w:r>
                </w:p>
              </w:tc>
              <w:tc>
                <w:tcPr>
                  <w:tcW w:w="326" w:type="pct"/>
                  <w:noWrap w:val="0"/>
                  <w:vAlign w:val="center"/>
                </w:tcPr>
                <w:p>
                  <w:pPr>
                    <w:pStyle w:val="75"/>
                    <w:rPr>
                      <w:color w:val="auto"/>
                      <w:highlight w:val="none"/>
                      <w:u w:val="single"/>
                    </w:rPr>
                  </w:pPr>
                  <w:r>
                    <w:rPr>
                      <w:color w:val="auto"/>
                      <w:highlight w:val="none"/>
                      <w:u w:val="single"/>
                    </w:rPr>
                    <w:t>距离m</w:t>
                  </w:r>
                </w:p>
              </w:tc>
              <w:tc>
                <w:tcPr>
                  <w:tcW w:w="653" w:type="pct"/>
                  <w:noWrap w:val="0"/>
                  <w:vAlign w:val="center"/>
                </w:tcPr>
                <w:p>
                  <w:pPr>
                    <w:pStyle w:val="75"/>
                    <w:rPr>
                      <w:color w:val="auto"/>
                      <w:highlight w:val="none"/>
                      <w:u w:val="single"/>
                    </w:rPr>
                  </w:pPr>
                  <w:r>
                    <w:rPr>
                      <w:color w:val="auto"/>
                      <w:highlight w:val="none"/>
                      <w:u w:val="single"/>
                    </w:rPr>
                    <w:t>贡献值dB（A）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64" w:type="pct"/>
                  <w:noWrap w:val="0"/>
                  <w:vAlign w:val="center"/>
                </w:tcPr>
                <w:p>
                  <w:pPr>
                    <w:pStyle w:val="75"/>
                    <w:rPr>
                      <w:color w:val="auto"/>
                      <w:highlight w:val="none"/>
                      <w:u w:val="single"/>
                    </w:rPr>
                  </w:pPr>
                  <w:r>
                    <w:rPr>
                      <w:color w:val="auto"/>
                      <w:highlight w:val="none"/>
                      <w:u w:val="single"/>
                    </w:rPr>
                    <w:t>生产区</w:t>
                  </w:r>
                </w:p>
              </w:tc>
              <w:tc>
                <w:tcPr>
                  <w:tcW w:w="419" w:type="pct"/>
                  <w:noWrap w:val="0"/>
                  <w:vAlign w:val="center"/>
                </w:tcPr>
                <w:p>
                  <w:pPr>
                    <w:pStyle w:val="75"/>
                    <w:rPr>
                      <w:rFonts w:hint="eastAsia" w:eastAsia="宋体"/>
                      <w:color w:val="auto"/>
                      <w:highlight w:val="none"/>
                      <w:u w:val="single"/>
                      <w:lang w:eastAsia="zh-CN"/>
                    </w:rPr>
                  </w:pPr>
                  <w:r>
                    <w:rPr>
                      <w:rFonts w:hint="eastAsia"/>
                      <w:color w:val="auto"/>
                      <w:highlight w:val="none"/>
                      <w:u w:val="single"/>
                      <w:lang w:val="en-US" w:eastAsia="zh-CN"/>
                    </w:rPr>
                    <w:t>65</w:t>
                  </w:r>
                  <w:r>
                    <w:rPr>
                      <w:color w:val="auto"/>
                      <w:highlight w:val="none"/>
                      <w:u w:val="single"/>
                    </w:rPr>
                    <w:t>.</w:t>
                  </w:r>
                  <w:r>
                    <w:rPr>
                      <w:rFonts w:hint="eastAsia"/>
                      <w:color w:val="auto"/>
                      <w:highlight w:val="none"/>
                      <w:u w:val="single"/>
                      <w:lang w:val="en-US" w:eastAsia="zh-CN"/>
                    </w:rPr>
                    <w:t>5</w:t>
                  </w:r>
                </w:p>
              </w:tc>
              <w:tc>
                <w:tcPr>
                  <w:tcW w:w="416" w:type="pct"/>
                  <w:noWrap w:val="0"/>
                  <w:vAlign w:val="center"/>
                </w:tcPr>
                <w:p>
                  <w:pPr>
                    <w:pStyle w:val="75"/>
                    <w:rPr>
                      <w:color w:val="auto"/>
                      <w:highlight w:val="none"/>
                      <w:u w:val="single"/>
                    </w:rPr>
                  </w:pPr>
                  <w:r>
                    <w:rPr>
                      <w:color w:val="auto"/>
                      <w:highlight w:val="none"/>
                      <w:u w:val="single"/>
                    </w:rPr>
                    <w:t>10</w:t>
                  </w:r>
                </w:p>
              </w:tc>
              <w:tc>
                <w:tcPr>
                  <w:tcW w:w="618" w:type="pct"/>
                  <w:noWrap w:val="0"/>
                  <w:vAlign w:val="center"/>
                </w:tcPr>
                <w:p>
                  <w:pPr>
                    <w:pStyle w:val="75"/>
                    <w:rPr>
                      <w:rFonts w:hint="default" w:eastAsia="宋体"/>
                      <w:color w:val="auto"/>
                      <w:highlight w:val="none"/>
                      <w:u w:val="single"/>
                      <w:lang w:val="en-US" w:eastAsia="zh-CN"/>
                    </w:rPr>
                  </w:pPr>
                  <w:r>
                    <w:rPr>
                      <w:rFonts w:hint="eastAsia"/>
                      <w:color w:val="auto"/>
                      <w:highlight w:val="none"/>
                      <w:u w:val="single"/>
                      <w:lang w:val="en-US" w:eastAsia="zh-CN"/>
                    </w:rPr>
                    <w:t>45.5</w:t>
                  </w:r>
                </w:p>
              </w:tc>
              <w:tc>
                <w:tcPr>
                  <w:tcW w:w="420" w:type="pct"/>
                  <w:noWrap w:val="0"/>
                  <w:vAlign w:val="center"/>
                </w:tcPr>
                <w:p>
                  <w:pPr>
                    <w:pStyle w:val="75"/>
                    <w:rPr>
                      <w:rFonts w:hint="default" w:eastAsia="宋体"/>
                      <w:color w:val="auto"/>
                      <w:highlight w:val="none"/>
                      <w:u w:val="single"/>
                      <w:lang w:val="en-US" w:eastAsia="zh-CN"/>
                    </w:rPr>
                  </w:pPr>
                  <w:r>
                    <w:rPr>
                      <w:rFonts w:hint="eastAsia"/>
                      <w:color w:val="auto"/>
                      <w:highlight w:val="none"/>
                      <w:u w:val="single"/>
                      <w:lang w:val="en-US" w:eastAsia="zh-CN"/>
                    </w:rPr>
                    <w:t>20</w:t>
                  </w:r>
                </w:p>
              </w:tc>
              <w:tc>
                <w:tcPr>
                  <w:tcW w:w="560" w:type="pct"/>
                  <w:noWrap w:val="0"/>
                  <w:vAlign w:val="center"/>
                </w:tcPr>
                <w:p>
                  <w:pPr>
                    <w:pStyle w:val="75"/>
                    <w:rPr>
                      <w:rFonts w:hint="default" w:eastAsia="宋体"/>
                      <w:color w:val="auto"/>
                      <w:highlight w:val="none"/>
                      <w:u w:val="single"/>
                      <w:lang w:val="en-US" w:eastAsia="zh-CN"/>
                    </w:rPr>
                  </w:pPr>
                  <w:r>
                    <w:rPr>
                      <w:rFonts w:hint="eastAsia"/>
                      <w:color w:val="auto"/>
                      <w:highlight w:val="none"/>
                      <w:u w:val="single"/>
                      <w:lang w:val="en-US" w:eastAsia="zh-CN"/>
                    </w:rPr>
                    <w:t>39.4</w:t>
                  </w:r>
                </w:p>
              </w:tc>
              <w:tc>
                <w:tcPr>
                  <w:tcW w:w="481" w:type="pct"/>
                  <w:noWrap w:val="0"/>
                  <w:vAlign w:val="center"/>
                </w:tcPr>
                <w:p>
                  <w:pPr>
                    <w:pStyle w:val="75"/>
                    <w:rPr>
                      <w:rFonts w:hint="default" w:eastAsia="宋体"/>
                      <w:color w:val="auto"/>
                      <w:highlight w:val="none"/>
                      <w:u w:val="single"/>
                      <w:lang w:val="en-US" w:eastAsia="zh-CN"/>
                    </w:rPr>
                  </w:pPr>
                  <w:r>
                    <w:rPr>
                      <w:rFonts w:hint="eastAsia"/>
                      <w:color w:val="auto"/>
                      <w:highlight w:val="none"/>
                      <w:u w:val="single"/>
                      <w:lang w:val="en-US" w:eastAsia="zh-CN"/>
                    </w:rPr>
                    <w:t>70</w:t>
                  </w:r>
                </w:p>
              </w:tc>
              <w:tc>
                <w:tcPr>
                  <w:tcW w:w="538" w:type="pct"/>
                  <w:noWrap w:val="0"/>
                  <w:vAlign w:val="center"/>
                </w:tcPr>
                <w:p>
                  <w:pPr>
                    <w:pStyle w:val="75"/>
                    <w:rPr>
                      <w:rFonts w:hint="default" w:eastAsia="宋体"/>
                      <w:color w:val="auto"/>
                      <w:highlight w:val="none"/>
                      <w:u w:val="single"/>
                      <w:lang w:val="en-US" w:eastAsia="zh-CN"/>
                    </w:rPr>
                  </w:pPr>
                  <w:r>
                    <w:rPr>
                      <w:rFonts w:hint="eastAsia"/>
                      <w:color w:val="auto"/>
                      <w:highlight w:val="none"/>
                      <w:u w:val="single"/>
                      <w:lang w:val="en-US" w:eastAsia="zh-CN"/>
                    </w:rPr>
                    <w:t>28.6</w:t>
                  </w:r>
                </w:p>
              </w:tc>
              <w:tc>
                <w:tcPr>
                  <w:tcW w:w="326" w:type="pct"/>
                  <w:noWrap w:val="0"/>
                  <w:vAlign w:val="center"/>
                </w:tcPr>
                <w:p>
                  <w:pPr>
                    <w:pStyle w:val="75"/>
                    <w:rPr>
                      <w:rFonts w:hint="default" w:eastAsia="宋体"/>
                      <w:color w:val="auto"/>
                      <w:highlight w:val="none"/>
                      <w:u w:val="single"/>
                      <w:lang w:val="en-US" w:eastAsia="zh-CN"/>
                    </w:rPr>
                  </w:pPr>
                  <w:r>
                    <w:rPr>
                      <w:rFonts w:hint="eastAsia"/>
                      <w:color w:val="auto"/>
                      <w:highlight w:val="none"/>
                      <w:u w:val="single"/>
                      <w:lang w:val="en-US" w:eastAsia="zh-CN"/>
                    </w:rPr>
                    <w:t>50</w:t>
                  </w:r>
                </w:p>
              </w:tc>
              <w:tc>
                <w:tcPr>
                  <w:tcW w:w="653" w:type="pct"/>
                  <w:noWrap w:val="0"/>
                  <w:vAlign w:val="center"/>
                </w:tcPr>
                <w:p>
                  <w:pPr>
                    <w:pStyle w:val="75"/>
                    <w:rPr>
                      <w:rFonts w:hint="default" w:eastAsia="宋体"/>
                      <w:color w:val="auto"/>
                      <w:highlight w:val="none"/>
                      <w:u w:val="single"/>
                      <w:lang w:val="en-US" w:eastAsia="zh-CN"/>
                    </w:rPr>
                  </w:pPr>
                  <w:r>
                    <w:rPr>
                      <w:rFonts w:hint="eastAsia"/>
                      <w:color w:val="auto"/>
                      <w:highlight w:val="none"/>
                      <w:u w:val="single"/>
                      <w:lang w:val="en-US" w:eastAsia="zh-CN"/>
                    </w:rPr>
                    <w:t>31.5</w:t>
                  </w:r>
                </w:p>
              </w:tc>
            </w:tr>
          </w:tbl>
          <w:p>
            <w:pPr>
              <w:spacing w:before="120" w:beforeLines="50" w:line="360" w:lineRule="auto"/>
              <w:ind w:firstLine="480" w:firstLineChars="200"/>
              <w:rPr>
                <w:b w:val="0"/>
                <w:bCs/>
                <w:color w:val="auto"/>
                <w:sz w:val="24"/>
                <w:highlight w:val="none"/>
                <w:u w:val="none"/>
              </w:rPr>
            </w:pPr>
            <w:r>
              <w:rPr>
                <w:rFonts w:hint="eastAsia"/>
                <w:b w:val="0"/>
                <w:bCs/>
                <w:color w:val="auto"/>
                <w:sz w:val="24"/>
                <w:highlight w:val="none"/>
                <w:u w:val="single"/>
              </w:rPr>
              <w:t>从上表可知，项目运营后噪声厂界贡献值较小，本项目建成运营期间，项目厂界昼间噪声贡献值满足《工业企业厂界环境噪声排放标准》（GB12348-2008）中2类标准（60dB（A））本项目夜间不进行生产。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color w:val="auto"/>
                <w:sz w:val="24"/>
                <w:highlight w:val="none"/>
              </w:rPr>
            </w:pPr>
            <w:r>
              <w:rPr>
                <w:rFonts w:hint="eastAsia"/>
                <w:b/>
                <w:color w:val="auto"/>
                <w:sz w:val="24"/>
                <w:highlight w:val="none"/>
                <w:lang w:val="en-US" w:eastAsia="zh-CN"/>
              </w:rPr>
              <w:t>3</w:t>
            </w:r>
            <w:r>
              <w:rPr>
                <w:rFonts w:hint="eastAsia"/>
                <w:b/>
                <w:color w:val="auto"/>
                <w:sz w:val="24"/>
                <w:highlight w:val="none"/>
              </w:rPr>
              <w:t>、防治措施和影响分析</w:t>
            </w:r>
          </w:p>
          <w:p>
            <w:pPr>
              <w:widowControl/>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为降低本项目的噪声影响，本项目采取的隔声降噪措施有：</w:t>
            </w:r>
          </w:p>
          <w:p>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项目在生产设备在选型上充分注意选择低噪声设备，并对生产设备做好隔声、吸声、减震等措施，例如采取基础减振，采用软接头等进行隔振处理，并注意设备的维护与清理，避免设备作业不正常时产生的高噪声对环境的影响。</w:t>
            </w:r>
          </w:p>
          <w:p>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根据本项目实际情况和设备产生的噪声值，对噪声较大的生产设备进行减振、隔音、密闭等综合治理措施。合理布局并进行必要的减振、消声、隔声等治理，经过治理后的生产设备噪声不会对周围环境造成影响。</w:t>
            </w:r>
          </w:p>
          <w:p>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（3）加强对作业人员的个体防护，如佩戴耳塞或减少作业时间等最大限度地降低噪声危害。</w:t>
            </w:r>
          </w:p>
          <w:p>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采用“闹静分开”和“合理布局”的设计原则，在厂区内布局设计时，应将噪声大的车间设置在厂中心，这样可阻挡主产噪区域的噪声传播，把车间的噪声影响限制在厂区范围内，降低噪声对外界的影响，确保厂界噪声符合标准要求。</w:t>
            </w:r>
          </w:p>
          <w:p>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（5）加强管理，严格控制经营时间，合理安排机械作业时间，最大限度避免项目噪声影响周边环境。</w:t>
            </w:r>
          </w:p>
          <w:p>
            <w:pPr>
              <w:spacing w:line="360" w:lineRule="auto"/>
              <w:ind w:firstLine="480" w:firstLineChars="200"/>
              <w:rPr>
                <w:rFonts w:hint="eastAsia"/>
                <w:color w:val="auto"/>
                <w:sz w:val="24"/>
                <w:szCs w:val="32"/>
                <w:highlight w:val="none"/>
                <w:u w:val="single"/>
              </w:rPr>
            </w:pPr>
            <w:r>
              <w:rPr>
                <w:rFonts w:hint="eastAsia" w:ascii="宋体" w:hAnsi="宋体" w:cs="宋体"/>
                <w:color w:val="auto"/>
                <w:kern w:val="0"/>
                <w:sz w:val="24"/>
                <w:highlight w:val="none"/>
                <w:u w:val="single"/>
                <w:lang w:bidi="ar"/>
              </w:rPr>
              <w:t>采取以上措施后，</w:t>
            </w:r>
            <w:r>
              <w:rPr>
                <w:rFonts w:hint="eastAsia" w:ascii="宋体" w:hAnsi="宋体" w:cs="宋体"/>
                <w:color w:val="auto"/>
                <w:kern w:val="0"/>
                <w:sz w:val="24"/>
                <w:highlight w:val="none"/>
                <w:u w:val="single"/>
                <w:lang w:val="en-US" w:eastAsia="zh-CN" w:bidi="ar"/>
              </w:rPr>
              <w:t>且项目</w:t>
            </w:r>
            <w:r>
              <w:rPr>
                <w:rFonts w:hint="eastAsia" w:ascii="Times New Roman" w:hAnsi="Times New Roman" w:eastAsia="宋体" w:cs="Times New Roman"/>
                <w:color w:val="auto"/>
                <w:kern w:val="0"/>
                <w:sz w:val="24"/>
                <w:highlight w:val="none"/>
                <w:u w:val="single"/>
                <w:lang w:val="en-US" w:eastAsia="zh-CN"/>
              </w:rPr>
              <w:t>厂址北侧为游港河，东侧紧邻为一筷子厂家，其余侧被山林地包围，周边200米范围内无居民，</w:t>
            </w:r>
            <w:r>
              <w:rPr>
                <w:rFonts w:hint="eastAsia" w:ascii="Times New Roman" w:hAnsi="Times New Roman" w:eastAsia="宋体" w:cs="Times New Roman"/>
                <w:color w:val="auto"/>
                <w:kern w:val="0"/>
                <w:sz w:val="24"/>
                <w:highlight w:val="none"/>
                <w:u w:val="single"/>
                <w:lang w:val="en-US" w:eastAsia="zh-CN"/>
              </w:rPr>
              <w:t>故本项目产生的噪声对周边环境影响较小</w:t>
            </w:r>
            <w:r>
              <w:rPr>
                <w:rFonts w:hint="eastAsia"/>
                <w:color w:val="auto"/>
                <w:sz w:val="24"/>
                <w:szCs w:val="32"/>
                <w:highlight w:val="none"/>
                <w:u w:val="single"/>
              </w:rPr>
              <w:t>。</w:t>
            </w:r>
          </w:p>
          <w:p>
            <w:pPr>
              <w:spacing w:line="360" w:lineRule="auto"/>
              <w:ind w:firstLine="482" w:firstLineChars="200"/>
              <w:rPr>
                <w:b/>
                <w:bCs/>
                <w:color w:val="auto"/>
                <w:sz w:val="24"/>
                <w:szCs w:val="32"/>
                <w:highlight w:val="none"/>
              </w:rPr>
            </w:pPr>
            <w:r>
              <w:rPr>
                <w:rFonts w:hint="eastAsia"/>
                <w:b/>
                <w:bCs/>
                <w:color w:val="auto"/>
                <w:sz w:val="24"/>
                <w:szCs w:val="32"/>
                <w:highlight w:val="none"/>
              </w:rPr>
              <w:t>四、固体废物影响分析和保护措施</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根据工艺流程分析及建设单位提供资料，项目运营期主要固体废物有：</w:t>
            </w:r>
            <w:r>
              <w:rPr>
                <w:rFonts w:hint="eastAsia"/>
                <w:color w:val="auto"/>
                <w:sz w:val="24"/>
                <w:szCs w:val="32"/>
                <w:highlight w:val="none"/>
                <w:lang w:val="en-US" w:eastAsia="zh-CN"/>
              </w:rPr>
              <w:t>除尘</w:t>
            </w:r>
            <w:r>
              <w:rPr>
                <w:rFonts w:hint="eastAsia"/>
                <w:color w:val="auto"/>
                <w:sz w:val="24"/>
                <w:szCs w:val="32"/>
                <w:highlight w:val="none"/>
              </w:rPr>
              <w:t>粉尘、</w:t>
            </w:r>
            <w:r>
              <w:rPr>
                <w:rFonts w:hint="eastAsia"/>
                <w:color w:val="auto"/>
                <w:sz w:val="24"/>
                <w:szCs w:val="32"/>
                <w:highlight w:val="none"/>
                <w:lang w:val="en-US" w:eastAsia="zh-CN"/>
              </w:rPr>
              <w:t>热风炉灰渣</w:t>
            </w:r>
            <w:r>
              <w:rPr>
                <w:rFonts w:hint="eastAsia"/>
                <w:color w:val="auto"/>
                <w:sz w:val="24"/>
                <w:szCs w:val="32"/>
                <w:highlight w:val="none"/>
                <w:lang w:eastAsia="zh-CN"/>
              </w:rPr>
              <w:t>、</w:t>
            </w:r>
            <w:r>
              <w:rPr>
                <w:rFonts w:hint="eastAsia"/>
                <w:color w:val="auto"/>
                <w:sz w:val="24"/>
                <w:szCs w:val="32"/>
                <w:highlight w:val="none"/>
              </w:rPr>
              <w:t>员工生活垃圾</w:t>
            </w:r>
            <w:r>
              <w:rPr>
                <w:rFonts w:hint="eastAsia"/>
                <w:color w:val="auto"/>
                <w:sz w:val="24"/>
                <w:szCs w:val="32"/>
                <w:highlight w:val="none"/>
                <w:lang w:val="en-US" w:eastAsia="zh-CN"/>
              </w:rPr>
              <w:t>等一般固废，以及废机油等危险废物</w:t>
            </w:r>
            <w:r>
              <w:rPr>
                <w:rFonts w:hint="eastAsia"/>
                <w:color w:val="auto"/>
                <w:sz w:val="24"/>
                <w:szCs w:val="32"/>
                <w:highlight w:val="none"/>
              </w:rPr>
              <w:t>。</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1、</w:t>
            </w:r>
            <w:r>
              <w:rPr>
                <w:rFonts w:hint="eastAsia"/>
                <w:color w:val="auto"/>
                <w:sz w:val="24"/>
                <w:szCs w:val="32"/>
                <w:highlight w:val="none"/>
                <w:lang w:val="en-US" w:eastAsia="zh-CN"/>
              </w:rPr>
              <w:t>除尘</w:t>
            </w:r>
            <w:r>
              <w:rPr>
                <w:rFonts w:hint="eastAsia"/>
                <w:color w:val="auto"/>
                <w:sz w:val="24"/>
                <w:szCs w:val="32"/>
                <w:highlight w:val="none"/>
              </w:rPr>
              <w:t>粉尘</w:t>
            </w:r>
          </w:p>
          <w:p>
            <w:pPr>
              <w:spacing w:line="360" w:lineRule="auto"/>
              <w:ind w:firstLine="480" w:firstLineChars="200"/>
              <w:rPr>
                <w:rFonts w:hint="eastAsia"/>
                <w:color w:val="auto"/>
                <w:sz w:val="24"/>
                <w:szCs w:val="32"/>
                <w:highlight w:val="none"/>
                <w:lang w:val="en-US" w:eastAsia="zh-CN"/>
              </w:rPr>
            </w:pPr>
            <w:r>
              <w:rPr>
                <w:rFonts w:hint="eastAsia"/>
                <w:color w:val="auto"/>
                <w:sz w:val="24"/>
                <w:szCs w:val="32"/>
                <w:highlight w:val="none"/>
                <w:lang w:val="en-US" w:eastAsia="zh-CN"/>
              </w:rPr>
              <w:t>项目</w:t>
            </w:r>
            <w:r>
              <w:rPr>
                <w:rFonts w:hint="eastAsia"/>
                <w:color w:val="auto"/>
                <w:sz w:val="24"/>
                <w:szCs w:val="32"/>
                <w:highlight w:val="none"/>
              </w:rPr>
              <w:t>除尘</w:t>
            </w:r>
            <w:r>
              <w:rPr>
                <w:rFonts w:hint="eastAsia"/>
                <w:color w:val="auto"/>
                <w:sz w:val="24"/>
                <w:szCs w:val="32"/>
                <w:highlight w:val="none"/>
                <w:lang w:val="en-US" w:eastAsia="zh-CN"/>
              </w:rPr>
              <w:t>装置</w:t>
            </w:r>
            <w:r>
              <w:rPr>
                <w:rFonts w:hint="eastAsia"/>
                <w:color w:val="auto"/>
                <w:sz w:val="24"/>
                <w:szCs w:val="32"/>
                <w:highlight w:val="none"/>
              </w:rPr>
              <w:t>在除尘过程会积聚较多粉尘，</w:t>
            </w:r>
            <w:r>
              <w:rPr>
                <w:rFonts w:hint="eastAsia"/>
                <w:color w:val="auto"/>
                <w:sz w:val="24"/>
                <w:szCs w:val="32"/>
                <w:highlight w:val="none"/>
                <w:lang w:val="en-US" w:eastAsia="zh-CN"/>
              </w:rPr>
              <w:t>根据废气源强计算可知，项目除尘装置收集的粉尘量为137.26/a，该部分粉尘收集后回用于制粒加工。</w:t>
            </w:r>
          </w:p>
          <w:p>
            <w:pPr>
              <w:spacing w:line="360" w:lineRule="auto"/>
              <w:ind w:firstLine="480" w:firstLineChars="200"/>
              <w:rPr>
                <w:rFonts w:hint="default" w:eastAsia="宋体"/>
                <w:color w:val="auto"/>
                <w:sz w:val="24"/>
                <w:szCs w:val="32"/>
                <w:highlight w:val="none"/>
                <w:lang w:val="en-US" w:eastAsia="zh-CN"/>
              </w:rPr>
            </w:pPr>
            <w:r>
              <w:rPr>
                <w:rFonts w:hint="eastAsia"/>
                <w:color w:val="auto"/>
                <w:sz w:val="24"/>
                <w:szCs w:val="32"/>
                <w:highlight w:val="none"/>
                <w:lang w:val="en-US" w:eastAsia="zh-CN"/>
              </w:rPr>
              <w:t>2、热风炉灰渣</w:t>
            </w:r>
          </w:p>
          <w:p>
            <w:pPr>
              <w:spacing w:line="360" w:lineRule="auto"/>
              <w:ind w:firstLine="480" w:firstLineChars="200"/>
              <w:rPr>
                <w:rFonts w:hint="default"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热风</w:t>
            </w:r>
            <w:r>
              <w:rPr>
                <w:rFonts w:hint="default" w:ascii="Times New Roman" w:hAnsi="Times New Roman" w:eastAsia="宋体" w:cs="Times New Roman"/>
                <w:color w:val="auto"/>
                <w:sz w:val="24"/>
                <w:szCs w:val="32"/>
                <w:highlight w:val="none"/>
                <w:lang w:val="en-US" w:eastAsia="zh-CN"/>
              </w:rPr>
              <w:t>炉使用生物质</w:t>
            </w:r>
            <w:r>
              <w:rPr>
                <w:rFonts w:hint="eastAsia" w:ascii="Times New Roman" w:hAnsi="Times New Roman" w:eastAsia="宋体" w:cs="Times New Roman"/>
                <w:color w:val="auto"/>
                <w:sz w:val="24"/>
                <w:szCs w:val="32"/>
                <w:highlight w:val="none"/>
                <w:lang w:val="en-US" w:eastAsia="zh-CN"/>
              </w:rPr>
              <w:t>颗粒</w:t>
            </w:r>
            <w:r>
              <w:rPr>
                <w:rFonts w:hint="default" w:ascii="Times New Roman" w:hAnsi="Times New Roman" w:eastAsia="宋体" w:cs="Times New Roman"/>
                <w:color w:val="auto"/>
                <w:sz w:val="24"/>
                <w:szCs w:val="32"/>
                <w:highlight w:val="none"/>
                <w:lang w:val="en-US" w:eastAsia="zh-CN"/>
              </w:rPr>
              <w:t>加热，生物质</w:t>
            </w:r>
            <w:r>
              <w:rPr>
                <w:rFonts w:hint="eastAsia" w:ascii="Times New Roman" w:hAnsi="Times New Roman" w:eastAsia="宋体" w:cs="Times New Roman"/>
                <w:color w:val="auto"/>
                <w:sz w:val="24"/>
                <w:szCs w:val="32"/>
                <w:highlight w:val="none"/>
                <w:lang w:val="en-US" w:eastAsia="zh-CN"/>
              </w:rPr>
              <w:t>颗粒</w:t>
            </w:r>
            <w:r>
              <w:rPr>
                <w:rFonts w:hint="default" w:ascii="Times New Roman" w:hAnsi="Times New Roman" w:eastAsia="宋体" w:cs="Times New Roman"/>
                <w:color w:val="auto"/>
                <w:sz w:val="24"/>
                <w:szCs w:val="32"/>
                <w:highlight w:val="none"/>
                <w:lang w:val="en-US" w:eastAsia="zh-CN"/>
              </w:rPr>
              <w:t>燃烧后会剩余灰渣，</w:t>
            </w:r>
            <w:r>
              <w:rPr>
                <w:rFonts w:hint="eastAsia" w:ascii="Times New Roman" w:hAnsi="Times New Roman" w:eastAsia="宋体" w:cs="Times New Roman"/>
                <w:color w:val="auto"/>
                <w:sz w:val="24"/>
                <w:szCs w:val="32"/>
                <w:highlight w:val="none"/>
                <w:lang w:val="en-US" w:eastAsia="zh-CN"/>
              </w:rPr>
              <w:t>热风</w:t>
            </w:r>
            <w:r>
              <w:rPr>
                <w:rFonts w:hint="default" w:ascii="Times New Roman" w:hAnsi="Times New Roman" w:eastAsia="宋体" w:cs="Times New Roman"/>
                <w:color w:val="auto"/>
                <w:sz w:val="24"/>
                <w:szCs w:val="32"/>
                <w:highlight w:val="none"/>
                <w:lang w:val="en-US" w:eastAsia="zh-CN"/>
              </w:rPr>
              <w:t>炉生物质</w:t>
            </w:r>
            <w:r>
              <w:rPr>
                <w:rFonts w:hint="eastAsia" w:ascii="Times New Roman" w:hAnsi="Times New Roman" w:eastAsia="宋体" w:cs="Times New Roman"/>
                <w:color w:val="auto"/>
                <w:sz w:val="24"/>
                <w:szCs w:val="32"/>
                <w:highlight w:val="none"/>
                <w:lang w:val="en-US" w:eastAsia="zh-CN"/>
              </w:rPr>
              <w:t>颗粒</w:t>
            </w:r>
            <w:r>
              <w:rPr>
                <w:rFonts w:hint="default" w:ascii="Times New Roman" w:hAnsi="Times New Roman" w:eastAsia="宋体" w:cs="Times New Roman"/>
                <w:color w:val="auto"/>
                <w:sz w:val="24"/>
                <w:szCs w:val="32"/>
                <w:highlight w:val="none"/>
                <w:lang w:val="en-US" w:eastAsia="zh-CN"/>
              </w:rPr>
              <w:t>燃料量为300t/a，灰渣产生量一般为生物质</w:t>
            </w:r>
            <w:r>
              <w:rPr>
                <w:rFonts w:hint="eastAsia" w:ascii="Times New Roman" w:hAnsi="Times New Roman" w:eastAsia="宋体" w:cs="Times New Roman"/>
                <w:color w:val="auto"/>
                <w:sz w:val="24"/>
                <w:szCs w:val="32"/>
                <w:highlight w:val="none"/>
                <w:lang w:val="en-US" w:eastAsia="zh-CN"/>
              </w:rPr>
              <w:t>颗粒</w:t>
            </w:r>
            <w:r>
              <w:rPr>
                <w:rFonts w:hint="default" w:ascii="Times New Roman" w:hAnsi="Times New Roman" w:eastAsia="宋体" w:cs="Times New Roman"/>
                <w:color w:val="auto"/>
                <w:sz w:val="24"/>
                <w:szCs w:val="32"/>
                <w:highlight w:val="none"/>
                <w:lang w:val="en-US" w:eastAsia="zh-CN"/>
              </w:rPr>
              <w:t>燃料用量的15%~20%，本次用20%计，则灰渣产生量为60t。灰渣属于一般固废（代码 254-004-99），收集于一般工业固体废物暂存间贮存，外售综合利用。</w:t>
            </w:r>
          </w:p>
          <w:p>
            <w:pPr>
              <w:spacing w:line="360" w:lineRule="auto"/>
              <w:ind w:firstLine="480" w:firstLineChars="200"/>
              <w:rPr>
                <w:rFonts w:hint="eastAsia"/>
                <w:color w:val="auto"/>
                <w:sz w:val="24"/>
                <w:szCs w:val="32"/>
                <w:highlight w:val="none"/>
              </w:rPr>
            </w:pPr>
            <w:r>
              <w:rPr>
                <w:rFonts w:hint="eastAsia"/>
                <w:color w:val="auto"/>
                <w:sz w:val="24"/>
                <w:szCs w:val="32"/>
                <w:highlight w:val="none"/>
                <w:lang w:val="en-US" w:eastAsia="zh-CN"/>
              </w:rPr>
              <w:t>3、</w:t>
            </w:r>
            <w:r>
              <w:rPr>
                <w:rFonts w:hint="eastAsia"/>
                <w:color w:val="auto"/>
                <w:sz w:val="24"/>
                <w:szCs w:val="32"/>
                <w:highlight w:val="none"/>
              </w:rPr>
              <w:t>员工生活垃圾</w:t>
            </w:r>
          </w:p>
          <w:p>
            <w:pPr>
              <w:spacing w:line="360" w:lineRule="auto"/>
              <w:ind w:firstLine="480" w:firstLineChars="200"/>
              <w:rPr>
                <w:rFonts w:hint="eastAsia"/>
                <w:color w:val="auto"/>
                <w:sz w:val="24"/>
                <w:szCs w:val="32"/>
                <w:highlight w:val="none"/>
                <w:lang w:val="en-US" w:eastAsia="zh-CN"/>
              </w:rPr>
            </w:pPr>
            <w:r>
              <w:rPr>
                <w:rFonts w:hint="eastAsia"/>
                <w:color w:val="auto"/>
                <w:sz w:val="24"/>
                <w:szCs w:val="32"/>
                <w:highlight w:val="none"/>
              </w:rPr>
              <w:t>项目劳动定员</w:t>
            </w:r>
            <w:r>
              <w:rPr>
                <w:rFonts w:hint="eastAsia"/>
                <w:color w:val="auto"/>
                <w:sz w:val="24"/>
                <w:szCs w:val="32"/>
                <w:highlight w:val="none"/>
                <w:lang w:val="en-US" w:eastAsia="zh-CN"/>
              </w:rPr>
              <w:t>6</w:t>
            </w:r>
            <w:r>
              <w:rPr>
                <w:rFonts w:hint="eastAsia"/>
                <w:color w:val="auto"/>
                <w:sz w:val="24"/>
                <w:szCs w:val="32"/>
                <w:highlight w:val="none"/>
              </w:rPr>
              <w:t>人，年工作</w:t>
            </w:r>
            <w:r>
              <w:rPr>
                <w:rFonts w:hint="eastAsia"/>
                <w:color w:val="auto"/>
                <w:sz w:val="24"/>
                <w:szCs w:val="32"/>
                <w:highlight w:val="none"/>
                <w:lang w:val="en-US" w:eastAsia="zh-CN"/>
              </w:rPr>
              <w:t>300</w:t>
            </w:r>
            <w:r>
              <w:rPr>
                <w:rFonts w:hint="eastAsia"/>
                <w:color w:val="auto"/>
                <w:sz w:val="24"/>
                <w:szCs w:val="32"/>
                <w:highlight w:val="none"/>
              </w:rPr>
              <w:t xml:space="preserve">天。参考根据《社会区域类环境影响评价》（环评工程师培训教材）食宿员工产生生活垃圾 0.5kg/人·天计，则产生的生活垃圾量为 </w:t>
            </w:r>
            <w:r>
              <w:rPr>
                <w:rFonts w:hint="eastAsia"/>
                <w:color w:val="auto"/>
                <w:sz w:val="24"/>
                <w:szCs w:val="32"/>
                <w:highlight w:val="none"/>
                <w:lang w:val="en-US" w:eastAsia="zh-CN"/>
              </w:rPr>
              <w:t>0.9</w:t>
            </w:r>
            <w:r>
              <w:rPr>
                <w:rFonts w:hint="eastAsia"/>
                <w:color w:val="auto"/>
                <w:sz w:val="24"/>
                <w:szCs w:val="32"/>
                <w:highlight w:val="none"/>
              </w:rPr>
              <w:t>t/a，交由环卫部门统一清运</w:t>
            </w:r>
            <w:r>
              <w:rPr>
                <w:rFonts w:hint="eastAsia"/>
                <w:color w:val="auto"/>
                <w:sz w:val="24"/>
                <w:szCs w:val="32"/>
                <w:highlight w:val="none"/>
                <w:lang w:val="en-US" w:eastAsia="zh-CN"/>
              </w:rPr>
              <w:t>。</w:t>
            </w:r>
          </w:p>
          <w:p>
            <w:pPr>
              <w:pStyle w:val="2"/>
              <w:rPr>
                <w:rFonts w:hint="eastAsia"/>
                <w:color w:val="auto"/>
                <w:sz w:val="24"/>
                <w:szCs w:val="32"/>
                <w:highlight w:val="none"/>
                <w:u w:val="none"/>
                <w:lang w:val="en-US" w:eastAsia="zh-CN"/>
              </w:rPr>
            </w:pPr>
            <w:r>
              <w:rPr>
                <w:rFonts w:hint="eastAsia"/>
                <w:color w:val="auto"/>
                <w:sz w:val="24"/>
                <w:szCs w:val="32"/>
                <w:highlight w:val="none"/>
                <w:lang w:val="en-US" w:eastAsia="zh-CN"/>
              </w:rPr>
              <w:t xml:space="preserve"> </w:t>
            </w:r>
            <w:r>
              <w:rPr>
                <w:rFonts w:hint="eastAsia"/>
                <w:color w:val="auto"/>
                <w:sz w:val="24"/>
                <w:szCs w:val="32"/>
                <w:highlight w:val="none"/>
                <w:u w:val="none"/>
                <w:lang w:val="en-US" w:eastAsia="zh-CN"/>
              </w:rPr>
              <w:t xml:space="preserve"> 4、废机油</w:t>
            </w:r>
          </w:p>
          <w:p>
            <w:pPr>
              <w:spacing w:line="360" w:lineRule="auto"/>
              <w:ind w:firstLine="480" w:firstLineChars="200"/>
              <w:rPr>
                <w:rFonts w:hint="default" w:ascii="Times New Roman" w:hAnsi="Times New Roman" w:eastAsia="宋体" w:cs="Times New Roman"/>
                <w:color w:val="auto"/>
                <w:sz w:val="24"/>
                <w:szCs w:val="32"/>
                <w:highlight w:val="none"/>
                <w:u w:val="none"/>
                <w:lang w:val="en-US" w:eastAsia="zh-CN"/>
              </w:rPr>
            </w:pPr>
            <w:r>
              <w:rPr>
                <w:rFonts w:hint="eastAsia" w:ascii="Times New Roman" w:hAnsi="Times New Roman" w:eastAsia="宋体" w:cs="Times New Roman"/>
                <w:color w:val="auto"/>
                <w:sz w:val="24"/>
                <w:szCs w:val="32"/>
                <w:highlight w:val="none"/>
                <w:u w:val="none"/>
                <w:lang w:val="en-US" w:eastAsia="zh-CN"/>
              </w:rPr>
              <w:t>项目机械设备需定期检修，检修过程中产生的废机油为0.04t/a，废机油废物类别为HW08，废物代码为900-214-08（车辆、轮船及其它机械维修过程中产生的废发动机油、制动器油、自动变速器油、齿轮油等废润滑油）收集暂存于危废暂存间，再委托有资质的单位处理。</w:t>
            </w:r>
          </w:p>
          <w:p>
            <w:pPr>
              <w:pStyle w:val="68"/>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表4-1</w:t>
            </w:r>
            <w:r>
              <w:rPr>
                <w:rFonts w:hint="default"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固体废物分析结果汇总表</w:t>
            </w:r>
          </w:p>
          <w:tbl>
            <w:tblPr>
              <w:tblStyle w:val="23"/>
              <w:tblW w:w="76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992"/>
              <w:gridCol w:w="920"/>
              <w:gridCol w:w="1234"/>
              <w:gridCol w:w="779"/>
              <w:gridCol w:w="719"/>
              <w:gridCol w:w="1511"/>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5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99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92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产生量（t/a）</w:t>
                  </w:r>
                </w:p>
              </w:tc>
              <w:tc>
                <w:tcPr>
                  <w:tcW w:w="1234"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分类代码</w:t>
                  </w:r>
                </w:p>
              </w:tc>
              <w:tc>
                <w:tcPr>
                  <w:tcW w:w="77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物理性状</w:t>
                  </w:r>
                </w:p>
              </w:tc>
              <w:tc>
                <w:tcPr>
                  <w:tcW w:w="71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环境危险特性</w:t>
                  </w:r>
                </w:p>
              </w:tc>
              <w:tc>
                <w:tcPr>
                  <w:tcW w:w="1511"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处置措施</w:t>
                  </w:r>
                </w:p>
              </w:tc>
              <w:tc>
                <w:tcPr>
                  <w:tcW w:w="105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是否符合环保要求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5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9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w:t>
                  </w:r>
                </w:p>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垃圾</w:t>
                  </w:r>
                </w:p>
              </w:tc>
              <w:tc>
                <w:tcPr>
                  <w:tcW w:w="92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0.9</w:t>
                  </w:r>
                </w:p>
              </w:tc>
              <w:tc>
                <w:tcPr>
                  <w:tcW w:w="1234"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332-001-99</w:t>
                  </w:r>
                </w:p>
              </w:tc>
              <w:tc>
                <w:tcPr>
                  <w:tcW w:w="77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71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11"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经收集后交由环卫部门处理</w:t>
                  </w:r>
                </w:p>
              </w:tc>
              <w:tc>
                <w:tcPr>
                  <w:tcW w:w="105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99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布袋除尘器收集的粉尘</w:t>
                  </w:r>
                </w:p>
              </w:tc>
              <w:tc>
                <w:tcPr>
                  <w:tcW w:w="92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137.26</w:t>
                  </w:r>
                </w:p>
              </w:tc>
              <w:tc>
                <w:tcPr>
                  <w:tcW w:w="1234"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332-003-99</w:t>
                  </w:r>
                </w:p>
              </w:tc>
              <w:tc>
                <w:tcPr>
                  <w:tcW w:w="77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71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11"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厂区集中收集后回用于制粒加工</w:t>
                  </w:r>
                </w:p>
              </w:tc>
              <w:tc>
                <w:tcPr>
                  <w:tcW w:w="105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5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99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生物质灰渣</w:t>
                  </w:r>
                </w:p>
              </w:tc>
              <w:tc>
                <w:tcPr>
                  <w:tcW w:w="92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60</w:t>
                  </w:r>
                </w:p>
              </w:tc>
              <w:tc>
                <w:tcPr>
                  <w:tcW w:w="1234"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254-004-99</w:t>
                  </w:r>
                </w:p>
              </w:tc>
              <w:tc>
                <w:tcPr>
                  <w:tcW w:w="77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71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11"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收集于一般工业固体废物暂存间贮存，外售综合利用</w:t>
                  </w:r>
                </w:p>
              </w:tc>
              <w:tc>
                <w:tcPr>
                  <w:tcW w:w="105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5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w:t>
                  </w:r>
                </w:p>
              </w:tc>
              <w:tc>
                <w:tcPr>
                  <w:tcW w:w="992"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废机油</w:t>
                  </w:r>
                </w:p>
              </w:tc>
              <w:tc>
                <w:tcPr>
                  <w:tcW w:w="92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0.04</w:t>
                  </w:r>
                </w:p>
              </w:tc>
              <w:tc>
                <w:tcPr>
                  <w:tcW w:w="1234" w:type="dxa"/>
                  <w:noWrap w:val="0"/>
                  <w:vAlign w:val="center"/>
                </w:tcPr>
                <w:p>
                  <w:pPr>
                    <w:pStyle w:val="20"/>
                    <w:widowControl w:val="0"/>
                    <w:wordWrap w:val="0"/>
                    <w:adjustRightInd w:val="0"/>
                    <w:snapToGrid w:val="0"/>
                    <w:spacing w:before="0" w:beforeAutospacing="0" w:after="0" w:afterAutospacing="0"/>
                    <w:jc w:val="center"/>
                    <w:textAlignment w:val="baseline"/>
                    <w:rPr>
                      <w:rFonts w:ascii="Times New Roman" w:hAnsi="Times New Roman"/>
                      <w:color w:val="auto"/>
                      <w:sz w:val="21"/>
                      <w:szCs w:val="21"/>
                      <w:highlight w:val="none"/>
                      <w:u w:val="none" w:color="auto"/>
                      <w:lang w:val="en-US" w:eastAsia="zh-CN" w:bidi="ar"/>
                    </w:rPr>
                  </w:pPr>
                  <w:r>
                    <w:rPr>
                      <w:rFonts w:ascii="Times New Roman" w:hAnsi="Times New Roman"/>
                      <w:color w:val="auto"/>
                      <w:sz w:val="21"/>
                      <w:szCs w:val="21"/>
                      <w:highlight w:val="none"/>
                      <w:u w:val="none" w:color="auto"/>
                      <w:lang w:val="en-US" w:eastAsia="zh-CN" w:bidi="ar"/>
                    </w:rPr>
                    <w:t>HW08</w:t>
                  </w:r>
                </w:p>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eastAsia" w:ascii="Times New Roman" w:hAnsi="Times New Roman"/>
                      <w:color w:val="auto"/>
                      <w:sz w:val="21"/>
                      <w:szCs w:val="21"/>
                      <w:highlight w:val="none"/>
                      <w:u w:val="none" w:color="auto"/>
                      <w:lang w:val="en-US" w:eastAsia="zh-CN" w:bidi="ar"/>
                    </w:rPr>
                  </w:pPr>
                  <w:r>
                    <w:rPr>
                      <w:rFonts w:ascii="Times New Roman" w:hAnsi="Times New Roman"/>
                      <w:color w:val="auto"/>
                      <w:sz w:val="21"/>
                      <w:szCs w:val="21"/>
                      <w:highlight w:val="none"/>
                      <w:u w:val="none" w:color="auto"/>
                      <w:lang w:val="en-US" w:eastAsia="zh-CN" w:bidi="ar"/>
                    </w:rPr>
                    <w:t>900-21</w:t>
                  </w:r>
                  <w:r>
                    <w:rPr>
                      <w:rFonts w:hint="eastAsia" w:ascii="Times New Roman" w:hAnsi="Times New Roman"/>
                      <w:color w:val="auto"/>
                      <w:sz w:val="21"/>
                      <w:szCs w:val="21"/>
                      <w:highlight w:val="none"/>
                      <w:u w:val="none" w:color="auto"/>
                      <w:lang w:val="en-US" w:eastAsia="zh-CN" w:bidi="ar"/>
                    </w:rPr>
                    <w:t>4</w:t>
                  </w:r>
                </w:p>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cs="Times New Roman"/>
                      <w:color w:val="auto"/>
                      <w:sz w:val="21"/>
                      <w:szCs w:val="21"/>
                      <w:highlight w:val="none"/>
                      <w:u w:val="none" w:color="auto"/>
                    </w:rPr>
                  </w:pPr>
                  <w:r>
                    <w:rPr>
                      <w:rFonts w:ascii="Times New Roman" w:hAnsi="Times New Roman"/>
                      <w:color w:val="auto"/>
                      <w:sz w:val="21"/>
                      <w:szCs w:val="21"/>
                      <w:highlight w:val="none"/>
                      <w:u w:val="none" w:color="auto"/>
                      <w:lang w:val="en-US" w:eastAsia="zh-CN" w:bidi="ar"/>
                    </w:rPr>
                    <w:t>-08</w:t>
                  </w:r>
                </w:p>
              </w:tc>
              <w:tc>
                <w:tcPr>
                  <w:tcW w:w="77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液体</w:t>
                  </w:r>
                </w:p>
              </w:tc>
              <w:tc>
                <w:tcPr>
                  <w:tcW w:w="719"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T，I</w:t>
                  </w:r>
                </w:p>
              </w:tc>
              <w:tc>
                <w:tcPr>
                  <w:tcW w:w="1511"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暂存于危险固废暂存间，委托有资质单位处置</w:t>
                  </w:r>
                </w:p>
              </w:tc>
              <w:tc>
                <w:tcPr>
                  <w:tcW w:w="1050" w:type="dxa"/>
                  <w:noWrap w:val="0"/>
                  <w:vAlign w:val="center"/>
                </w:tcPr>
                <w:p>
                  <w:pPr>
                    <w:pStyle w:val="49"/>
                    <w:keepNext w:val="0"/>
                    <w:keepLines w:val="0"/>
                    <w:pageBreakBefore w:val="0"/>
                    <w:widowControl/>
                    <w:kinsoku/>
                    <w:wordWrap/>
                    <w:overflowPunct/>
                    <w:topLinePunct w:val="0"/>
                    <w:autoSpaceDE/>
                    <w:autoSpaceDN/>
                    <w:bidi w:val="0"/>
                    <w:adjustRightInd w:val="0"/>
                    <w:snapToGrid w:val="0"/>
                    <w:spacing w:before="0" w:line="240" w:lineRule="auto"/>
                    <w:ind w:right="0" w:firstLine="0" w:firstLineChars="0"/>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是</w:t>
                  </w:r>
                </w:p>
              </w:tc>
            </w:tr>
          </w:tbl>
          <w:p>
            <w:pPr>
              <w:pStyle w:val="68"/>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rPr>
              <w:t>表4</w:t>
            </w:r>
            <w:r>
              <w:rPr>
                <w:rFonts w:hint="eastAsia" w:ascii="Times New Roman" w:hAnsi="Times New Roman" w:eastAsia="宋体" w:cs="Times New Roman"/>
                <w:b/>
                <w:bCs/>
                <w:color w:val="auto"/>
                <w:highlight w:val="none"/>
                <w:lang w:val="en-US" w:eastAsia="zh-CN"/>
              </w:rPr>
              <w:t>-12</w:t>
            </w:r>
            <w:r>
              <w:rPr>
                <w:rFonts w:hint="eastAsia" w:ascii="Times New Roman" w:hAnsi="Times New Roman" w:eastAsia="宋体" w:cs="Times New Roman"/>
                <w:b/>
                <w:bCs/>
                <w:color w:val="auto"/>
                <w:highlight w:val="none"/>
                <w:lang w:eastAsia="zh-CN"/>
              </w:rPr>
              <w:t>危废废物贮存场所基本情况</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64"/>
              <w:gridCol w:w="1353"/>
              <w:gridCol w:w="996"/>
              <w:gridCol w:w="878"/>
              <w:gridCol w:w="878"/>
              <w:gridCol w:w="757"/>
              <w:gridCol w:w="1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74" w:type="dxa"/>
                  <w:tcBorders>
                    <w:tl2br w:val="nil"/>
                    <w:tr2bl w:val="nil"/>
                  </w:tcBorders>
                  <w:noWrap w:val="0"/>
                  <w:vAlign w:val="center"/>
                </w:tcPr>
                <w:p>
                  <w:pPr>
                    <w:topLinePunct/>
                    <w:adjustRightInd w:val="0"/>
                    <w:snapToGrid w:val="0"/>
                    <w:jc w:val="center"/>
                    <w:rPr>
                      <w:rFonts w:hint="eastAsia" w:eastAsia="宋体"/>
                      <w:b/>
                      <w:color w:val="auto"/>
                      <w:kern w:val="0"/>
                      <w:szCs w:val="21"/>
                      <w:highlight w:val="none"/>
                      <w:u w:val="none" w:color="auto"/>
                      <w:lang w:eastAsia="zh-CN"/>
                    </w:rPr>
                  </w:pPr>
                  <w:r>
                    <w:rPr>
                      <w:rFonts w:hint="eastAsia"/>
                      <w:b/>
                      <w:color w:val="auto"/>
                      <w:kern w:val="0"/>
                      <w:szCs w:val="21"/>
                      <w:highlight w:val="none"/>
                      <w:u w:val="none" w:color="auto"/>
                      <w:lang w:eastAsia="zh-CN" w:bidi="ar"/>
                    </w:rPr>
                    <w:t>贮存场所名称</w:t>
                  </w:r>
                </w:p>
              </w:tc>
              <w:tc>
                <w:tcPr>
                  <w:tcW w:w="854" w:type="dxa"/>
                  <w:tcBorders>
                    <w:tl2br w:val="nil"/>
                    <w:tr2bl w:val="nil"/>
                  </w:tcBorders>
                  <w:noWrap w:val="0"/>
                  <w:vAlign w:val="center"/>
                </w:tcPr>
                <w:p>
                  <w:pPr>
                    <w:jc w:val="center"/>
                    <w:rPr>
                      <w:b/>
                      <w:color w:val="auto"/>
                      <w:szCs w:val="21"/>
                      <w:highlight w:val="none"/>
                      <w:u w:val="none" w:color="auto"/>
                    </w:rPr>
                  </w:pPr>
                  <w:r>
                    <w:rPr>
                      <w:b/>
                      <w:color w:val="auto"/>
                      <w:szCs w:val="21"/>
                      <w:highlight w:val="none"/>
                      <w:u w:val="none" w:color="auto"/>
                      <w:lang w:bidi="ar"/>
                    </w:rPr>
                    <w:t>名称</w:t>
                  </w:r>
                </w:p>
              </w:tc>
              <w:tc>
                <w:tcPr>
                  <w:tcW w:w="1337" w:type="dxa"/>
                  <w:tcBorders>
                    <w:tl2br w:val="nil"/>
                    <w:tr2bl w:val="nil"/>
                  </w:tcBorders>
                  <w:noWrap w:val="0"/>
                  <w:vAlign w:val="center"/>
                </w:tcPr>
                <w:p>
                  <w:pPr>
                    <w:jc w:val="center"/>
                    <w:rPr>
                      <w:b/>
                      <w:color w:val="auto"/>
                      <w:szCs w:val="21"/>
                      <w:highlight w:val="none"/>
                      <w:u w:val="none" w:color="auto"/>
                    </w:rPr>
                  </w:pPr>
                  <w:r>
                    <w:rPr>
                      <w:b/>
                      <w:color w:val="auto"/>
                      <w:szCs w:val="21"/>
                      <w:highlight w:val="none"/>
                      <w:u w:val="none" w:color="auto"/>
                      <w:lang w:bidi="ar"/>
                    </w:rPr>
                    <w:t>类别</w:t>
                  </w:r>
                  <w:r>
                    <w:rPr>
                      <w:b/>
                      <w:color w:val="auto"/>
                      <w:szCs w:val="21"/>
                      <w:highlight w:val="none"/>
                      <w:u w:val="none" w:color="auto"/>
                    </w:rPr>
                    <w:t>及</w:t>
                  </w:r>
                  <w:r>
                    <w:rPr>
                      <w:b/>
                      <w:color w:val="auto"/>
                      <w:szCs w:val="21"/>
                      <w:highlight w:val="none"/>
                      <w:u w:val="none" w:color="auto"/>
                      <w:lang w:bidi="ar"/>
                    </w:rPr>
                    <w:t>编码</w:t>
                  </w:r>
                </w:p>
              </w:tc>
              <w:tc>
                <w:tcPr>
                  <w:tcW w:w="985" w:type="dxa"/>
                  <w:tcBorders>
                    <w:tl2br w:val="nil"/>
                    <w:tr2bl w:val="nil"/>
                  </w:tcBorders>
                  <w:noWrap w:val="0"/>
                  <w:vAlign w:val="center"/>
                </w:tcPr>
                <w:p>
                  <w:pPr>
                    <w:jc w:val="center"/>
                    <w:rPr>
                      <w:rFonts w:hint="eastAsia" w:eastAsia="宋体"/>
                      <w:b/>
                      <w:color w:val="auto"/>
                      <w:szCs w:val="21"/>
                      <w:highlight w:val="none"/>
                      <w:u w:val="none" w:color="auto"/>
                      <w:lang w:eastAsia="zh-CN" w:bidi="ar"/>
                    </w:rPr>
                  </w:pPr>
                  <w:r>
                    <w:rPr>
                      <w:rFonts w:hint="eastAsia"/>
                      <w:b/>
                      <w:color w:val="auto"/>
                      <w:szCs w:val="21"/>
                      <w:highlight w:val="none"/>
                      <w:u w:val="none" w:color="auto"/>
                      <w:lang w:eastAsia="zh-CN" w:bidi="ar"/>
                    </w:rPr>
                    <w:t>位置</w:t>
                  </w:r>
                </w:p>
              </w:tc>
              <w:tc>
                <w:tcPr>
                  <w:tcW w:w="868" w:type="dxa"/>
                  <w:tcBorders>
                    <w:tl2br w:val="nil"/>
                    <w:tr2bl w:val="nil"/>
                  </w:tcBorders>
                  <w:noWrap w:val="0"/>
                  <w:vAlign w:val="center"/>
                </w:tcPr>
                <w:p>
                  <w:pPr>
                    <w:jc w:val="center"/>
                    <w:rPr>
                      <w:rFonts w:hint="eastAsia" w:eastAsia="宋体"/>
                      <w:b/>
                      <w:color w:val="auto"/>
                      <w:szCs w:val="21"/>
                      <w:highlight w:val="none"/>
                      <w:u w:val="none" w:color="auto"/>
                      <w:lang w:eastAsia="zh-CN"/>
                    </w:rPr>
                  </w:pPr>
                  <w:r>
                    <w:rPr>
                      <w:rFonts w:hint="eastAsia"/>
                      <w:b/>
                      <w:color w:val="auto"/>
                      <w:szCs w:val="21"/>
                      <w:highlight w:val="none"/>
                      <w:u w:val="none" w:color="auto"/>
                      <w:lang w:eastAsia="zh-CN"/>
                    </w:rPr>
                    <w:t>占地面积</w:t>
                  </w:r>
                </w:p>
              </w:tc>
              <w:tc>
                <w:tcPr>
                  <w:tcW w:w="868" w:type="dxa"/>
                  <w:tcBorders>
                    <w:tl2br w:val="nil"/>
                    <w:tr2bl w:val="nil"/>
                  </w:tcBorders>
                  <w:noWrap w:val="0"/>
                  <w:vAlign w:val="center"/>
                </w:tcPr>
                <w:p>
                  <w:pPr>
                    <w:jc w:val="center"/>
                    <w:rPr>
                      <w:rFonts w:hint="eastAsia"/>
                      <w:b/>
                      <w:color w:val="auto"/>
                      <w:szCs w:val="21"/>
                      <w:highlight w:val="none"/>
                      <w:u w:val="none" w:color="auto"/>
                      <w:lang w:eastAsia="zh-CN"/>
                    </w:rPr>
                  </w:pPr>
                  <w:r>
                    <w:rPr>
                      <w:rFonts w:hint="eastAsia"/>
                      <w:b/>
                      <w:color w:val="auto"/>
                      <w:szCs w:val="21"/>
                      <w:highlight w:val="none"/>
                      <w:u w:val="none" w:color="auto"/>
                      <w:lang w:eastAsia="zh-CN"/>
                    </w:rPr>
                    <w:t>包装</w:t>
                  </w:r>
                </w:p>
                <w:p>
                  <w:pPr>
                    <w:jc w:val="center"/>
                    <w:rPr>
                      <w:b/>
                      <w:color w:val="auto"/>
                      <w:szCs w:val="21"/>
                      <w:highlight w:val="none"/>
                      <w:u w:val="none" w:color="auto"/>
                      <w:lang w:bidi="ar"/>
                    </w:rPr>
                  </w:pPr>
                  <w:r>
                    <w:rPr>
                      <w:rFonts w:hint="eastAsia"/>
                      <w:b/>
                      <w:color w:val="auto"/>
                      <w:szCs w:val="21"/>
                      <w:highlight w:val="none"/>
                      <w:u w:val="none" w:color="auto"/>
                      <w:lang w:eastAsia="zh-CN"/>
                    </w:rPr>
                    <w:t>容器</w:t>
                  </w:r>
                </w:p>
              </w:tc>
              <w:tc>
                <w:tcPr>
                  <w:tcW w:w="748" w:type="dxa"/>
                  <w:tcBorders>
                    <w:tl2br w:val="nil"/>
                    <w:tr2bl w:val="nil"/>
                  </w:tcBorders>
                  <w:noWrap w:val="0"/>
                  <w:vAlign w:val="center"/>
                </w:tcPr>
                <w:p>
                  <w:pPr>
                    <w:topLinePunct/>
                    <w:adjustRightInd w:val="0"/>
                    <w:snapToGrid w:val="0"/>
                    <w:jc w:val="center"/>
                    <w:rPr>
                      <w:rFonts w:hint="eastAsia" w:eastAsia="宋体"/>
                      <w:b/>
                      <w:color w:val="auto"/>
                      <w:szCs w:val="21"/>
                      <w:highlight w:val="none"/>
                      <w:u w:val="none" w:color="auto"/>
                      <w:lang w:eastAsia="zh-CN"/>
                    </w:rPr>
                  </w:pPr>
                  <w:r>
                    <w:rPr>
                      <w:b/>
                      <w:color w:val="auto"/>
                      <w:kern w:val="0"/>
                      <w:szCs w:val="21"/>
                      <w:highlight w:val="none"/>
                      <w:u w:val="none" w:color="auto"/>
                    </w:rPr>
                    <w:t>贮存</w:t>
                  </w:r>
                  <w:r>
                    <w:rPr>
                      <w:rFonts w:hint="eastAsia"/>
                      <w:b/>
                      <w:color w:val="auto"/>
                      <w:kern w:val="0"/>
                      <w:szCs w:val="21"/>
                      <w:highlight w:val="none"/>
                      <w:u w:val="none" w:color="auto"/>
                      <w:lang w:eastAsia="zh-CN"/>
                    </w:rPr>
                    <w:t>能力</w:t>
                  </w:r>
                </w:p>
              </w:tc>
              <w:tc>
                <w:tcPr>
                  <w:tcW w:w="1070" w:type="dxa"/>
                  <w:tcBorders>
                    <w:tl2br w:val="nil"/>
                    <w:tr2bl w:val="nil"/>
                  </w:tcBorders>
                  <w:noWrap w:val="0"/>
                  <w:vAlign w:val="center"/>
                </w:tcPr>
                <w:p>
                  <w:pPr>
                    <w:jc w:val="center"/>
                    <w:rPr>
                      <w:rFonts w:hint="eastAsia"/>
                      <w:b/>
                      <w:bCs/>
                      <w:color w:val="auto"/>
                      <w:szCs w:val="21"/>
                      <w:highlight w:val="none"/>
                      <w:u w:val="none" w:color="auto"/>
                      <w:lang w:eastAsia="zh-CN" w:bidi="ar"/>
                    </w:rPr>
                  </w:pPr>
                  <w:r>
                    <w:rPr>
                      <w:rFonts w:hint="eastAsia"/>
                      <w:b/>
                      <w:bCs/>
                      <w:color w:val="auto"/>
                      <w:szCs w:val="21"/>
                      <w:highlight w:val="none"/>
                      <w:u w:val="none" w:color="auto"/>
                      <w:lang w:eastAsia="zh-CN" w:bidi="ar"/>
                    </w:rPr>
                    <w:t>贮存</w:t>
                  </w:r>
                </w:p>
                <w:p>
                  <w:pPr>
                    <w:jc w:val="center"/>
                    <w:rPr>
                      <w:rFonts w:hint="eastAsia" w:eastAsia="宋体"/>
                      <w:b/>
                      <w:bCs/>
                      <w:color w:val="auto"/>
                      <w:szCs w:val="21"/>
                      <w:highlight w:val="none"/>
                      <w:u w:val="none" w:color="auto"/>
                      <w:lang w:eastAsia="zh-CN"/>
                    </w:rPr>
                  </w:pPr>
                  <w:r>
                    <w:rPr>
                      <w:rFonts w:hint="eastAsia"/>
                      <w:b/>
                      <w:bCs/>
                      <w:color w:val="auto"/>
                      <w:szCs w:val="21"/>
                      <w:highlight w:val="none"/>
                      <w:u w:val="none" w:color="auto"/>
                      <w:lang w:eastAsia="zh-CN" w:bidi="ar"/>
                    </w:rPr>
                    <w:t>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4" w:type="dxa"/>
                  <w:tcBorders>
                    <w:tl2br w:val="nil"/>
                    <w:tr2bl w:val="nil"/>
                  </w:tcBorders>
                  <w:noWrap w:val="0"/>
                  <w:vAlign w:val="center"/>
                </w:tcPr>
                <w:p>
                  <w:pPr>
                    <w:topLinePunct/>
                    <w:adjustRightInd w:val="0"/>
                    <w:snapToGrid w:val="0"/>
                    <w:jc w:val="center"/>
                    <w:rPr>
                      <w:rFonts w:hint="eastAsia" w:eastAsia="宋体"/>
                      <w:b w:val="0"/>
                      <w:bCs w:val="0"/>
                      <w:color w:val="auto"/>
                      <w:kern w:val="0"/>
                      <w:szCs w:val="21"/>
                      <w:highlight w:val="none"/>
                      <w:u w:val="none" w:color="auto"/>
                      <w:lang w:eastAsia="zh-CN" w:bidi="ar"/>
                    </w:rPr>
                  </w:pPr>
                  <w:r>
                    <w:rPr>
                      <w:rFonts w:hint="eastAsia"/>
                      <w:b w:val="0"/>
                      <w:bCs w:val="0"/>
                      <w:color w:val="auto"/>
                      <w:kern w:val="0"/>
                      <w:szCs w:val="21"/>
                      <w:highlight w:val="none"/>
                      <w:u w:val="none" w:color="auto"/>
                      <w:lang w:eastAsia="zh-CN" w:bidi="ar"/>
                    </w:rPr>
                    <w:t>危废暂存间</w:t>
                  </w:r>
                </w:p>
              </w:tc>
              <w:tc>
                <w:tcPr>
                  <w:tcW w:w="854" w:type="dxa"/>
                  <w:tcBorders>
                    <w:tl2br w:val="nil"/>
                    <w:tr2bl w:val="nil"/>
                  </w:tcBorders>
                  <w:noWrap w:val="0"/>
                  <w:vAlign w:val="center"/>
                </w:tcPr>
                <w:p>
                  <w:pPr>
                    <w:pStyle w:val="20"/>
                    <w:widowControl w:val="0"/>
                    <w:wordWrap w:val="0"/>
                    <w:adjustRightInd w:val="0"/>
                    <w:snapToGrid w:val="0"/>
                    <w:spacing w:before="0" w:beforeAutospacing="0" w:after="0" w:afterAutospacing="0"/>
                    <w:jc w:val="center"/>
                    <w:textAlignment w:val="baseline"/>
                    <w:rPr>
                      <w:rFonts w:ascii="Times New Roman" w:hAnsi="Times New Roman"/>
                      <w:b w:val="0"/>
                      <w:bCs w:val="0"/>
                      <w:color w:val="auto"/>
                      <w:sz w:val="21"/>
                      <w:szCs w:val="21"/>
                      <w:highlight w:val="none"/>
                      <w:u w:val="none" w:color="auto"/>
                      <w:lang w:val="en-US" w:eastAsia="zh-CN" w:bidi="ar"/>
                    </w:rPr>
                  </w:pPr>
                  <w:r>
                    <w:rPr>
                      <w:rFonts w:ascii="Times New Roman" w:hAnsi="Times New Roman"/>
                      <w:color w:val="auto"/>
                      <w:sz w:val="21"/>
                      <w:szCs w:val="21"/>
                      <w:highlight w:val="none"/>
                      <w:u w:val="none" w:color="auto"/>
                      <w:lang w:val="en-US" w:eastAsia="zh-CN" w:bidi="ar"/>
                    </w:rPr>
                    <w:t>废机油</w:t>
                  </w:r>
                </w:p>
              </w:tc>
              <w:tc>
                <w:tcPr>
                  <w:tcW w:w="1337" w:type="dxa"/>
                  <w:tcBorders>
                    <w:tl2br w:val="nil"/>
                    <w:tr2bl w:val="nil"/>
                  </w:tcBorders>
                  <w:noWrap w:val="0"/>
                  <w:vAlign w:val="center"/>
                </w:tcPr>
                <w:p>
                  <w:pPr>
                    <w:pStyle w:val="20"/>
                    <w:widowControl w:val="0"/>
                    <w:wordWrap w:val="0"/>
                    <w:adjustRightInd w:val="0"/>
                    <w:snapToGrid w:val="0"/>
                    <w:spacing w:before="0" w:beforeAutospacing="0" w:after="0" w:afterAutospacing="0"/>
                    <w:jc w:val="center"/>
                    <w:textAlignment w:val="baseline"/>
                    <w:rPr>
                      <w:rFonts w:ascii="Times New Roman" w:hAnsi="Times New Roman"/>
                      <w:color w:val="auto"/>
                      <w:sz w:val="21"/>
                      <w:szCs w:val="21"/>
                      <w:highlight w:val="none"/>
                      <w:u w:val="none" w:color="auto"/>
                      <w:lang w:val="en-US" w:eastAsia="zh-CN" w:bidi="ar"/>
                    </w:rPr>
                  </w:pPr>
                  <w:r>
                    <w:rPr>
                      <w:rFonts w:ascii="Times New Roman" w:hAnsi="Times New Roman"/>
                      <w:color w:val="auto"/>
                      <w:sz w:val="21"/>
                      <w:szCs w:val="21"/>
                      <w:highlight w:val="none"/>
                      <w:u w:val="none" w:color="auto"/>
                      <w:lang w:val="en-US" w:eastAsia="zh-CN" w:bidi="ar"/>
                    </w:rPr>
                    <w:t>HW08</w:t>
                  </w:r>
                </w:p>
                <w:p>
                  <w:pPr>
                    <w:pStyle w:val="20"/>
                    <w:widowControl w:val="0"/>
                    <w:wordWrap w:val="0"/>
                    <w:adjustRightInd w:val="0"/>
                    <w:snapToGrid w:val="0"/>
                    <w:spacing w:before="0" w:beforeAutospacing="0" w:after="0" w:afterAutospacing="0"/>
                    <w:jc w:val="center"/>
                    <w:textAlignment w:val="baseline"/>
                    <w:rPr>
                      <w:bCs/>
                      <w:color w:val="auto"/>
                      <w:szCs w:val="21"/>
                      <w:highlight w:val="none"/>
                      <w:u w:val="none" w:color="auto"/>
                      <w:lang w:bidi="ar"/>
                    </w:rPr>
                  </w:pPr>
                  <w:r>
                    <w:rPr>
                      <w:rFonts w:ascii="Times New Roman" w:hAnsi="Times New Roman"/>
                      <w:color w:val="auto"/>
                      <w:sz w:val="21"/>
                      <w:szCs w:val="21"/>
                      <w:highlight w:val="none"/>
                      <w:u w:val="none" w:color="auto"/>
                      <w:lang w:val="en-US" w:eastAsia="zh-CN" w:bidi="ar"/>
                    </w:rPr>
                    <w:t>900-217-08</w:t>
                  </w:r>
                </w:p>
              </w:tc>
              <w:tc>
                <w:tcPr>
                  <w:tcW w:w="985" w:type="dxa"/>
                  <w:tcBorders>
                    <w:tl2br w:val="nil"/>
                    <w:tr2bl w:val="nil"/>
                  </w:tcBorders>
                  <w:noWrap w:val="0"/>
                  <w:vAlign w:val="center"/>
                </w:tcPr>
                <w:p>
                  <w:pPr>
                    <w:jc w:val="center"/>
                    <w:rPr>
                      <w:rFonts w:hint="default" w:eastAsia="宋体"/>
                      <w:bCs/>
                      <w:color w:val="auto"/>
                      <w:szCs w:val="21"/>
                      <w:highlight w:val="none"/>
                      <w:u w:val="none" w:color="auto"/>
                      <w:lang w:val="en-US" w:eastAsia="zh-CN" w:bidi="ar"/>
                    </w:rPr>
                  </w:pPr>
                  <w:r>
                    <w:rPr>
                      <w:rFonts w:hint="default" w:ascii="Times New Roman" w:hAnsi="Times New Roman" w:cs="Times New Roman"/>
                      <w:color w:val="auto"/>
                      <w:sz w:val="21"/>
                      <w:szCs w:val="21"/>
                      <w:highlight w:val="none"/>
                      <w:u w:val="none" w:color="auto"/>
                      <w:lang w:eastAsia="zh-CN"/>
                    </w:rPr>
                    <w:t>车间西</w:t>
                  </w:r>
                  <w:r>
                    <w:rPr>
                      <w:rFonts w:hint="eastAsia" w:ascii="Times New Roman" w:hAnsi="Times New Roman" w:cs="Times New Roman"/>
                      <w:color w:val="auto"/>
                      <w:sz w:val="21"/>
                      <w:szCs w:val="21"/>
                      <w:highlight w:val="none"/>
                      <w:u w:val="none" w:color="auto"/>
                      <w:lang w:val="en-US" w:eastAsia="zh-CN"/>
                    </w:rPr>
                    <w:t>南</w:t>
                  </w:r>
                  <w:r>
                    <w:rPr>
                      <w:rFonts w:hint="default" w:ascii="Times New Roman" w:hAnsi="Times New Roman" w:cs="Times New Roman"/>
                      <w:color w:val="auto"/>
                      <w:sz w:val="21"/>
                      <w:szCs w:val="21"/>
                      <w:highlight w:val="none"/>
                      <w:u w:val="none" w:color="auto"/>
                      <w:lang w:eastAsia="zh-CN"/>
                    </w:rPr>
                    <w:t>侧</w:t>
                  </w:r>
                </w:p>
              </w:tc>
              <w:tc>
                <w:tcPr>
                  <w:tcW w:w="868" w:type="dxa"/>
                  <w:tcBorders>
                    <w:tl2br w:val="nil"/>
                    <w:tr2bl w:val="nil"/>
                  </w:tcBorders>
                  <w:noWrap w:val="0"/>
                  <w:vAlign w:val="center"/>
                </w:tcPr>
                <w:p>
                  <w:pPr>
                    <w:jc w:val="center"/>
                    <w:rPr>
                      <w:rFonts w:hint="default" w:eastAsia="宋体"/>
                      <w:bCs/>
                      <w:color w:val="auto"/>
                      <w:szCs w:val="21"/>
                      <w:highlight w:val="none"/>
                      <w:u w:val="none" w:color="auto"/>
                      <w:lang w:val="en-US" w:eastAsia="zh-CN"/>
                    </w:rPr>
                  </w:pPr>
                  <w:r>
                    <w:rPr>
                      <w:rFonts w:hint="eastAsia"/>
                      <w:bCs/>
                      <w:color w:val="auto"/>
                      <w:szCs w:val="21"/>
                      <w:highlight w:val="none"/>
                      <w:u w:val="none" w:color="auto"/>
                      <w:lang w:val="en-US" w:eastAsia="zh-CN"/>
                    </w:rPr>
                    <w:t>5m</w:t>
                  </w:r>
                  <w:r>
                    <w:rPr>
                      <w:rFonts w:hint="eastAsia"/>
                      <w:bCs/>
                      <w:color w:val="auto"/>
                      <w:szCs w:val="21"/>
                      <w:highlight w:val="none"/>
                      <w:u w:val="none" w:color="auto"/>
                      <w:vertAlign w:val="superscript"/>
                      <w:lang w:val="en-US" w:eastAsia="zh-CN"/>
                    </w:rPr>
                    <w:t>2</w:t>
                  </w:r>
                </w:p>
              </w:tc>
              <w:tc>
                <w:tcPr>
                  <w:tcW w:w="868" w:type="dxa"/>
                  <w:tcBorders>
                    <w:tl2br w:val="nil"/>
                    <w:tr2bl w:val="nil"/>
                  </w:tcBorders>
                  <w:noWrap w:val="0"/>
                  <w:vAlign w:val="center"/>
                </w:tcPr>
                <w:p>
                  <w:pPr>
                    <w:jc w:val="center"/>
                    <w:rPr>
                      <w:bCs/>
                      <w:color w:val="auto"/>
                      <w:szCs w:val="21"/>
                      <w:highlight w:val="none"/>
                      <w:u w:val="none" w:color="auto"/>
                    </w:rPr>
                  </w:pPr>
                  <w:r>
                    <w:rPr>
                      <w:rFonts w:hint="eastAsia"/>
                      <w:bCs/>
                      <w:color w:val="auto"/>
                      <w:szCs w:val="21"/>
                      <w:highlight w:val="none"/>
                      <w:u w:val="none" w:color="auto"/>
                      <w:lang w:val="en-US" w:eastAsia="zh-CN"/>
                    </w:rPr>
                    <w:t>桶装</w:t>
                  </w:r>
                </w:p>
              </w:tc>
              <w:tc>
                <w:tcPr>
                  <w:tcW w:w="748" w:type="dxa"/>
                  <w:tcBorders>
                    <w:tl2br w:val="nil"/>
                    <w:tr2bl w:val="nil"/>
                  </w:tcBorders>
                  <w:noWrap w:val="0"/>
                  <w:vAlign w:val="center"/>
                </w:tcPr>
                <w:p>
                  <w:pPr>
                    <w:topLinePunct/>
                    <w:adjustRightInd w:val="0"/>
                    <w:snapToGrid w:val="0"/>
                    <w:jc w:val="center"/>
                    <w:rPr>
                      <w:rFonts w:hint="default"/>
                      <w:bCs/>
                      <w:color w:val="auto"/>
                      <w:kern w:val="0"/>
                      <w:szCs w:val="21"/>
                      <w:highlight w:val="none"/>
                      <w:u w:val="none" w:color="auto"/>
                      <w:lang w:val="en-US" w:eastAsia="zh-CN"/>
                    </w:rPr>
                  </w:pPr>
                  <w:r>
                    <w:rPr>
                      <w:rFonts w:hint="eastAsia"/>
                      <w:bCs/>
                      <w:color w:val="auto"/>
                      <w:kern w:val="0"/>
                      <w:szCs w:val="21"/>
                      <w:highlight w:val="none"/>
                      <w:u w:val="none" w:color="auto"/>
                      <w:lang w:val="en-US" w:eastAsia="zh-CN"/>
                    </w:rPr>
                    <w:t>0.1t</w:t>
                  </w:r>
                </w:p>
              </w:tc>
              <w:tc>
                <w:tcPr>
                  <w:tcW w:w="1070" w:type="dxa"/>
                  <w:tcBorders>
                    <w:tl2br w:val="nil"/>
                    <w:tr2bl w:val="nil"/>
                  </w:tcBorders>
                  <w:noWrap w:val="0"/>
                  <w:vAlign w:val="center"/>
                </w:tcPr>
                <w:p>
                  <w:pPr>
                    <w:pStyle w:val="20"/>
                    <w:widowControl w:val="0"/>
                    <w:wordWrap w:val="0"/>
                    <w:adjustRightInd w:val="0"/>
                    <w:snapToGrid w:val="0"/>
                    <w:spacing w:before="0" w:beforeAutospacing="0" w:after="0" w:afterAutospacing="0"/>
                    <w:jc w:val="center"/>
                    <w:textAlignment w:val="baseline"/>
                    <w:rPr>
                      <w:rFonts w:ascii="Times New Roman" w:hAnsi="Times New Roman"/>
                      <w:bCs/>
                      <w:color w:val="auto"/>
                      <w:kern w:val="2"/>
                      <w:sz w:val="21"/>
                      <w:szCs w:val="21"/>
                      <w:highlight w:val="none"/>
                      <w:u w:val="none" w:color="auto"/>
                      <w:lang w:val="en-US" w:eastAsia="zh-CN" w:bidi="ar"/>
                    </w:rPr>
                  </w:pPr>
                  <w:r>
                    <w:rPr>
                      <w:rFonts w:hint="eastAsia" w:ascii="Times New Roman" w:hAnsi="Times New Roman"/>
                      <w:bCs/>
                      <w:color w:val="auto"/>
                      <w:kern w:val="2"/>
                      <w:sz w:val="21"/>
                      <w:szCs w:val="21"/>
                      <w:highlight w:val="none"/>
                      <w:u w:val="none" w:color="auto"/>
                      <w:lang w:val="en-US" w:eastAsia="zh-CN" w:bidi="ar"/>
                    </w:rPr>
                    <w:t>1年</w:t>
                  </w:r>
                </w:p>
              </w:tc>
            </w:tr>
          </w:tbl>
          <w:p>
            <w:pPr>
              <w:spacing w:line="360" w:lineRule="auto"/>
              <w:ind w:firstLine="482" w:firstLineChars="200"/>
              <w:rPr>
                <w:rFonts w:hint="eastAsia"/>
                <w:b/>
                <w:bCs/>
                <w:color w:val="auto"/>
                <w:sz w:val="24"/>
                <w:szCs w:val="32"/>
                <w:highlight w:val="none"/>
                <w:lang w:val="en-US" w:eastAsia="zh-CN"/>
              </w:rPr>
            </w:pPr>
          </w:p>
          <w:p>
            <w:pPr>
              <w:spacing w:line="360" w:lineRule="auto"/>
              <w:ind w:firstLine="482" w:firstLineChars="200"/>
              <w:rPr>
                <w:rFonts w:hint="default" w:eastAsia="宋体"/>
                <w:b/>
                <w:bCs/>
                <w:color w:val="auto"/>
                <w:sz w:val="24"/>
                <w:szCs w:val="32"/>
                <w:highlight w:val="none"/>
                <w:lang w:val="en-US" w:eastAsia="zh-CN"/>
              </w:rPr>
            </w:pPr>
            <w:r>
              <w:rPr>
                <w:rFonts w:hint="eastAsia"/>
                <w:b/>
                <w:bCs/>
                <w:color w:val="auto"/>
                <w:sz w:val="24"/>
                <w:szCs w:val="32"/>
                <w:highlight w:val="none"/>
                <w:lang w:val="en-US" w:eastAsia="zh-CN"/>
              </w:rPr>
              <w:t>一般固废管理要求：</w:t>
            </w:r>
          </w:p>
          <w:p>
            <w:p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本环评要求设立一座一般固体暂存间，一般固废暂存间管理建设单位应参照《一般工业固体废物贮存和填埋污染控制标准》（GB18599-2020）满足“贮存过程应满足相应防渗漏、防雨淋、防扬尘等环境保护要求”，一般工业固废应妥善分类用指定容器收集，同时标注标志标识。具体要求如下：</w:t>
            </w:r>
          </w:p>
          <w:p>
            <w:p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①贮存、处置场的建设类型，必须与将要堆放的一般固废的类别相一致。</w:t>
            </w:r>
          </w:p>
          <w:p>
            <w:p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②一般工业固体废物贮存、处置场所，禁止危险废物和生活垃圾混入。</w:t>
            </w:r>
          </w:p>
          <w:p>
            <w:p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③贮存、处置场的使用单位，应建立档案制度，应将入场的一般工业固体废物的种类和数量以及资料，详细记录在案，长期保存，供随时查阅。</w:t>
            </w:r>
          </w:p>
          <w:p>
            <w:p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④临时堆放的地面与裙角要用紧固、防渗的建筑材料建造，基础必须防渗，应设计建造径流疏导系统，保证能防止暴雨不会流到临时堆放的场所。</w:t>
            </w:r>
          </w:p>
          <w:p>
            <w:p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⑤临时堆放场所要防风、防雨、防晒，周围应设置围墙并做好密闭处理，禁止生活垃圾混入。同时建设单位应与生产废料收集单位制定清运计划，确定清运时间和清运量，一般固废暂存不超3个月，运输车辆应处于良好的状态，特别是其遮盖部分应该完好，而且进出时要慢速行驶，避免固废撒落。</w:t>
            </w:r>
          </w:p>
          <w:p>
            <w:pPr>
              <w:spacing w:line="360" w:lineRule="auto"/>
              <w:ind w:firstLine="482" w:firstLineChars="200"/>
              <w:rPr>
                <w:rFonts w:hint="eastAsia"/>
                <w:b/>
                <w:bCs/>
                <w:color w:val="auto"/>
                <w:sz w:val="24"/>
                <w:szCs w:val="32"/>
                <w:highlight w:val="none"/>
                <w:u w:val="none" w:color="auto"/>
                <w:lang w:val="en-US" w:eastAsia="zh-CN"/>
              </w:rPr>
            </w:pPr>
            <w:r>
              <w:rPr>
                <w:rFonts w:hint="eastAsia"/>
                <w:b/>
                <w:bCs/>
                <w:color w:val="auto"/>
                <w:sz w:val="24"/>
                <w:szCs w:val="32"/>
                <w:highlight w:val="none"/>
                <w:u w:val="none" w:color="auto"/>
                <w:lang w:val="en-US" w:eastAsia="zh-CN"/>
              </w:rPr>
              <w:t>危险固废管理要求：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根据《危险废物贮存污染控制标准》（G18597-2023），危险废物暂存间应满足如下要求：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①贮存要求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贮存库内不同贮存分区之间应采取隔离措施。隔离措施可根据危险废物特性采用过道、隔板或隔墙等方式；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贮存设施或场所、容器和包装物应按 HJ 1276要求设置危险废物贮存设施或场所标志、危险废物贮存分区标志和危险废物标签等危险废物识别标志；贮存设施退役时，所有者或运营者应依法履行环境保护责任，退役前应妥善处理处置贮存设施内剩余的危险废物，并对贮存设施进行清理，消除污染；还应依据土壤污染防治相关法律法规履行场地环境风险防控责任；在贮存库内或通过贮存分区方式贮存液态危险废物的，应具有液体泄漏堵截设施，堵截设施最小容积不应低于对应贮存区域最大液态废物容器容积或液态废物总储量 1/10（二者取较大者）；</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用于贮存可能产生渗滤液的危险废物的贮存库或贮存分区应设计渗滤液收集设施，收集设施容积应满足渗滤液的收集要求；贮存场应采取防止危险废物扬散、流失的措施。</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②容器和包装物要求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容器和包装物材质、内衬应与盛装的危险废物相容； 针对不同类别、形态、物理化学性质的危险废物，其容器和包装物应满足相应的防渗、防漏、防腐和强度等要求；硬质容器和包装物及其支护结构堆叠码放时不应有明显变形，无破损泄漏；柔性容器和包装物堆叠码放时应封口严密，无破损泄漏；使用容器盛装液态、半固态危险废物时，容器内部应留有适当的空间，以适应因温度变化等能引发的收缩和膨胀，防止其导致容器渗漏或永久变形；容器和包装物外表面应保持清洁。</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③贮存过程要求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危险废物存入贮存设施前应对危险废物类别和特性与危险废物标签等危险废物识别标志的一致性进行核验，不一致的或类别、特性不明的不应存入；应定期检查危险废物的贮存状况，及时清理贮存设施地面，更换破损泄漏的危险废物贮存容器和包装物，保证堆存危险废物的防雨、防风、防扬尘等设施功能完好；作业设备及车辆等结束作业离开贮存设施时，应对其残留的危险废物进行清理，清理的废物或清洗废水应收集处理；贮存设施运行期间，应按国家有关标准和规定建立危险废物管理台账并保存；贮存设施所有者或运营者应建立贮存设施环境管理制度、管理人员岗位职责制度、设施运行操作制度、人员岗位培训制度等。贮存设施所有者或运营者应建立贮存设施全部档案，包括设计、施工、验收、运行、监测和环境应急等，应按国家有关档案管理的法律法规进行整理和归档。运输过程中需要确保容器不泄漏、不倒塌、不坠落、不损坏。严禁与易燃及其它禁配物混装混运。运输时运输车辆应配备泄漏应急处理设备。运输途中应防暴晒、雨淋、防高温。运输时要按规定的线路行驶，勿在居民区和人口稠密区停留。同时执行危险废物转移联单制度，危险废物转移联单的目的在于记录危险废物从产生到运输到处理的全过程，在这个过程中应当对危险废物进行登记，登记内容应当包括危废的来源、种类、重量或者数量、交接时间、处置方法。最终去向以及经办人签名等项目，登记资料至少保存 5 年。</w:t>
            </w:r>
          </w:p>
          <w:p>
            <w:pPr>
              <w:pStyle w:val="68"/>
              <w:rPr>
                <w:rFonts w:hint="default" w:ascii="Times New Roman" w:hAnsi="Times New Roman" w:eastAsia="宋体" w:cs="Times New Roman"/>
                <w:b/>
                <w:bCs/>
                <w:color w:val="auto"/>
                <w:highlight w:val="none"/>
                <w:u w:val="none" w:color="auto"/>
              </w:rPr>
            </w:pPr>
            <w:r>
              <w:rPr>
                <w:rFonts w:hint="default" w:ascii="Times New Roman" w:hAnsi="Times New Roman" w:eastAsia="宋体" w:cs="Times New Roman"/>
                <w:b/>
                <w:bCs/>
                <w:color w:val="auto"/>
                <w:highlight w:val="none"/>
                <w:u w:val="none" w:color="auto"/>
              </w:rPr>
              <w:t>表</w:t>
            </w:r>
            <w:r>
              <w:rPr>
                <w:rFonts w:hint="eastAsia" w:ascii="Times New Roman" w:hAnsi="Times New Roman" w:eastAsia="宋体" w:cs="Times New Roman"/>
                <w:b/>
                <w:bCs/>
                <w:color w:val="auto"/>
                <w:highlight w:val="none"/>
                <w:u w:val="none" w:color="auto"/>
                <w:lang w:val="en-US" w:eastAsia="zh-CN"/>
              </w:rPr>
              <w:t xml:space="preserve">4-13  </w:t>
            </w:r>
            <w:r>
              <w:rPr>
                <w:rFonts w:hint="default" w:ascii="Times New Roman" w:hAnsi="Times New Roman" w:eastAsia="宋体" w:cs="Times New Roman"/>
                <w:b/>
                <w:bCs/>
                <w:color w:val="auto"/>
                <w:highlight w:val="none"/>
                <w:u w:val="none" w:color="auto"/>
              </w:rPr>
              <w:t>危险废物贮存、处置场图形标志示例</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9"/>
              <w:gridCol w:w="2222"/>
              <w:gridCol w:w="51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noWrap w:val="0"/>
                  <w:vAlign w:val="center"/>
                </w:tcPr>
                <w:p>
                  <w:pPr>
                    <w:adjustRightInd w:val="0"/>
                    <w:snapToGrid w:val="0"/>
                    <w:spacing w:line="240" w:lineRule="auto"/>
                    <w:ind w:firstLine="0" w:firstLineChars="0"/>
                    <w:jc w:val="center"/>
                    <w:rPr>
                      <w:rFonts w:hint="default" w:ascii="Times New Roman" w:hAnsi="Times New Roman" w:cs="Times New Roman"/>
                      <w:b/>
                      <w:bCs/>
                      <w:color w:val="auto"/>
                      <w:kern w:val="0"/>
                      <w:sz w:val="21"/>
                      <w:szCs w:val="21"/>
                      <w:highlight w:val="none"/>
                      <w:u w:val="none" w:color="auto"/>
                    </w:rPr>
                  </w:pPr>
                  <w:r>
                    <w:rPr>
                      <w:rFonts w:hint="default" w:ascii="Times New Roman" w:hAnsi="Times New Roman" w:cs="Times New Roman"/>
                      <w:b/>
                      <w:bCs/>
                      <w:color w:val="auto"/>
                      <w:kern w:val="0"/>
                      <w:sz w:val="21"/>
                      <w:szCs w:val="21"/>
                      <w:highlight w:val="none"/>
                      <w:u w:val="none" w:color="auto"/>
                    </w:rPr>
                    <w:t>序号</w:t>
                  </w:r>
                </w:p>
              </w:tc>
              <w:tc>
                <w:tcPr>
                  <w:tcW w:w="1392" w:type="pct"/>
                  <w:noWrap w:val="0"/>
                  <w:vAlign w:val="center"/>
                </w:tcPr>
                <w:p>
                  <w:pPr>
                    <w:adjustRightInd w:val="0"/>
                    <w:snapToGrid w:val="0"/>
                    <w:spacing w:line="240" w:lineRule="auto"/>
                    <w:ind w:firstLine="0" w:firstLineChars="0"/>
                    <w:jc w:val="center"/>
                    <w:rPr>
                      <w:rFonts w:hint="default" w:ascii="Times New Roman" w:hAnsi="Times New Roman" w:cs="Times New Roman"/>
                      <w:b/>
                      <w:bCs/>
                      <w:color w:val="auto"/>
                      <w:kern w:val="0"/>
                      <w:sz w:val="21"/>
                      <w:szCs w:val="21"/>
                      <w:highlight w:val="none"/>
                      <w:u w:val="none" w:color="auto"/>
                    </w:rPr>
                  </w:pPr>
                  <w:r>
                    <w:rPr>
                      <w:rFonts w:hint="default" w:ascii="Times New Roman" w:hAnsi="Times New Roman" w:cs="Times New Roman"/>
                      <w:b/>
                      <w:bCs/>
                      <w:color w:val="auto"/>
                      <w:kern w:val="0"/>
                      <w:sz w:val="21"/>
                      <w:szCs w:val="21"/>
                      <w:highlight w:val="none"/>
                      <w:u w:val="none" w:color="auto"/>
                    </w:rPr>
                    <w:t>名称</w:t>
                  </w:r>
                </w:p>
              </w:tc>
              <w:tc>
                <w:tcPr>
                  <w:tcW w:w="3211" w:type="pct"/>
                  <w:noWrap w:val="0"/>
                  <w:vAlign w:val="center"/>
                </w:tcPr>
                <w:p>
                  <w:pPr>
                    <w:adjustRightInd w:val="0"/>
                    <w:snapToGrid w:val="0"/>
                    <w:spacing w:line="240" w:lineRule="auto"/>
                    <w:ind w:firstLine="0" w:firstLineChars="0"/>
                    <w:jc w:val="center"/>
                    <w:rPr>
                      <w:rFonts w:hint="default" w:ascii="Times New Roman" w:hAnsi="Times New Roman" w:cs="Times New Roman"/>
                      <w:b/>
                      <w:bCs/>
                      <w:color w:val="auto"/>
                      <w:kern w:val="0"/>
                      <w:sz w:val="21"/>
                      <w:szCs w:val="21"/>
                      <w:highlight w:val="none"/>
                      <w:u w:val="none" w:color="auto"/>
                    </w:rPr>
                  </w:pPr>
                  <w:r>
                    <w:rPr>
                      <w:rFonts w:hint="default" w:ascii="Times New Roman" w:hAnsi="Times New Roman" w:cs="Times New Roman"/>
                      <w:b/>
                      <w:bCs/>
                      <w:color w:val="auto"/>
                      <w:kern w:val="0"/>
                      <w:sz w:val="21"/>
                      <w:szCs w:val="21"/>
                      <w:highlight w:val="none"/>
                      <w:u w:val="none" w:color="auto"/>
                    </w:rPr>
                    <w:t>图形标志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noWrap w:val="0"/>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u w:val="none" w:color="auto"/>
                    </w:rPr>
                  </w:pPr>
                  <w:r>
                    <w:rPr>
                      <w:rFonts w:hint="default" w:ascii="Times New Roman" w:hAnsi="Times New Roman" w:cs="Times New Roman"/>
                      <w:color w:val="auto"/>
                      <w:kern w:val="0"/>
                      <w:sz w:val="21"/>
                      <w:szCs w:val="21"/>
                      <w:highlight w:val="none"/>
                      <w:u w:val="none" w:color="auto"/>
                    </w:rPr>
                    <w:t>1</w:t>
                  </w:r>
                </w:p>
              </w:tc>
              <w:tc>
                <w:tcPr>
                  <w:tcW w:w="1392" w:type="pct"/>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cs="Times New Roman"/>
                      <w:color w:val="auto"/>
                      <w:kern w:val="0"/>
                      <w:sz w:val="21"/>
                      <w:szCs w:val="21"/>
                      <w:highlight w:val="none"/>
                      <w:u w:val="none" w:color="auto"/>
                    </w:rPr>
                    <w:t>危险废物</w:t>
                  </w:r>
                  <w:r>
                    <w:rPr>
                      <w:rFonts w:hint="default" w:ascii="Times New Roman" w:hAnsi="Times New Roman" w:cs="Times New Roman"/>
                      <w:color w:val="auto"/>
                      <w:kern w:val="0"/>
                      <w:sz w:val="21"/>
                      <w:szCs w:val="21"/>
                      <w:highlight w:val="none"/>
                      <w:u w:val="none" w:color="auto"/>
                      <w:lang w:val="en-US" w:eastAsia="zh-CN"/>
                    </w:rPr>
                    <w:t>标签样式</w:t>
                  </w:r>
                </w:p>
              </w:tc>
              <w:tc>
                <w:tcPr>
                  <w:tcW w:w="3211" w:type="pct"/>
                  <w:noWrap w:val="0"/>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u w:val="none" w:color="auto"/>
                    </w:rPr>
                  </w:pPr>
                  <w:r>
                    <w:rPr>
                      <w:rFonts w:hint="default" w:ascii="Times New Roman" w:hAnsi="Times New Roman" w:cs="Times New Roman"/>
                      <w:color w:val="auto"/>
                      <w:highlight w:val="none"/>
                      <w:u w:val="none" w:color="auto"/>
                    </w:rPr>
                    <w:drawing>
                      <wp:inline distT="0" distB="0" distL="114300" distR="114300">
                        <wp:extent cx="2821305" cy="2431415"/>
                        <wp:effectExtent l="0" t="0" r="0" b="0"/>
                        <wp:docPr id="1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4"/>
                                <pic:cNvPicPr>
                                  <a:picLocks noChangeAspect="1"/>
                                </pic:cNvPicPr>
                              </pic:nvPicPr>
                              <pic:blipFill>
                                <a:blip r:embed="rId18"/>
                                <a:stretch>
                                  <a:fillRect/>
                                </a:stretch>
                              </pic:blipFill>
                              <pic:spPr>
                                <a:xfrm>
                                  <a:off x="0" y="0"/>
                                  <a:ext cx="2821305" cy="243141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noWrap w:val="0"/>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u w:val="none" w:color="auto"/>
                    </w:rPr>
                  </w:pPr>
                  <w:r>
                    <w:rPr>
                      <w:rFonts w:hint="default" w:ascii="Times New Roman" w:hAnsi="Times New Roman" w:cs="Times New Roman"/>
                      <w:color w:val="auto"/>
                      <w:kern w:val="0"/>
                      <w:sz w:val="21"/>
                      <w:szCs w:val="21"/>
                      <w:highlight w:val="none"/>
                      <w:u w:val="none" w:color="auto"/>
                    </w:rPr>
                    <w:t>2</w:t>
                  </w:r>
                </w:p>
              </w:tc>
              <w:tc>
                <w:tcPr>
                  <w:tcW w:w="1392" w:type="pct"/>
                  <w:noWrap w:val="0"/>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u w:val="none" w:color="auto"/>
                    </w:rPr>
                  </w:pPr>
                  <w:r>
                    <w:rPr>
                      <w:rFonts w:hint="default" w:ascii="Times New Roman" w:hAnsi="Times New Roman" w:cs="Times New Roman"/>
                      <w:color w:val="auto"/>
                      <w:kern w:val="0"/>
                      <w:sz w:val="21"/>
                      <w:szCs w:val="21"/>
                      <w:highlight w:val="none"/>
                      <w:u w:val="none" w:color="auto"/>
                    </w:rPr>
                    <w:t>贮存设施</w:t>
                  </w:r>
                </w:p>
              </w:tc>
              <w:tc>
                <w:tcPr>
                  <w:tcW w:w="3211" w:type="pct"/>
                  <w:noWrap w:val="0"/>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u w:val="none" w:color="auto"/>
                    </w:rPr>
                  </w:pPr>
                  <w:r>
                    <w:rPr>
                      <w:rFonts w:hint="default" w:ascii="Times New Roman" w:hAnsi="Times New Roman" w:cs="Times New Roman"/>
                      <w:color w:val="auto"/>
                      <w:highlight w:val="none"/>
                      <w:u w:val="none" w:color="auto"/>
                    </w:rPr>
                    <w:drawing>
                      <wp:inline distT="0" distB="0" distL="114300" distR="114300">
                        <wp:extent cx="2829560" cy="2392045"/>
                        <wp:effectExtent l="0" t="0" r="0" b="0"/>
                        <wp:docPr id="19"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5"/>
                                <pic:cNvPicPr>
                                  <a:picLocks noChangeAspect="1"/>
                                </pic:cNvPicPr>
                              </pic:nvPicPr>
                              <pic:blipFill>
                                <a:blip r:embed="rId19"/>
                                <a:stretch>
                                  <a:fillRect/>
                                </a:stretch>
                              </pic:blipFill>
                              <pic:spPr>
                                <a:xfrm>
                                  <a:off x="0" y="0"/>
                                  <a:ext cx="2829560" cy="239204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6" w:type="pct"/>
                  <w:noWrap w:val="0"/>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u w:val="none" w:color="auto"/>
                    </w:rPr>
                  </w:pPr>
                  <w:r>
                    <w:rPr>
                      <w:rFonts w:hint="default" w:ascii="Times New Roman" w:hAnsi="Times New Roman" w:cs="Times New Roman"/>
                      <w:color w:val="auto"/>
                      <w:kern w:val="0"/>
                      <w:sz w:val="21"/>
                      <w:szCs w:val="21"/>
                      <w:highlight w:val="none"/>
                      <w:u w:val="none" w:color="auto"/>
                    </w:rPr>
                    <w:t>3</w:t>
                  </w:r>
                </w:p>
              </w:tc>
              <w:tc>
                <w:tcPr>
                  <w:tcW w:w="1392" w:type="pct"/>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cs="Times New Roman"/>
                      <w:color w:val="auto"/>
                      <w:kern w:val="0"/>
                      <w:sz w:val="21"/>
                      <w:szCs w:val="21"/>
                      <w:highlight w:val="none"/>
                      <w:u w:val="none" w:color="auto"/>
                      <w:lang w:val="en-US" w:eastAsia="zh-CN"/>
                    </w:rPr>
                    <w:t>设施标志</w:t>
                  </w:r>
                </w:p>
              </w:tc>
              <w:tc>
                <w:tcPr>
                  <w:tcW w:w="3211" w:type="pct"/>
                  <w:noWrap w:val="0"/>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u w:val="none" w:color="auto"/>
                    </w:rPr>
                  </w:pPr>
                  <w:r>
                    <w:rPr>
                      <w:rFonts w:hint="default" w:ascii="Times New Roman" w:hAnsi="Times New Roman" w:cs="Times New Roman"/>
                      <w:color w:val="auto"/>
                      <w:highlight w:val="none"/>
                      <w:u w:val="none" w:color="auto"/>
                    </w:rPr>
                    <w:drawing>
                      <wp:inline distT="0" distB="0" distL="114300" distR="114300">
                        <wp:extent cx="3127375" cy="2048510"/>
                        <wp:effectExtent l="0" t="0" r="0" b="0"/>
                        <wp:docPr id="20"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6"/>
                                <pic:cNvPicPr>
                                  <a:picLocks noChangeAspect="1"/>
                                </pic:cNvPicPr>
                              </pic:nvPicPr>
                              <pic:blipFill>
                                <a:blip r:embed="rId20"/>
                                <a:stretch>
                                  <a:fillRect/>
                                </a:stretch>
                              </pic:blipFill>
                              <pic:spPr>
                                <a:xfrm>
                                  <a:off x="0" y="0"/>
                                  <a:ext cx="3127375" cy="2048510"/>
                                </a:xfrm>
                                <a:prstGeom prst="rect">
                                  <a:avLst/>
                                </a:prstGeom>
                                <a:noFill/>
                                <a:ln>
                                  <a:noFill/>
                                </a:ln>
                              </pic:spPr>
                            </pic:pic>
                          </a:graphicData>
                        </a:graphic>
                      </wp:inline>
                    </w:drawing>
                  </w:r>
                </w:p>
              </w:tc>
            </w:tr>
          </w:tbl>
          <w:p>
            <w:pPr>
              <w:spacing w:line="360" w:lineRule="auto"/>
              <w:ind w:firstLine="480" w:firstLineChars="200"/>
              <w:rPr>
                <w:rFonts w:hint="eastAsia" w:eastAsia="宋体"/>
                <w:b w:val="0"/>
                <w:bCs w:val="0"/>
                <w:color w:val="auto"/>
                <w:sz w:val="24"/>
                <w:szCs w:val="32"/>
                <w:highlight w:val="none"/>
                <w:lang w:val="en-US" w:eastAsia="zh-CN"/>
              </w:rPr>
            </w:pPr>
            <w:r>
              <w:rPr>
                <w:rFonts w:hint="eastAsia"/>
                <w:b w:val="0"/>
                <w:bCs w:val="0"/>
                <w:color w:val="auto"/>
                <w:sz w:val="24"/>
                <w:szCs w:val="32"/>
                <w:highlight w:val="none"/>
              </w:rPr>
              <w:t>综上分析，采取上述处置措施后，再加之严格管理，项目运营期产生的固体废弃物均能够得到妥善的处置，不会对周围环境产生明显的不利影响。项目营运期产生的固体废物均可得到合理处置，对周边环境影响较少</w:t>
            </w:r>
            <w:r>
              <w:rPr>
                <w:rFonts w:hint="eastAsia"/>
                <w:b w:val="0"/>
                <w:bCs w:val="0"/>
                <w:color w:val="auto"/>
                <w:sz w:val="24"/>
                <w:szCs w:val="32"/>
                <w:highlight w:val="none"/>
                <w:lang w:eastAsia="zh-CN"/>
              </w:rPr>
              <w:t>。</w:t>
            </w:r>
          </w:p>
          <w:p>
            <w:pPr>
              <w:spacing w:line="360" w:lineRule="auto"/>
              <w:ind w:firstLine="482" w:firstLineChars="200"/>
              <w:rPr>
                <w:b/>
                <w:bCs/>
                <w:color w:val="auto"/>
                <w:sz w:val="24"/>
                <w:szCs w:val="32"/>
                <w:highlight w:val="none"/>
              </w:rPr>
            </w:pPr>
            <w:r>
              <w:rPr>
                <w:rFonts w:hint="eastAsia"/>
                <w:b/>
                <w:bCs/>
                <w:color w:val="auto"/>
                <w:sz w:val="24"/>
                <w:szCs w:val="32"/>
                <w:highlight w:val="none"/>
              </w:rPr>
              <w:t>五、</w:t>
            </w:r>
            <w:r>
              <w:rPr>
                <w:b/>
                <w:bCs/>
                <w:color w:val="auto"/>
                <w:sz w:val="24"/>
                <w:szCs w:val="32"/>
                <w:highlight w:val="none"/>
              </w:rPr>
              <w:t>地下水和土壤环境影响分析</w:t>
            </w:r>
          </w:p>
          <w:p>
            <w:pPr>
              <w:snapToGrid w:val="0"/>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本项目营运期正常情况下不会出现污染地下水、土壤的情形，主要产生可能性来自：</w:t>
            </w:r>
            <w:r>
              <w:rPr>
                <w:rFonts w:hint="eastAsia"/>
                <w:b w:val="0"/>
                <w:bCs w:val="0"/>
                <w:color w:val="auto"/>
                <w:sz w:val="24"/>
                <w:szCs w:val="32"/>
                <w:highlight w:val="none"/>
                <w:lang w:val="en-US" w:eastAsia="zh-CN"/>
              </w:rPr>
              <w:t>项目废机油泄漏导致渗入土壤，进而污染土壤及含水层</w:t>
            </w:r>
            <w:r>
              <w:rPr>
                <w:rFonts w:hint="eastAsia"/>
                <w:b w:val="0"/>
                <w:bCs w:val="0"/>
                <w:color w:val="auto"/>
                <w:sz w:val="24"/>
                <w:szCs w:val="32"/>
                <w:highlight w:val="none"/>
                <w:lang w:eastAsia="zh-CN"/>
              </w:rPr>
              <w:t>，</w:t>
            </w:r>
            <w:r>
              <w:rPr>
                <w:rFonts w:hint="eastAsia"/>
                <w:b w:val="0"/>
                <w:bCs w:val="0"/>
                <w:color w:val="auto"/>
                <w:sz w:val="24"/>
                <w:szCs w:val="32"/>
                <w:highlight w:val="none"/>
              </w:rPr>
              <w:t>因此，项目在建设过程中需采取有效的防渗措施，避免对土壤及地下水环境造成影响。</w:t>
            </w:r>
          </w:p>
          <w:p>
            <w:pPr>
              <w:snapToGrid w:val="0"/>
              <w:spacing w:line="360" w:lineRule="auto"/>
              <w:ind w:firstLine="480" w:firstLineChars="200"/>
              <w:rPr>
                <w:rFonts w:hint="eastAsia"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针对可能发生的土壤和地下水污染，应采取“源头控制、分区防渗”相结合的污染防治措施。</w:t>
            </w:r>
          </w:p>
          <w:p>
            <w:pPr>
              <w:snapToGrid w:val="0"/>
              <w:spacing w:line="360" w:lineRule="auto"/>
              <w:ind w:firstLine="480" w:firstLineChars="200"/>
              <w:rPr>
                <w:rFonts w:hint="default"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1、源头控制</w:t>
            </w:r>
          </w:p>
          <w:p>
            <w:pPr>
              <w:snapToGrid w:val="0"/>
              <w:spacing w:line="360" w:lineRule="auto"/>
              <w:ind w:firstLine="480" w:firstLineChars="200"/>
              <w:rPr>
                <w:rFonts w:hint="eastAsia"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项目应根据国家现行相关规范加强环境管理，采取防止和降低污染物“跑、冒、滴、漏”的措施。废机油放置在危废暂存间，危废暂存间做围堰或者托盘，底部设置吸附材料。</w:t>
            </w:r>
          </w:p>
          <w:p>
            <w:pPr>
              <w:pStyle w:val="2"/>
              <w:numPr>
                <w:ilvl w:val="0"/>
                <w:numId w:val="5"/>
              </w:numPr>
              <w:ind w:left="0" w:leftChars="0" w:firstLine="480" w:firstLineChars="200"/>
              <w:rPr>
                <w:rFonts w:hint="eastAsia"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分区防渗</w:t>
            </w:r>
          </w:p>
          <w:p>
            <w:pPr>
              <w:pStyle w:val="68"/>
              <w:rPr>
                <w:rFonts w:hint="default" w:ascii="Times New Roman" w:hAnsi="Times New Roman" w:eastAsia="宋体" w:cs="Times New Roman"/>
                <w:b/>
                <w:bCs/>
                <w:color w:val="auto"/>
                <w:highlight w:val="none"/>
                <w:u w:val="none" w:color="auto"/>
                <w:lang w:val="en-US" w:eastAsia="zh-CN"/>
              </w:rPr>
            </w:pPr>
            <w:r>
              <w:rPr>
                <w:rFonts w:hint="default" w:ascii="Times New Roman" w:hAnsi="Times New Roman" w:eastAsia="宋体" w:cs="Times New Roman"/>
                <w:b/>
                <w:bCs/>
                <w:color w:val="auto"/>
                <w:highlight w:val="none"/>
                <w:u w:val="none" w:color="auto"/>
              </w:rPr>
              <w:t>表</w:t>
            </w:r>
            <w:r>
              <w:rPr>
                <w:rFonts w:hint="eastAsia" w:ascii="Times New Roman" w:hAnsi="Times New Roman" w:eastAsia="宋体" w:cs="Times New Roman"/>
                <w:b/>
                <w:bCs/>
                <w:color w:val="auto"/>
                <w:highlight w:val="none"/>
                <w:u w:val="none" w:color="auto"/>
                <w:lang w:val="en-US" w:eastAsia="zh-CN"/>
              </w:rPr>
              <w:t>4-14  分区防渗措施要求</w:t>
            </w:r>
          </w:p>
          <w:tbl>
            <w:tblPr>
              <w:tblStyle w:val="24"/>
              <w:tblW w:w="793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677"/>
              <w:gridCol w:w="2290"/>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3" w:type="dxa"/>
                  <w:tcBorders>
                    <w:tl2br w:val="nil"/>
                    <w:tr2bl w:val="nil"/>
                  </w:tcBorders>
                  <w:noWrap w:val="0"/>
                  <w:vAlign w:val="center"/>
                </w:tcPr>
                <w:p>
                  <w:pPr>
                    <w:keepNext w:val="0"/>
                    <w:keepLines w:val="0"/>
                    <w:widowControl/>
                    <w:suppressLineNumbers w:val="0"/>
                    <w:jc w:val="center"/>
                    <w:rPr>
                      <w:rFonts w:hint="default" w:ascii="Times New Roman" w:hAnsi="Times New Roman" w:cs="Times New Roman"/>
                      <w:color w:val="auto"/>
                      <w:highlight w:val="none"/>
                      <w:u w:val="none" w:color="auto"/>
                      <w:vertAlign w:val="baseline"/>
                      <w:lang w:val="en-US" w:eastAsia="zh-CN"/>
                    </w:rPr>
                  </w:pPr>
                  <w:r>
                    <w:rPr>
                      <w:rFonts w:hint="default" w:ascii="Times New Roman" w:hAnsi="Times New Roman" w:eastAsia="宋体" w:cs="Times New Roman"/>
                      <w:b/>
                      <w:bCs/>
                      <w:color w:val="auto"/>
                      <w:kern w:val="0"/>
                      <w:sz w:val="20"/>
                      <w:szCs w:val="20"/>
                      <w:highlight w:val="none"/>
                      <w:u w:val="none" w:color="auto"/>
                      <w:lang w:val="en-US" w:eastAsia="zh-CN" w:bidi="ar"/>
                    </w:rPr>
                    <w:t>防渗级别</w:t>
                  </w:r>
                </w:p>
              </w:tc>
              <w:tc>
                <w:tcPr>
                  <w:tcW w:w="1677" w:type="dxa"/>
                  <w:tcBorders>
                    <w:tl2br w:val="nil"/>
                    <w:tr2bl w:val="nil"/>
                  </w:tcBorders>
                  <w:noWrap w:val="0"/>
                  <w:vAlign w:val="center"/>
                </w:tcPr>
                <w:p>
                  <w:pPr>
                    <w:keepNext w:val="0"/>
                    <w:keepLines w:val="0"/>
                    <w:widowControl/>
                    <w:suppressLineNumbers w:val="0"/>
                    <w:jc w:val="center"/>
                    <w:rPr>
                      <w:rFonts w:hint="default" w:ascii="Times New Roman" w:hAnsi="Times New Roman" w:cs="Times New Roman"/>
                      <w:color w:val="auto"/>
                      <w:highlight w:val="none"/>
                      <w:u w:val="none" w:color="auto"/>
                      <w:vertAlign w:val="baseline"/>
                      <w:lang w:val="en-US" w:eastAsia="zh-CN"/>
                    </w:rPr>
                  </w:pPr>
                  <w:r>
                    <w:rPr>
                      <w:rFonts w:hint="default" w:ascii="Times New Roman" w:hAnsi="Times New Roman" w:eastAsia="宋体" w:cs="Times New Roman"/>
                      <w:b/>
                      <w:bCs/>
                      <w:color w:val="auto"/>
                      <w:kern w:val="0"/>
                      <w:sz w:val="20"/>
                      <w:szCs w:val="20"/>
                      <w:highlight w:val="none"/>
                      <w:u w:val="none" w:color="auto"/>
                      <w:lang w:val="en-US" w:eastAsia="zh-CN" w:bidi="ar"/>
                    </w:rPr>
                    <w:t>工作区</w:t>
                  </w:r>
                </w:p>
              </w:tc>
              <w:tc>
                <w:tcPr>
                  <w:tcW w:w="2290" w:type="dxa"/>
                  <w:tcBorders>
                    <w:tl2br w:val="nil"/>
                    <w:tr2bl w:val="nil"/>
                  </w:tcBorders>
                  <w:noWrap w:val="0"/>
                  <w:vAlign w:val="center"/>
                </w:tcPr>
                <w:p>
                  <w:pPr>
                    <w:keepNext w:val="0"/>
                    <w:keepLines w:val="0"/>
                    <w:widowControl/>
                    <w:suppressLineNumbers w:val="0"/>
                    <w:jc w:val="center"/>
                    <w:rPr>
                      <w:rFonts w:hint="default" w:ascii="Times New Roman" w:hAnsi="Times New Roman" w:cs="Times New Roman"/>
                      <w:color w:val="auto"/>
                      <w:highlight w:val="none"/>
                      <w:u w:val="none" w:color="auto"/>
                      <w:vertAlign w:val="baseline"/>
                      <w:lang w:val="en-US" w:eastAsia="zh-CN"/>
                    </w:rPr>
                  </w:pPr>
                  <w:r>
                    <w:rPr>
                      <w:rFonts w:hint="default" w:ascii="Times New Roman" w:hAnsi="Times New Roman" w:eastAsia="宋体" w:cs="Times New Roman"/>
                      <w:b/>
                      <w:bCs/>
                      <w:color w:val="auto"/>
                      <w:kern w:val="0"/>
                      <w:sz w:val="20"/>
                      <w:szCs w:val="20"/>
                      <w:highlight w:val="none"/>
                      <w:u w:val="none" w:color="auto"/>
                      <w:lang w:val="en-US" w:eastAsia="zh-CN" w:bidi="ar"/>
                    </w:rPr>
                    <w:t>防渗要求</w:t>
                  </w:r>
                </w:p>
              </w:tc>
              <w:tc>
                <w:tcPr>
                  <w:tcW w:w="1984" w:type="dxa"/>
                  <w:tcBorders>
                    <w:tl2br w:val="nil"/>
                    <w:tr2bl w:val="nil"/>
                  </w:tcBorders>
                  <w:noWrap w:val="0"/>
                  <w:vAlign w:val="center"/>
                </w:tcPr>
                <w:p>
                  <w:pPr>
                    <w:keepNext w:val="0"/>
                    <w:keepLines w:val="0"/>
                    <w:widowControl/>
                    <w:suppressLineNumbers w:val="0"/>
                    <w:jc w:val="center"/>
                    <w:rPr>
                      <w:rFonts w:hint="default" w:ascii="Times New Roman" w:hAnsi="Times New Roman" w:cs="Times New Roman"/>
                      <w:color w:val="auto"/>
                      <w:highlight w:val="none"/>
                      <w:u w:val="none" w:color="auto"/>
                      <w:vertAlign w:val="baseline"/>
                      <w:lang w:val="en-US" w:eastAsia="zh-CN"/>
                    </w:rPr>
                  </w:pPr>
                  <w:r>
                    <w:rPr>
                      <w:rFonts w:hint="default" w:ascii="Times New Roman" w:hAnsi="Times New Roman" w:eastAsia="宋体" w:cs="Times New Roman"/>
                      <w:b/>
                      <w:bCs/>
                      <w:color w:val="auto"/>
                      <w:kern w:val="0"/>
                      <w:sz w:val="20"/>
                      <w:szCs w:val="20"/>
                      <w:highlight w:val="none"/>
                      <w:u w:val="none" w:color="auto"/>
                      <w:lang w:val="en-US" w:eastAsia="zh-CN" w:bidi="ar"/>
                    </w:rPr>
                    <w:t>防腐防渗措施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重点防渗区</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p>
              </w:tc>
              <w:tc>
                <w:tcPr>
                  <w:tcW w:w="167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危废暂存间</w:t>
                  </w:r>
                </w:p>
              </w:tc>
              <w:tc>
                <w:tcPr>
                  <w:tcW w:w="2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等效黏土防渗层Mb≥6.0m、K≤1×10</w:t>
                  </w:r>
                  <w:r>
                    <w:rPr>
                      <w:rFonts w:hint="default" w:ascii="Times New Roman" w:hAnsi="Times New Roman" w:eastAsia="宋体" w:cs="Times New Roman"/>
                      <w:color w:val="auto"/>
                      <w:kern w:val="0"/>
                      <w:sz w:val="21"/>
                      <w:szCs w:val="21"/>
                      <w:highlight w:val="none"/>
                      <w:u w:val="none" w:color="auto"/>
                      <w:vertAlign w:val="superscript"/>
                      <w:lang w:val="en-US" w:eastAsia="zh-CN" w:bidi="ar"/>
                    </w:rPr>
                    <w:t>-7</w:t>
                  </w:r>
                  <w:r>
                    <w:rPr>
                      <w:rFonts w:hint="default" w:ascii="Times New Roman" w:hAnsi="Times New Roman" w:eastAsia="宋体" w:cs="Times New Roman"/>
                      <w:color w:val="auto"/>
                      <w:kern w:val="0"/>
                      <w:sz w:val="21"/>
                      <w:szCs w:val="21"/>
                      <w:highlight w:val="none"/>
                      <w:u w:val="none" w:color="auto"/>
                      <w:lang w:val="en-US" w:eastAsia="zh-CN" w:bidi="ar"/>
                    </w:rPr>
                    <w:t>cm/s，或参照 GB16889 执行</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p>
              </w:tc>
              <w:tc>
                <w:tcPr>
                  <w:tcW w:w="19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铺设一层3mm</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HDPE 膜、水泥硬化</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一般防渗区</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p>
              </w:tc>
              <w:tc>
                <w:tcPr>
                  <w:tcW w:w="16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一般固废暂存间、生产车间</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p>
              </w:tc>
              <w:tc>
                <w:tcPr>
                  <w:tcW w:w="2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等效黏土防渗层Mb≥1.5m、K≤1×10</w:t>
                  </w:r>
                  <w:r>
                    <w:rPr>
                      <w:rFonts w:hint="default" w:ascii="Times New Roman" w:hAnsi="Times New Roman" w:eastAsia="宋体" w:cs="Times New Roman"/>
                      <w:color w:val="auto"/>
                      <w:kern w:val="0"/>
                      <w:sz w:val="21"/>
                      <w:szCs w:val="21"/>
                      <w:highlight w:val="none"/>
                      <w:u w:val="none" w:color="auto"/>
                      <w:vertAlign w:val="superscript"/>
                      <w:lang w:val="en-US" w:eastAsia="zh-CN" w:bidi="ar"/>
                    </w:rPr>
                    <w:t>-7</w:t>
                  </w:r>
                  <w:r>
                    <w:rPr>
                      <w:rFonts w:hint="default" w:ascii="Times New Roman" w:hAnsi="Times New Roman" w:eastAsia="宋体" w:cs="Times New Roman"/>
                      <w:color w:val="auto"/>
                      <w:kern w:val="0"/>
                      <w:sz w:val="21"/>
                      <w:szCs w:val="21"/>
                      <w:highlight w:val="none"/>
                      <w:u w:val="none" w:color="auto"/>
                      <w:lang w:val="en-US" w:eastAsia="zh-CN" w:bidi="ar"/>
                    </w:rPr>
                    <w:t>cm/s或</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参照 GB16889 执行</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p>
              </w:tc>
              <w:tc>
                <w:tcPr>
                  <w:tcW w:w="19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铺设一层1mm</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HDPE 膜、水泥硬化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kern w:val="0"/>
                      <w:sz w:val="21"/>
                      <w:szCs w:val="21"/>
                      <w:highlight w:val="none"/>
                      <w:u w:val="none" w:color="auto"/>
                      <w:lang w:val="en-US" w:eastAsia="zh-CN" w:bidi="ar"/>
                    </w:rPr>
                    <w:t>简单防渗区</w:t>
                  </w:r>
                </w:p>
              </w:tc>
              <w:tc>
                <w:tcPr>
                  <w:tcW w:w="16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kern w:val="0"/>
                      <w:sz w:val="21"/>
                      <w:szCs w:val="21"/>
                      <w:highlight w:val="none"/>
                      <w:u w:val="none" w:color="auto"/>
                      <w:lang w:val="en-US" w:eastAsia="zh-CN" w:bidi="ar"/>
                    </w:rPr>
                    <w:t>办公区</w:t>
                  </w:r>
                </w:p>
              </w:tc>
              <w:tc>
                <w:tcPr>
                  <w:tcW w:w="2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kern w:val="0"/>
                      <w:sz w:val="21"/>
                      <w:szCs w:val="21"/>
                      <w:highlight w:val="none"/>
                      <w:u w:val="none" w:color="auto"/>
                      <w:lang w:val="en-US" w:eastAsia="zh-CN" w:bidi="ar"/>
                    </w:rPr>
                    <w:t>一般地面硬化</w:t>
                  </w:r>
                </w:p>
              </w:tc>
              <w:tc>
                <w:tcPr>
                  <w:tcW w:w="19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水泥硬化</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综上，建设单位</w:t>
            </w:r>
            <w:r>
              <w:rPr>
                <w:rFonts w:hint="eastAsia" w:cs="Times New Roman"/>
                <w:b w:val="0"/>
                <w:bCs w:val="0"/>
                <w:color w:val="auto"/>
                <w:sz w:val="24"/>
                <w:szCs w:val="32"/>
                <w:highlight w:val="none"/>
                <w:lang w:val="en-US" w:eastAsia="zh-CN"/>
              </w:rPr>
              <w:t>按照上述</w:t>
            </w:r>
            <w:r>
              <w:rPr>
                <w:rFonts w:hint="eastAsia" w:ascii="Times New Roman" w:hAnsi="Times New Roman" w:eastAsia="宋体" w:cs="Times New Roman"/>
                <w:b w:val="0"/>
                <w:bCs w:val="0"/>
                <w:color w:val="auto"/>
                <w:sz w:val="24"/>
                <w:szCs w:val="32"/>
                <w:highlight w:val="none"/>
                <w:lang w:val="en-US" w:eastAsia="zh-CN"/>
              </w:rPr>
              <w:t>各项防渗措施要求落实，在后续生产中通过加强维护和厂区环境管理，项目</w:t>
            </w:r>
            <w:r>
              <w:rPr>
                <w:rFonts w:hint="eastAsia" w:cs="Times New Roman"/>
                <w:b w:val="0"/>
                <w:bCs w:val="0"/>
                <w:color w:val="auto"/>
                <w:sz w:val="24"/>
                <w:szCs w:val="32"/>
                <w:highlight w:val="none"/>
                <w:lang w:val="en-US" w:eastAsia="zh-CN"/>
              </w:rPr>
              <w:t>建设不会</w:t>
            </w:r>
            <w:r>
              <w:rPr>
                <w:rFonts w:hint="eastAsia" w:ascii="Times New Roman" w:hAnsi="Times New Roman" w:eastAsia="宋体" w:cs="Times New Roman"/>
                <w:b w:val="0"/>
                <w:bCs w:val="0"/>
                <w:color w:val="auto"/>
                <w:sz w:val="24"/>
                <w:szCs w:val="32"/>
                <w:highlight w:val="none"/>
                <w:lang w:val="en-US" w:eastAsia="zh-CN"/>
              </w:rPr>
              <w:t>对</w:t>
            </w:r>
            <w:r>
              <w:rPr>
                <w:rFonts w:hint="eastAsia" w:cs="Times New Roman"/>
                <w:b w:val="0"/>
                <w:bCs w:val="0"/>
                <w:color w:val="auto"/>
                <w:sz w:val="24"/>
                <w:szCs w:val="32"/>
                <w:highlight w:val="none"/>
                <w:lang w:val="en-US" w:eastAsia="zh-CN"/>
              </w:rPr>
              <w:t>区域</w:t>
            </w:r>
            <w:r>
              <w:rPr>
                <w:rFonts w:hint="eastAsia" w:ascii="Times New Roman" w:hAnsi="Times New Roman" w:eastAsia="宋体" w:cs="Times New Roman"/>
                <w:b w:val="0"/>
                <w:bCs w:val="0"/>
                <w:color w:val="auto"/>
                <w:sz w:val="24"/>
                <w:szCs w:val="32"/>
                <w:highlight w:val="none"/>
                <w:lang w:val="en-US" w:eastAsia="zh-CN"/>
              </w:rPr>
              <w:t>地下水及土壤环境</w:t>
            </w:r>
            <w:r>
              <w:rPr>
                <w:rFonts w:hint="eastAsia" w:cs="Times New Roman"/>
                <w:b w:val="0"/>
                <w:bCs w:val="0"/>
                <w:color w:val="auto"/>
                <w:sz w:val="24"/>
                <w:szCs w:val="32"/>
                <w:highlight w:val="none"/>
                <w:lang w:val="en-US" w:eastAsia="zh-CN"/>
              </w:rPr>
              <w:t>产生不利影响。</w:t>
            </w:r>
          </w:p>
          <w:p>
            <w:pPr>
              <w:spacing w:line="360" w:lineRule="auto"/>
              <w:ind w:firstLine="482" w:firstLineChars="200"/>
              <w:rPr>
                <w:rFonts w:hint="eastAsia"/>
                <w:color w:val="auto"/>
                <w:highlight w:val="none"/>
              </w:rPr>
            </w:pPr>
            <w:r>
              <w:rPr>
                <w:rFonts w:hint="eastAsia"/>
                <w:b/>
                <w:bCs/>
                <w:color w:val="auto"/>
                <w:sz w:val="24"/>
                <w:szCs w:val="32"/>
                <w:highlight w:val="none"/>
              </w:rPr>
              <w:t>六、</w:t>
            </w:r>
            <w:r>
              <w:rPr>
                <w:b/>
                <w:bCs/>
                <w:color w:val="auto"/>
                <w:sz w:val="24"/>
                <w:szCs w:val="32"/>
                <w:highlight w:val="none"/>
              </w:rPr>
              <w:t>环境风险分析</w:t>
            </w:r>
            <w:r>
              <w:rPr>
                <w:rFonts w:hint="eastAsia"/>
                <w:b/>
                <w:bCs/>
                <w:color w:val="auto"/>
                <w:sz w:val="24"/>
                <w:szCs w:val="32"/>
                <w:highlight w:val="none"/>
              </w:rPr>
              <w:t>和防范措施</w:t>
            </w:r>
          </w:p>
          <w:p>
            <w:p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1、环境风险分析</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① 风险物质识别</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按照《建设项目环境风险评价技术导则》（HJ169-2018）有关规定，项目所需原料和产品均非环境风险物质，危险废物最大储存量为0.</w:t>
            </w:r>
            <w:r>
              <w:rPr>
                <w:rFonts w:hint="eastAsia"/>
                <w:color w:val="auto"/>
                <w:sz w:val="24"/>
                <w:szCs w:val="32"/>
                <w:highlight w:val="none"/>
                <w:lang w:val="en-US" w:eastAsia="zh-CN"/>
              </w:rPr>
              <w:t>04</w:t>
            </w:r>
            <w:r>
              <w:rPr>
                <w:rFonts w:hint="eastAsia"/>
                <w:color w:val="auto"/>
                <w:sz w:val="24"/>
                <w:szCs w:val="32"/>
                <w:highlight w:val="none"/>
              </w:rPr>
              <w:t>t，临界量为50t，故Q=0.</w:t>
            </w:r>
            <w:r>
              <w:rPr>
                <w:rFonts w:hint="eastAsia"/>
                <w:color w:val="auto"/>
                <w:sz w:val="24"/>
                <w:szCs w:val="32"/>
                <w:highlight w:val="none"/>
                <w:lang w:val="en-US" w:eastAsia="zh-CN"/>
              </w:rPr>
              <w:t>04</w:t>
            </w:r>
            <w:r>
              <w:rPr>
                <w:rFonts w:hint="eastAsia"/>
                <w:color w:val="auto"/>
                <w:sz w:val="24"/>
                <w:szCs w:val="32"/>
                <w:highlight w:val="none"/>
              </w:rPr>
              <w:t>/50=0.00</w:t>
            </w:r>
            <w:r>
              <w:rPr>
                <w:rFonts w:hint="eastAsia"/>
                <w:color w:val="auto"/>
                <w:sz w:val="24"/>
                <w:szCs w:val="32"/>
                <w:highlight w:val="none"/>
                <w:lang w:val="en-US" w:eastAsia="zh-CN"/>
              </w:rPr>
              <w:t>08</w:t>
            </w:r>
            <w:r>
              <w:rPr>
                <w:rFonts w:hint="eastAsia"/>
                <w:color w:val="auto"/>
                <w:sz w:val="24"/>
                <w:szCs w:val="32"/>
                <w:highlight w:val="none"/>
              </w:rPr>
              <w:t>，故Q=0.00</w:t>
            </w:r>
            <w:r>
              <w:rPr>
                <w:rFonts w:hint="eastAsia"/>
                <w:color w:val="auto"/>
                <w:sz w:val="24"/>
                <w:szCs w:val="32"/>
                <w:highlight w:val="none"/>
                <w:lang w:val="en-US" w:eastAsia="zh-CN"/>
              </w:rPr>
              <w:t>08</w:t>
            </w:r>
            <w:r>
              <w:rPr>
                <w:rFonts w:hint="eastAsia"/>
                <w:color w:val="auto"/>
                <w:sz w:val="24"/>
                <w:szCs w:val="32"/>
                <w:highlight w:val="none"/>
              </w:rPr>
              <w:t>＜1时，该项目环境风险潜势为I，风险评价工作等级为简单分析。</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② 储运系统风险识别</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本项目</w:t>
            </w:r>
            <w:r>
              <w:rPr>
                <w:rFonts w:hint="eastAsia"/>
                <w:color w:val="auto"/>
                <w:sz w:val="24"/>
                <w:szCs w:val="32"/>
                <w:highlight w:val="none"/>
                <w:lang w:val="en-US" w:eastAsia="zh-CN"/>
              </w:rPr>
              <w:t>设备维修维护</w:t>
            </w:r>
            <w:r>
              <w:rPr>
                <w:rFonts w:hint="eastAsia"/>
                <w:color w:val="auto"/>
                <w:sz w:val="24"/>
                <w:szCs w:val="32"/>
                <w:highlight w:val="none"/>
              </w:rPr>
              <w:t>会产生</w:t>
            </w:r>
            <w:r>
              <w:rPr>
                <w:rFonts w:hint="eastAsia"/>
                <w:color w:val="auto"/>
                <w:sz w:val="24"/>
                <w:szCs w:val="32"/>
                <w:highlight w:val="none"/>
                <w:lang w:eastAsia="zh-CN"/>
              </w:rPr>
              <w:t>废机油</w:t>
            </w:r>
            <w:r>
              <w:rPr>
                <w:rFonts w:hint="eastAsia"/>
                <w:color w:val="auto"/>
                <w:sz w:val="24"/>
                <w:szCs w:val="32"/>
                <w:highlight w:val="none"/>
              </w:rPr>
              <w:t>等危险废物。危险废物在运输、储存和使用过程中，均可能因自然或人为因素出现事故造成泄漏而污染环境。本项目</w:t>
            </w:r>
            <w:r>
              <w:rPr>
                <w:rFonts w:hint="eastAsia"/>
                <w:color w:val="auto"/>
                <w:sz w:val="24"/>
                <w:szCs w:val="32"/>
                <w:highlight w:val="none"/>
                <w:lang w:val="en-US" w:eastAsia="zh-CN"/>
              </w:rPr>
              <w:t>废机油</w:t>
            </w:r>
            <w:r>
              <w:rPr>
                <w:rFonts w:hint="eastAsia"/>
                <w:color w:val="auto"/>
                <w:sz w:val="24"/>
                <w:szCs w:val="32"/>
                <w:highlight w:val="none"/>
              </w:rPr>
              <w:t>委托第三方</w:t>
            </w:r>
            <w:r>
              <w:rPr>
                <w:rFonts w:hint="eastAsia"/>
                <w:color w:val="auto"/>
                <w:sz w:val="24"/>
                <w:szCs w:val="32"/>
                <w:highlight w:val="none"/>
                <w:lang w:val="en-US" w:eastAsia="zh-CN"/>
              </w:rPr>
              <w:t>有资质单位承担</w:t>
            </w:r>
            <w:r>
              <w:rPr>
                <w:rFonts w:hint="eastAsia"/>
                <w:color w:val="auto"/>
                <w:sz w:val="24"/>
                <w:szCs w:val="32"/>
                <w:highlight w:val="none"/>
              </w:rPr>
              <w:t>运输任务。所以本项目</w:t>
            </w:r>
            <w:r>
              <w:rPr>
                <w:rFonts w:hint="eastAsia"/>
                <w:color w:val="auto"/>
                <w:sz w:val="24"/>
                <w:szCs w:val="32"/>
                <w:highlight w:val="none"/>
                <w:lang w:val="en-US" w:eastAsia="zh-CN"/>
              </w:rPr>
              <w:t>危废</w:t>
            </w:r>
            <w:r>
              <w:rPr>
                <w:rFonts w:hint="eastAsia"/>
                <w:color w:val="auto"/>
                <w:sz w:val="24"/>
                <w:szCs w:val="32"/>
                <w:highlight w:val="none"/>
              </w:rPr>
              <w:t>的运输、装卸过程的风险只限于厂内区域内。厂外的运输风险由第三方运输公司承担。</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③ 污染物及环保设施风险识别</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废气处理装置故障：项目产生的粉尘废气经废气处理装置处理后外排。由于废气处理装置故障可能导致粉尘废气未经达标处理直接排入大气中，出现事故排放现象。</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④ 风险物质向环境转移途径识别</w:t>
            </w:r>
          </w:p>
          <w:p>
            <w:pPr>
              <w:spacing w:line="360" w:lineRule="auto"/>
              <w:ind w:firstLine="480" w:firstLineChars="200"/>
              <w:rPr>
                <w:rFonts w:hint="eastAsia"/>
                <w:color w:val="auto"/>
                <w:sz w:val="24"/>
                <w:szCs w:val="32"/>
                <w:highlight w:val="none"/>
              </w:rPr>
            </w:pPr>
            <w:r>
              <w:rPr>
                <w:rFonts w:hint="eastAsia"/>
                <w:color w:val="auto"/>
                <w:sz w:val="24"/>
                <w:szCs w:val="32"/>
                <w:highlight w:val="none"/>
              </w:rPr>
              <w:t>在生产、储存过程中，原料区与成品存放区发生火灾，，将产生一定的环境风险。</w:t>
            </w:r>
            <w:r>
              <w:rPr>
                <w:rFonts w:hint="eastAsia"/>
                <w:color w:val="auto"/>
                <w:sz w:val="24"/>
                <w:szCs w:val="32"/>
                <w:highlight w:val="none"/>
                <w:lang w:val="en-US" w:eastAsia="zh-CN"/>
              </w:rPr>
              <w:t>木料</w:t>
            </w:r>
            <w:r>
              <w:rPr>
                <w:rFonts w:hint="eastAsia"/>
                <w:color w:val="auto"/>
                <w:sz w:val="24"/>
                <w:szCs w:val="32"/>
                <w:highlight w:val="none"/>
              </w:rPr>
              <w:t>燃烧伴随大量CO，将威胁作业人员的生命安全，造成重大生命、财产损失，并对周围环境空气产生影响。</w:t>
            </w:r>
          </w:p>
          <w:p>
            <w:pPr>
              <w:spacing w:line="360" w:lineRule="auto"/>
              <w:ind w:firstLine="482" w:firstLineChars="200"/>
              <w:rPr>
                <w:b/>
                <w:bCs/>
                <w:color w:val="auto"/>
                <w:sz w:val="24"/>
                <w:szCs w:val="32"/>
                <w:highlight w:val="none"/>
              </w:rPr>
            </w:pPr>
            <w:r>
              <w:rPr>
                <w:rFonts w:hint="eastAsia"/>
                <w:b/>
                <w:bCs/>
                <w:color w:val="auto"/>
                <w:sz w:val="24"/>
                <w:szCs w:val="32"/>
                <w:highlight w:val="none"/>
              </w:rPr>
              <w:t>2、环境风险防范措施</w:t>
            </w:r>
          </w:p>
          <w:p>
            <w:pPr>
              <w:spacing w:line="360" w:lineRule="auto"/>
              <w:ind w:firstLine="480" w:firstLineChars="200"/>
              <w:rPr>
                <w:rFonts w:hint="eastAsia"/>
                <w:bCs/>
                <w:color w:val="auto"/>
                <w:sz w:val="24"/>
                <w:highlight w:val="none"/>
              </w:rPr>
            </w:pPr>
            <w:r>
              <w:rPr>
                <w:rFonts w:hint="eastAsia"/>
                <w:bCs/>
                <w:color w:val="auto"/>
                <w:sz w:val="24"/>
                <w:highlight w:val="none"/>
              </w:rPr>
              <w:t>1、火灾事故风险防范措施</w:t>
            </w:r>
          </w:p>
          <w:p>
            <w:pPr>
              <w:spacing w:line="360" w:lineRule="auto"/>
              <w:ind w:firstLine="480" w:firstLineChars="200"/>
              <w:rPr>
                <w:rFonts w:hint="eastAsia"/>
                <w:bCs/>
                <w:color w:val="auto"/>
                <w:sz w:val="24"/>
                <w:highlight w:val="none"/>
              </w:rPr>
            </w:pPr>
            <w:r>
              <w:rPr>
                <w:rFonts w:hint="eastAsia"/>
                <w:bCs/>
                <w:color w:val="auto"/>
                <w:sz w:val="24"/>
                <w:highlight w:val="none"/>
              </w:rPr>
              <w:t>（1）消除和控制明火源：在生产区及原料区及成品存放区内设置严禁烟火标志，严禁携带火柴、打火机等；在各厂房处配灭火器、消防栓、消防沙等消防物资，以便及时扑灭初期火灾。</w:t>
            </w:r>
          </w:p>
          <w:p>
            <w:pPr>
              <w:spacing w:line="360" w:lineRule="auto"/>
              <w:ind w:firstLine="480" w:firstLineChars="200"/>
              <w:rPr>
                <w:rFonts w:hint="eastAsia"/>
                <w:bCs/>
                <w:color w:val="auto"/>
                <w:sz w:val="24"/>
                <w:highlight w:val="none"/>
              </w:rPr>
            </w:pPr>
            <w:r>
              <w:rPr>
                <w:rFonts w:hint="eastAsia"/>
                <w:bCs/>
                <w:color w:val="auto"/>
                <w:sz w:val="24"/>
                <w:highlight w:val="none"/>
              </w:rPr>
              <w:t>（2）防止电气火花：采取有效措施防止电气线路和电气设施在开关断开、接触不良、短路、漏电时产生火花，防止静电放电火花；采取防雷接地措施，防止雷电放电火花。</w:t>
            </w:r>
          </w:p>
          <w:p>
            <w:pPr>
              <w:spacing w:line="360" w:lineRule="auto"/>
              <w:ind w:firstLine="480" w:firstLineChars="200"/>
              <w:rPr>
                <w:rFonts w:hint="eastAsia"/>
                <w:bCs/>
                <w:color w:val="auto"/>
                <w:sz w:val="24"/>
                <w:highlight w:val="none"/>
              </w:rPr>
            </w:pPr>
            <w:r>
              <w:rPr>
                <w:rFonts w:hint="eastAsia"/>
                <w:bCs/>
                <w:color w:val="auto"/>
                <w:sz w:val="24"/>
                <w:highlight w:val="none"/>
              </w:rPr>
              <w:t>（3）原料、成品储存于阴凉、通风处。库温不超过30℃，保持干燥通风。</w:t>
            </w:r>
          </w:p>
          <w:p>
            <w:pPr>
              <w:spacing w:line="360" w:lineRule="auto"/>
              <w:ind w:firstLine="480" w:firstLineChars="200"/>
              <w:rPr>
                <w:rFonts w:hint="eastAsia"/>
                <w:bCs/>
                <w:color w:val="auto"/>
                <w:sz w:val="24"/>
                <w:highlight w:val="none"/>
              </w:rPr>
            </w:pPr>
            <w:r>
              <w:rPr>
                <w:rFonts w:hint="eastAsia"/>
                <w:bCs/>
                <w:color w:val="auto"/>
                <w:sz w:val="24"/>
                <w:highlight w:val="none"/>
              </w:rPr>
              <w:t>（4）定期对原料使用过程中的相关人员，如仓管员、直接使用人员进行过程监查，定期对上述人员进行相关知识教育和岗位职责培训。</w:t>
            </w:r>
          </w:p>
          <w:p>
            <w:pPr>
              <w:spacing w:line="360" w:lineRule="auto"/>
              <w:ind w:firstLine="480" w:firstLineChars="200"/>
              <w:rPr>
                <w:rFonts w:hint="eastAsia"/>
                <w:bCs/>
                <w:color w:val="auto"/>
                <w:sz w:val="24"/>
                <w:highlight w:val="none"/>
                <w:lang w:val="en-US" w:eastAsia="zh-CN"/>
              </w:rPr>
            </w:pPr>
            <w:r>
              <w:rPr>
                <w:rFonts w:hint="eastAsia"/>
                <w:bCs/>
                <w:color w:val="auto"/>
                <w:sz w:val="24"/>
                <w:highlight w:val="none"/>
              </w:rPr>
              <w:t>（5）</w:t>
            </w:r>
            <w:r>
              <w:rPr>
                <w:rFonts w:hint="eastAsia"/>
                <w:bCs/>
                <w:color w:val="auto"/>
                <w:sz w:val="24"/>
                <w:highlight w:val="none"/>
                <w:lang w:val="en-US" w:eastAsia="zh-CN"/>
              </w:rPr>
              <w:t>热风炉定期进行检修，处于良好的运行状况，对职工进行安全防火和环保教育，提高操作工人的技术水平和责任感，降低火灾事故引发的次生环境风险。</w:t>
            </w:r>
          </w:p>
          <w:p>
            <w:pPr>
              <w:spacing w:line="360" w:lineRule="auto"/>
              <w:ind w:firstLine="480" w:firstLineChars="200"/>
              <w:rPr>
                <w:rFonts w:hint="eastAsia"/>
                <w:bCs/>
                <w:color w:val="auto"/>
                <w:sz w:val="24"/>
                <w:highlight w:val="none"/>
              </w:rPr>
            </w:pPr>
            <w:r>
              <w:rPr>
                <w:rFonts w:hint="eastAsia"/>
                <w:bCs/>
                <w:color w:val="auto"/>
                <w:sz w:val="24"/>
                <w:highlight w:val="none"/>
              </w:rPr>
              <w:t>2、原辅材料运输安全防范措施</w:t>
            </w:r>
          </w:p>
          <w:p>
            <w:pPr>
              <w:spacing w:line="360" w:lineRule="auto"/>
              <w:ind w:firstLine="480" w:firstLineChars="200"/>
              <w:rPr>
                <w:rFonts w:hint="eastAsia"/>
                <w:bCs/>
                <w:color w:val="auto"/>
                <w:sz w:val="24"/>
                <w:highlight w:val="none"/>
              </w:rPr>
            </w:pPr>
            <w:r>
              <w:rPr>
                <w:rFonts w:hint="eastAsia"/>
                <w:bCs/>
                <w:color w:val="auto"/>
                <w:sz w:val="24"/>
                <w:highlight w:val="none"/>
              </w:rPr>
              <w:t>本项目涉及的物料为可燃物质，该物料在起运时包装要完整，装载应稳妥。运输过程中严禁与易燃物或可燃物等混装混运。运输途中应防曝晒、防高温。公路运输时要按规定路线行驶，尽量避开经过居民区和人口稠密区。</w:t>
            </w:r>
          </w:p>
          <w:p>
            <w:pPr>
              <w:spacing w:line="360" w:lineRule="auto"/>
              <w:ind w:firstLine="480" w:firstLineChars="200"/>
              <w:rPr>
                <w:rFonts w:hint="default"/>
                <w:bCs/>
                <w:color w:val="auto"/>
                <w:sz w:val="24"/>
                <w:highlight w:val="none"/>
                <w:lang w:val="en-US" w:eastAsia="zh-CN"/>
              </w:rPr>
            </w:pPr>
            <w:r>
              <w:rPr>
                <w:rFonts w:hint="eastAsia"/>
                <w:bCs/>
                <w:color w:val="auto"/>
                <w:sz w:val="24"/>
                <w:highlight w:val="none"/>
                <w:lang w:val="en-US" w:eastAsia="zh-CN"/>
              </w:rPr>
              <w:t>3、危废储存间防范措施</w:t>
            </w:r>
          </w:p>
          <w:p>
            <w:pPr>
              <w:spacing w:line="360" w:lineRule="auto"/>
              <w:ind w:firstLine="480" w:firstLineChars="200"/>
              <w:rPr>
                <w:rFonts w:hint="eastAsia"/>
                <w:bCs/>
                <w:color w:val="auto"/>
                <w:sz w:val="24"/>
                <w:highlight w:val="none"/>
                <w:lang w:val="en-US" w:eastAsia="zh-CN"/>
              </w:rPr>
            </w:pPr>
            <w:r>
              <w:rPr>
                <w:rFonts w:hint="eastAsia"/>
                <w:bCs/>
                <w:color w:val="auto"/>
                <w:sz w:val="24"/>
                <w:highlight w:val="none"/>
              </w:rPr>
              <w:t>（1）</w:t>
            </w:r>
            <w:r>
              <w:rPr>
                <w:rFonts w:hint="eastAsia"/>
                <w:bCs/>
                <w:color w:val="auto"/>
                <w:sz w:val="24"/>
                <w:highlight w:val="none"/>
                <w:lang w:val="en-US" w:eastAsia="zh-CN"/>
              </w:rPr>
              <w:t>危废暂存场所地面应进行重点防渗，对于重点污染防治区，应参照《危险废物贮存污染控制标准》的相关要求进行防渗设计。重点防渗区的基础必须防渗处理，地面应采用混凝土浇筑硬化，并铺设至少3mm厚HDPE防渗膜，渗透系数≤10</w:t>
            </w:r>
            <w:r>
              <w:rPr>
                <w:rFonts w:hint="eastAsia"/>
                <w:bCs/>
                <w:color w:val="auto"/>
                <w:sz w:val="24"/>
                <w:highlight w:val="none"/>
                <w:vertAlign w:val="superscript"/>
                <w:lang w:val="en-US" w:eastAsia="zh-CN"/>
              </w:rPr>
              <w:t>-7</w:t>
            </w:r>
            <w:r>
              <w:rPr>
                <w:rFonts w:hint="eastAsia"/>
                <w:bCs/>
                <w:color w:val="auto"/>
                <w:sz w:val="24"/>
                <w:highlight w:val="none"/>
                <w:lang w:val="en-US" w:eastAsia="zh-CN"/>
              </w:rPr>
              <w:t>cm/s。</w:t>
            </w:r>
          </w:p>
          <w:p>
            <w:pPr>
              <w:spacing w:line="360" w:lineRule="auto"/>
              <w:ind w:firstLine="480" w:firstLineChars="200"/>
              <w:rPr>
                <w:rFonts w:hint="eastAsia"/>
                <w:bCs/>
                <w:color w:val="auto"/>
                <w:sz w:val="24"/>
                <w:highlight w:val="none"/>
                <w:lang w:val="en-US" w:eastAsia="zh-CN"/>
              </w:rPr>
            </w:pPr>
            <w:r>
              <w:rPr>
                <w:rFonts w:hint="eastAsia"/>
                <w:bCs/>
                <w:color w:val="auto"/>
                <w:sz w:val="24"/>
                <w:highlight w:val="none"/>
              </w:rPr>
              <w:t>（2）</w:t>
            </w:r>
            <w:r>
              <w:rPr>
                <w:rFonts w:hint="eastAsia"/>
                <w:bCs/>
                <w:color w:val="auto"/>
                <w:sz w:val="24"/>
                <w:highlight w:val="none"/>
                <w:lang w:val="en-US" w:eastAsia="zh-CN"/>
              </w:rPr>
              <w:t>危险废物在厂内暂存期间应按照《危险废物贮存污染控制标准》（GB18597-2023）的要求加强管理，避免泄漏、渗漏。</w:t>
            </w:r>
          </w:p>
          <w:p>
            <w:pPr>
              <w:spacing w:line="360" w:lineRule="auto"/>
              <w:ind w:firstLine="480" w:firstLineChars="200"/>
              <w:rPr>
                <w:rFonts w:hint="eastAsia"/>
                <w:bCs/>
                <w:color w:val="auto"/>
                <w:sz w:val="24"/>
                <w:highlight w:val="none"/>
                <w:lang w:val="en-US" w:eastAsia="zh-CN"/>
              </w:rPr>
            </w:pPr>
            <w:r>
              <w:rPr>
                <w:rFonts w:hint="eastAsia"/>
                <w:bCs/>
                <w:color w:val="auto"/>
                <w:sz w:val="24"/>
                <w:highlight w:val="none"/>
              </w:rPr>
              <w:t>（3）</w:t>
            </w:r>
            <w:r>
              <w:rPr>
                <w:rFonts w:hint="eastAsia"/>
                <w:bCs/>
                <w:color w:val="auto"/>
                <w:sz w:val="24"/>
                <w:highlight w:val="none"/>
                <w:lang w:val="en-US" w:eastAsia="zh-CN"/>
              </w:rPr>
              <w:t>危险废物的包装容器应当牢固、密封，发现破损、残缺、变形和物品变质、分解等情况时，应当及时注意安全处理，严防跑、冒、滴、漏。并在醒目处表明储存物品的名称、性质和灭火方法。</w:t>
            </w:r>
          </w:p>
          <w:p>
            <w:pPr>
              <w:spacing w:line="360" w:lineRule="auto"/>
              <w:ind w:firstLine="480" w:firstLineChars="200"/>
              <w:rPr>
                <w:rFonts w:hint="eastAsia"/>
                <w:bCs/>
                <w:color w:val="auto"/>
                <w:sz w:val="24"/>
                <w:highlight w:val="none"/>
              </w:rPr>
            </w:pPr>
            <w:r>
              <w:rPr>
                <w:rFonts w:hint="eastAsia"/>
                <w:bCs/>
                <w:color w:val="auto"/>
                <w:sz w:val="24"/>
                <w:highlight w:val="none"/>
                <w:lang w:val="en-US" w:eastAsia="zh-CN"/>
              </w:rPr>
              <w:t>4</w:t>
            </w:r>
            <w:r>
              <w:rPr>
                <w:rFonts w:hint="eastAsia"/>
                <w:bCs/>
                <w:color w:val="auto"/>
                <w:sz w:val="24"/>
                <w:highlight w:val="none"/>
              </w:rPr>
              <w:t>、废气事故防范措施</w:t>
            </w:r>
          </w:p>
          <w:p>
            <w:pPr>
              <w:spacing w:line="360" w:lineRule="auto"/>
              <w:ind w:firstLine="480" w:firstLineChars="200"/>
              <w:rPr>
                <w:rFonts w:hint="eastAsia"/>
                <w:bCs/>
                <w:color w:val="auto"/>
                <w:sz w:val="24"/>
                <w:highlight w:val="none"/>
              </w:rPr>
            </w:pPr>
            <w:r>
              <w:rPr>
                <w:rFonts w:hint="eastAsia"/>
                <w:bCs/>
                <w:color w:val="auto"/>
                <w:sz w:val="24"/>
                <w:highlight w:val="none"/>
              </w:rPr>
              <w:t>（1）废气处理设备制定严格的操作规程，严格按操作规程进行运行控制，防止误操作导致废气事故排放，操作规程上墙，并在各危险区域张贴应急联系电话。</w:t>
            </w:r>
          </w:p>
          <w:p>
            <w:pPr>
              <w:spacing w:line="360" w:lineRule="auto"/>
              <w:ind w:firstLine="480" w:firstLineChars="200"/>
              <w:rPr>
                <w:rFonts w:hint="eastAsia"/>
                <w:bCs/>
                <w:color w:val="auto"/>
                <w:sz w:val="24"/>
                <w:highlight w:val="none"/>
              </w:rPr>
            </w:pPr>
            <w:r>
              <w:rPr>
                <w:rFonts w:hint="eastAsia"/>
                <w:bCs/>
                <w:color w:val="auto"/>
                <w:sz w:val="24"/>
                <w:highlight w:val="none"/>
              </w:rPr>
              <w:t>（2）</w:t>
            </w:r>
            <w:r>
              <w:rPr>
                <w:rFonts w:hint="eastAsia"/>
                <w:bCs/>
                <w:color w:val="auto"/>
                <w:sz w:val="24"/>
                <w:highlight w:val="none"/>
                <w:lang w:val="en-US" w:eastAsia="zh-CN"/>
              </w:rPr>
              <w:t>布袋</w:t>
            </w:r>
            <w:r>
              <w:rPr>
                <w:rFonts w:hint="eastAsia"/>
                <w:bCs/>
                <w:color w:val="auto"/>
                <w:sz w:val="24"/>
                <w:highlight w:val="none"/>
              </w:rPr>
              <w:t>定期更换以保证废气的处理效果符合排放标准。</w:t>
            </w:r>
          </w:p>
          <w:p>
            <w:pPr>
              <w:spacing w:line="360" w:lineRule="auto"/>
              <w:ind w:firstLine="480" w:firstLineChars="200"/>
              <w:rPr>
                <w:rFonts w:hint="eastAsia"/>
                <w:bCs/>
                <w:color w:val="auto"/>
                <w:sz w:val="24"/>
                <w:highlight w:val="none"/>
              </w:rPr>
            </w:pPr>
            <w:r>
              <w:rPr>
                <w:rFonts w:hint="eastAsia"/>
                <w:bCs/>
                <w:color w:val="auto"/>
                <w:sz w:val="24"/>
                <w:highlight w:val="none"/>
              </w:rPr>
              <w:t>（3）管理人员每天对各废气处理设施巡检一次，查看废气处理设施运转是否正常，运行控制是否到位，不定时对各记录表进行检查。</w:t>
            </w:r>
          </w:p>
          <w:p>
            <w:pPr>
              <w:spacing w:line="360" w:lineRule="auto"/>
              <w:ind w:firstLine="480" w:firstLineChars="200"/>
              <w:rPr>
                <w:rFonts w:hint="eastAsia"/>
                <w:bCs/>
                <w:color w:val="auto"/>
                <w:sz w:val="24"/>
                <w:highlight w:val="none"/>
                <w:lang w:val="en-US" w:eastAsia="zh-CN"/>
              </w:rPr>
            </w:pPr>
            <w:r>
              <w:rPr>
                <w:rFonts w:hint="eastAsia"/>
                <w:bCs/>
                <w:color w:val="auto"/>
                <w:sz w:val="24"/>
                <w:highlight w:val="none"/>
                <w:lang w:val="en-US" w:eastAsia="zh-CN"/>
              </w:rPr>
              <w:t>综上所述，本项目存在一定的环境风险，建设单位应充分考虑到可能的风险事故并采取必要的措施，在日常工作中加强管理，预防和及时处理风险事故，减少可能的环境影响及经济损失。通过采取相应的环境风险防范措施后，本项目环境风险可得到有效控制。</w:t>
            </w:r>
          </w:p>
          <w:p>
            <w:pPr>
              <w:widowControl w:val="0"/>
              <w:spacing w:after="0" w:line="360" w:lineRule="auto"/>
              <w:ind w:firstLine="482" w:firstLineChars="200"/>
              <w:jc w:val="both"/>
              <w:rPr>
                <w:rFonts w:ascii="Times New Roman" w:hAnsi="Times New Roman" w:eastAsia="宋体" w:cs="Times New Roman"/>
                <w:b/>
                <w:color w:val="auto"/>
                <w:kern w:val="2"/>
                <w:sz w:val="24"/>
                <w:szCs w:val="24"/>
                <w:highlight w:val="none"/>
                <w:u w:val="single"/>
              </w:rPr>
            </w:pPr>
            <w:r>
              <w:rPr>
                <w:rFonts w:hint="eastAsia" w:ascii="Times New Roman" w:hAnsi="Times New Roman" w:eastAsia="宋体" w:cs="Times New Roman"/>
                <w:b/>
                <w:color w:val="auto"/>
                <w:kern w:val="2"/>
                <w:sz w:val="24"/>
                <w:szCs w:val="24"/>
                <w:highlight w:val="none"/>
                <w:u w:val="single"/>
                <w:lang w:val="en-US" w:eastAsia="zh-CN"/>
              </w:rPr>
              <w:t>七、</w:t>
            </w:r>
            <w:r>
              <w:rPr>
                <w:rFonts w:ascii="Times New Roman" w:hAnsi="Times New Roman" w:eastAsia="宋体" w:cs="Times New Roman"/>
                <w:b/>
                <w:color w:val="auto"/>
                <w:kern w:val="2"/>
                <w:sz w:val="24"/>
                <w:szCs w:val="24"/>
                <w:highlight w:val="none"/>
                <w:u w:val="single"/>
              </w:rPr>
              <w:t>运输对沿线居民的影响分析</w:t>
            </w:r>
          </w:p>
          <w:p>
            <w:pPr>
              <w:widowControl w:val="0"/>
              <w:spacing w:after="0" w:line="360" w:lineRule="auto"/>
              <w:ind w:firstLine="480" w:firstLineChars="200"/>
              <w:jc w:val="both"/>
              <w:rPr>
                <w:rFonts w:ascii="Times New Roman" w:hAnsi="Times New Roman" w:eastAsia="宋体" w:cs="Times New Roman"/>
                <w:bCs/>
                <w:color w:val="auto"/>
                <w:kern w:val="2"/>
                <w:sz w:val="24"/>
                <w:szCs w:val="24"/>
                <w:highlight w:val="none"/>
                <w:u w:val="single"/>
              </w:rPr>
            </w:pPr>
            <w:r>
              <w:rPr>
                <w:rFonts w:ascii="Times New Roman" w:hAnsi="Times New Roman" w:eastAsia="宋体" w:cs="Times New Roman"/>
                <w:bCs/>
                <w:color w:val="auto"/>
                <w:kern w:val="2"/>
                <w:sz w:val="24"/>
                <w:szCs w:val="24"/>
                <w:highlight w:val="none"/>
                <w:u w:val="single"/>
              </w:rPr>
              <w:t>项目原料和产品由汽车运输，道路主要为乡道和S</w:t>
            </w:r>
            <w:r>
              <w:rPr>
                <w:rFonts w:hint="eastAsia" w:ascii="Times New Roman" w:hAnsi="Times New Roman" w:eastAsia="宋体" w:cs="Times New Roman"/>
                <w:bCs/>
                <w:color w:val="auto"/>
                <w:kern w:val="2"/>
                <w:sz w:val="24"/>
                <w:szCs w:val="24"/>
                <w:highlight w:val="none"/>
                <w:u w:val="single"/>
                <w:lang w:val="en-US" w:eastAsia="zh-CN"/>
              </w:rPr>
              <w:t>206</w:t>
            </w:r>
            <w:r>
              <w:rPr>
                <w:rFonts w:ascii="Times New Roman" w:hAnsi="Times New Roman" w:eastAsia="宋体" w:cs="Times New Roman"/>
                <w:bCs/>
                <w:color w:val="auto"/>
                <w:kern w:val="2"/>
                <w:sz w:val="24"/>
                <w:szCs w:val="24"/>
                <w:highlight w:val="none"/>
                <w:u w:val="single"/>
              </w:rPr>
              <w:t>省道。沿线居民主要为道路两侧居民，运输线路距周边居民点最近距离为5m，主要影响为运输扬尘和运输噪声。</w:t>
            </w:r>
          </w:p>
          <w:p>
            <w:pPr>
              <w:widowControl w:val="0"/>
              <w:spacing w:after="0" w:line="360" w:lineRule="auto"/>
              <w:ind w:firstLine="480" w:firstLineChars="200"/>
              <w:jc w:val="both"/>
              <w:rPr>
                <w:rFonts w:ascii="Times New Roman" w:hAnsi="Times New Roman" w:eastAsia="宋体" w:cs="Times New Roman"/>
                <w:bCs/>
                <w:color w:val="auto"/>
                <w:kern w:val="2"/>
                <w:sz w:val="24"/>
                <w:szCs w:val="24"/>
                <w:highlight w:val="none"/>
                <w:u w:val="single"/>
              </w:rPr>
            </w:pPr>
            <w:r>
              <w:rPr>
                <w:rFonts w:ascii="宋体" w:hAnsi="宋体" w:cs="Times New Roman"/>
                <w:bCs/>
                <w:color w:val="auto"/>
                <w:kern w:val="2"/>
                <w:sz w:val="24"/>
                <w:szCs w:val="24"/>
                <w:highlight w:val="none"/>
                <w:u w:val="single"/>
              </w:rPr>
              <w:t>环评建议采取设专人对</w:t>
            </w:r>
            <w:r>
              <w:rPr>
                <w:rFonts w:hint="eastAsia" w:ascii="宋体" w:hAnsi="宋体" w:cs="Times New Roman"/>
                <w:bCs/>
                <w:color w:val="auto"/>
                <w:kern w:val="2"/>
                <w:sz w:val="24"/>
                <w:szCs w:val="24"/>
                <w:highlight w:val="none"/>
                <w:u w:val="single"/>
                <w:lang w:val="en-US" w:eastAsia="zh-CN"/>
              </w:rPr>
              <w:t>进出厂区大门口</w:t>
            </w:r>
            <w:r>
              <w:rPr>
                <w:rFonts w:ascii="宋体" w:hAnsi="宋体" w:cs="Times New Roman"/>
                <w:bCs/>
                <w:color w:val="auto"/>
                <w:kern w:val="2"/>
                <w:sz w:val="24"/>
                <w:szCs w:val="24"/>
                <w:highlight w:val="none"/>
                <w:u w:val="single"/>
              </w:rPr>
              <w:t>道路进行定期清扫、洒水，严禁物料超出箱板，并加盖篷布防止洒落</w:t>
            </w:r>
            <w:r>
              <w:rPr>
                <w:rFonts w:hint="eastAsia" w:ascii="宋体" w:hAnsi="宋体" w:cs="Times New Roman"/>
                <w:bCs/>
                <w:color w:val="auto"/>
                <w:kern w:val="2"/>
                <w:sz w:val="24"/>
                <w:szCs w:val="24"/>
                <w:highlight w:val="none"/>
                <w:u w:val="single"/>
              </w:rPr>
              <w:t>；</w:t>
            </w:r>
            <w:r>
              <w:rPr>
                <w:rFonts w:ascii="宋体" w:hAnsi="宋体" w:cs="Times New Roman"/>
                <w:bCs/>
                <w:color w:val="auto"/>
                <w:kern w:val="2"/>
                <w:sz w:val="24"/>
                <w:szCs w:val="24"/>
                <w:highlight w:val="none"/>
                <w:u w:val="single"/>
              </w:rPr>
              <w:t>严格控制进出厂区车辆的运输车速，尽量降低车速，分散进出；同时要求夜间(22:00～次日 6:00)禁止运输。通过这些措施，可以有效的减少运输</w:t>
            </w:r>
            <w:r>
              <w:rPr>
                <w:rFonts w:hint="eastAsia" w:ascii="宋体" w:hAnsi="宋体" w:cs="Times New Roman"/>
                <w:bCs/>
                <w:color w:val="auto"/>
                <w:kern w:val="2"/>
                <w:sz w:val="24"/>
                <w:szCs w:val="24"/>
                <w:highlight w:val="none"/>
                <w:u w:val="single"/>
              </w:rPr>
              <w:t>过程中扬尘和噪声影响</w:t>
            </w:r>
            <w:r>
              <w:rPr>
                <w:rFonts w:ascii="Times New Roman" w:hAnsi="Times New Roman" w:eastAsia="宋体" w:cs="Times New Roman"/>
                <w:bCs/>
                <w:color w:val="auto"/>
                <w:kern w:val="2"/>
                <w:sz w:val="24"/>
                <w:szCs w:val="24"/>
                <w:highlight w:val="none"/>
                <w:u w:val="single"/>
              </w:rPr>
              <w:t>。</w:t>
            </w:r>
          </w:p>
          <w:p>
            <w:pPr>
              <w:spacing w:line="360" w:lineRule="auto"/>
              <w:ind w:firstLine="482" w:firstLineChars="200"/>
              <w:rPr>
                <w:rFonts w:hint="eastAsia"/>
                <w:b/>
                <w:color w:val="auto"/>
                <w:sz w:val="24"/>
                <w:highlight w:val="none"/>
              </w:rPr>
            </w:pPr>
            <w:r>
              <w:rPr>
                <w:rFonts w:hint="eastAsia"/>
                <w:b/>
                <w:color w:val="auto"/>
                <w:sz w:val="24"/>
                <w:highlight w:val="none"/>
                <w:lang w:val="en-US" w:eastAsia="zh-CN"/>
              </w:rPr>
              <w:t>八</w:t>
            </w:r>
            <w:r>
              <w:rPr>
                <w:rFonts w:hint="eastAsia"/>
                <w:b/>
                <w:color w:val="auto"/>
                <w:sz w:val="24"/>
                <w:highlight w:val="none"/>
              </w:rPr>
              <w:t>、监测要求</w:t>
            </w:r>
          </w:p>
          <w:p>
            <w:pPr>
              <w:spacing w:line="360" w:lineRule="auto"/>
              <w:ind w:firstLine="480" w:firstLineChars="200"/>
              <w:rPr>
                <w:rFonts w:hint="eastAsia"/>
                <w:bCs/>
                <w:color w:val="auto"/>
                <w:sz w:val="24"/>
                <w:highlight w:val="none"/>
              </w:rPr>
            </w:pPr>
            <w:r>
              <w:rPr>
                <w:color w:val="auto"/>
                <w:sz w:val="24"/>
                <w:szCs w:val="32"/>
                <w:highlight w:val="none"/>
              </w:rPr>
              <w:t>根据</w:t>
            </w:r>
            <w:r>
              <w:rPr>
                <w:rFonts w:hint="eastAsia"/>
                <w:color w:val="auto"/>
                <w:sz w:val="24"/>
                <w:szCs w:val="32"/>
                <w:highlight w:val="none"/>
              </w:rPr>
              <w:t>《排污许可证申请与核发技术规范 总则》（HJ942—2018）、</w:t>
            </w:r>
            <w:r>
              <w:rPr>
                <w:color w:val="auto"/>
                <w:sz w:val="24"/>
                <w:szCs w:val="32"/>
                <w:highlight w:val="none"/>
              </w:rPr>
              <w:t>《排污单位自行监测技术指南 总则》（HJ819-2017）</w:t>
            </w:r>
            <w:r>
              <w:rPr>
                <w:rFonts w:hint="eastAsia"/>
                <w:color w:val="auto"/>
                <w:sz w:val="24"/>
                <w:szCs w:val="32"/>
                <w:highlight w:val="none"/>
              </w:rPr>
              <w:t>，本项目自行监测计划见下表4-1</w:t>
            </w:r>
            <w:r>
              <w:rPr>
                <w:rFonts w:hint="eastAsia"/>
                <w:color w:val="auto"/>
                <w:sz w:val="24"/>
                <w:szCs w:val="32"/>
                <w:highlight w:val="none"/>
                <w:lang w:val="en-US" w:eastAsia="zh-CN"/>
              </w:rPr>
              <w:t>5</w:t>
            </w:r>
            <w:r>
              <w:rPr>
                <w:rFonts w:hint="eastAsia"/>
                <w:color w:val="auto"/>
                <w:sz w:val="24"/>
                <w:szCs w:val="32"/>
                <w:highlight w:val="none"/>
              </w:rPr>
              <w:t>。</w:t>
            </w:r>
          </w:p>
          <w:p>
            <w:pPr>
              <w:spacing w:line="360" w:lineRule="auto"/>
              <w:jc w:val="center"/>
              <w:rPr>
                <w:rFonts w:hint="eastAsia"/>
                <w:bCs/>
                <w:color w:val="auto"/>
                <w:sz w:val="24"/>
                <w:highlight w:val="none"/>
              </w:rPr>
            </w:pPr>
            <w:r>
              <w:rPr>
                <w:rFonts w:hint="eastAsia"/>
                <w:b/>
                <w:bCs/>
                <w:color w:val="auto"/>
                <w:sz w:val="24"/>
                <w:highlight w:val="none"/>
              </w:rPr>
              <w:t>表4-1</w:t>
            </w:r>
            <w:r>
              <w:rPr>
                <w:rFonts w:hint="eastAsia"/>
                <w:b/>
                <w:bCs/>
                <w:color w:val="auto"/>
                <w:sz w:val="24"/>
                <w:highlight w:val="none"/>
                <w:lang w:val="en-US" w:eastAsia="zh-CN"/>
              </w:rPr>
              <w:t>5</w:t>
            </w:r>
            <w:r>
              <w:rPr>
                <w:rFonts w:hint="eastAsia"/>
                <w:b/>
                <w:bCs/>
                <w:color w:val="auto"/>
                <w:sz w:val="24"/>
                <w:highlight w:val="none"/>
              </w:rPr>
              <w:t xml:space="preserve">  项目自行监测计划一览表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137"/>
              <w:gridCol w:w="1167"/>
              <w:gridCol w:w="1123"/>
              <w:gridCol w:w="3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noWrap w:val="0"/>
                  <w:vAlign w:val="center"/>
                </w:tcPr>
                <w:p>
                  <w:pPr>
                    <w:jc w:val="center"/>
                    <w:rPr>
                      <w:color w:val="auto"/>
                      <w:highlight w:val="none"/>
                    </w:rPr>
                  </w:pPr>
                  <w:r>
                    <w:rPr>
                      <w:rFonts w:hint="eastAsia"/>
                      <w:color w:val="auto"/>
                      <w:highlight w:val="none"/>
                    </w:rPr>
                    <w:t>类别</w:t>
                  </w:r>
                </w:p>
              </w:tc>
              <w:tc>
                <w:tcPr>
                  <w:tcW w:w="711" w:type="pct"/>
                  <w:noWrap w:val="0"/>
                  <w:vAlign w:val="center"/>
                </w:tcPr>
                <w:p>
                  <w:pPr>
                    <w:jc w:val="center"/>
                    <w:rPr>
                      <w:color w:val="auto"/>
                      <w:highlight w:val="none"/>
                    </w:rPr>
                  </w:pPr>
                  <w:r>
                    <w:rPr>
                      <w:rFonts w:hint="eastAsia"/>
                      <w:color w:val="auto"/>
                      <w:highlight w:val="none"/>
                    </w:rPr>
                    <w:t>监测点位</w:t>
                  </w:r>
                </w:p>
              </w:tc>
              <w:tc>
                <w:tcPr>
                  <w:tcW w:w="730" w:type="pct"/>
                  <w:noWrap w:val="0"/>
                  <w:vAlign w:val="center"/>
                </w:tcPr>
                <w:p>
                  <w:pPr>
                    <w:jc w:val="center"/>
                    <w:rPr>
                      <w:color w:val="auto"/>
                      <w:highlight w:val="none"/>
                    </w:rPr>
                  </w:pPr>
                  <w:r>
                    <w:rPr>
                      <w:rFonts w:hint="eastAsia"/>
                      <w:color w:val="auto"/>
                      <w:highlight w:val="none"/>
                    </w:rPr>
                    <w:t>监测指标</w:t>
                  </w:r>
                </w:p>
              </w:tc>
              <w:tc>
                <w:tcPr>
                  <w:tcW w:w="702" w:type="pct"/>
                  <w:noWrap w:val="0"/>
                  <w:vAlign w:val="center"/>
                </w:tcPr>
                <w:p>
                  <w:pPr>
                    <w:jc w:val="center"/>
                    <w:rPr>
                      <w:color w:val="auto"/>
                      <w:highlight w:val="none"/>
                    </w:rPr>
                  </w:pPr>
                  <w:r>
                    <w:rPr>
                      <w:rFonts w:hint="eastAsia"/>
                      <w:color w:val="auto"/>
                      <w:highlight w:val="none"/>
                    </w:rPr>
                    <w:t>监测频率</w:t>
                  </w:r>
                </w:p>
              </w:tc>
              <w:tc>
                <w:tcPr>
                  <w:tcW w:w="2447" w:type="pct"/>
                  <w:noWrap w:val="0"/>
                  <w:vAlign w:val="center"/>
                </w:tcPr>
                <w:p>
                  <w:pPr>
                    <w:jc w:val="center"/>
                    <w:rPr>
                      <w:color w:val="auto"/>
                      <w:highlight w:val="none"/>
                    </w:rPr>
                  </w:pPr>
                  <w:r>
                    <w:rPr>
                      <w:rFonts w:hint="eastAsia"/>
                      <w:color w:val="auto"/>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restart"/>
                  <w:noWrap w:val="0"/>
                  <w:vAlign w:val="center"/>
                </w:tcPr>
                <w:p>
                  <w:pPr>
                    <w:jc w:val="center"/>
                    <w:rPr>
                      <w:color w:val="auto"/>
                      <w:highlight w:val="none"/>
                    </w:rPr>
                  </w:pPr>
                  <w:r>
                    <w:rPr>
                      <w:rFonts w:hint="eastAsia"/>
                      <w:color w:val="auto"/>
                      <w:highlight w:val="none"/>
                    </w:rPr>
                    <w:t>废气</w:t>
                  </w:r>
                </w:p>
              </w:tc>
              <w:tc>
                <w:tcPr>
                  <w:tcW w:w="711" w:type="pct"/>
                  <w:vMerge w:val="restart"/>
                  <w:noWrap w:val="0"/>
                  <w:vAlign w:val="center"/>
                </w:tcPr>
                <w:p>
                  <w:pPr>
                    <w:jc w:val="center"/>
                    <w:rPr>
                      <w:rFonts w:hint="eastAsia" w:eastAsia="宋体"/>
                      <w:color w:val="auto"/>
                      <w:highlight w:val="none"/>
                      <w:lang w:eastAsia="zh-CN"/>
                    </w:rPr>
                  </w:pPr>
                  <w:r>
                    <w:rPr>
                      <w:rFonts w:hint="eastAsia"/>
                      <w:color w:val="auto"/>
                      <w:highlight w:val="none"/>
                    </w:rPr>
                    <w:t>DA00</w:t>
                  </w:r>
                  <w:r>
                    <w:rPr>
                      <w:rFonts w:hint="eastAsia"/>
                      <w:color w:val="auto"/>
                      <w:highlight w:val="none"/>
                      <w:lang w:val="en-US" w:eastAsia="zh-CN"/>
                    </w:rPr>
                    <w:t>1</w:t>
                  </w:r>
                </w:p>
              </w:tc>
              <w:tc>
                <w:tcPr>
                  <w:tcW w:w="73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rPr>
                    <w:t>颗粒物</w:t>
                  </w:r>
                </w:p>
              </w:tc>
              <w:tc>
                <w:tcPr>
                  <w:tcW w:w="702" w:type="pct"/>
                  <w:vMerge w:val="restart"/>
                  <w:noWrap w:val="0"/>
                  <w:vAlign w:val="center"/>
                </w:tcPr>
                <w:p>
                  <w:pPr>
                    <w:jc w:val="center"/>
                    <w:rPr>
                      <w:rFonts w:hint="eastAsia" w:eastAsia="宋体"/>
                      <w:color w:val="auto"/>
                      <w:highlight w:val="none"/>
                      <w:lang w:val="en-US" w:eastAsia="zh-CN"/>
                    </w:rPr>
                  </w:pPr>
                  <w:r>
                    <w:rPr>
                      <w:rFonts w:hint="eastAsia"/>
                      <w:color w:val="auto"/>
                      <w:highlight w:val="none"/>
                    </w:rPr>
                    <w:t>1次/年</w:t>
                  </w:r>
                  <w:r>
                    <w:rPr>
                      <w:rStyle w:val="28"/>
                      <w:rFonts w:hint="eastAsia"/>
                      <w:color w:val="auto"/>
                      <w:kern w:val="0"/>
                      <w:szCs w:val="20"/>
                      <w:highlight w:val="none"/>
                      <w:lang w:val="en-US" w:eastAsia="zh-CN"/>
                    </w:rPr>
                    <w:t xml:space="preserve"> </w:t>
                  </w:r>
                </w:p>
              </w:tc>
              <w:tc>
                <w:tcPr>
                  <w:tcW w:w="2447" w:type="pct"/>
                  <w:vMerge w:val="restart"/>
                  <w:noWrap w:val="0"/>
                  <w:vAlign w:val="center"/>
                </w:tcPr>
                <w:p>
                  <w:pPr>
                    <w:jc w:val="center"/>
                    <w:rPr>
                      <w:rFonts w:hint="default"/>
                      <w:color w:val="auto"/>
                      <w:highlight w:val="none"/>
                      <w:lang w:val="en-US"/>
                    </w:rPr>
                  </w:pPr>
                  <w:r>
                    <w:rPr>
                      <w:rFonts w:hint="eastAsia"/>
                      <w:color w:val="auto"/>
                      <w:highlight w:val="none"/>
                    </w:rPr>
                    <w:t>颗粒物、二氧化硫</w:t>
                  </w:r>
                  <w:r>
                    <w:rPr>
                      <w:rFonts w:hint="eastAsia"/>
                      <w:color w:val="auto"/>
                      <w:highlight w:val="none"/>
                      <w:lang w:val="en-US" w:eastAsia="zh-CN"/>
                    </w:rPr>
                    <w:t>执行</w:t>
                  </w:r>
                  <w:r>
                    <w:rPr>
                      <w:rFonts w:hint="eastAsia"/>
                      <w:color w:val="auto"/>
                      <w:highlight w:val="none"/>
                    </w:rPr>
                    <w:t>《湖南省工业炉窑大气污染综合治理实施方案》中附件一表中的工业炉窑标准限值，氮氧化物</w:t>
                  </w:r>
                  <w:r>
                    <w:rPr>
                      <w:rFonts w:hint="eastAsia"/>
                      <w:color w:val="auto"/>
                      <w:highlight w:val="none"/>
                      <w:lang w:val="en-US" w:eastAsia="zh-CN"/>
                    </w:rPr>
                    <w:t>执行</w:t>
                  </w:r>
                  <w:r>
                    <w:rPr>
                      <w:rFonts w:hint="eastAsia"/>
                      <w:color w:val="auto"/>
                      <w:highlight w:val="none"/>
                    </w:rPr>
                    <w:t>《大气污染物综合排放标准》（GB16297-1996）表2标准</w:t>
                  </w:r>
                  <w:r>
                    <w:rPr>
                      <w:rFonts w:hint="eastAsia"/>
                      <w:color w:val="auto"/>
                      <w:highlight w:val="none"/>
                      <w:lang w:eastAsia="zh-CN"/>
                    </w:rPr>
                    <w:t>，</w:t>
                  </w:r>
                  <w:r>
                    <w:rPr>
                      <w:rFonts w:hint="eastAsia"/>
                      <w:color w:val="auto"/>
                      <w:szCs w:val="21"/>
                      <w:highlight w:val="none"/>
                      <w:lang w:val="en-US" w:eastAsia="zh-CN"/>
                    </w:rPr>
                    <w:t>烟气黑度执行《工业炉窑大气污染物排放标准》（GB9078-1996）表2中林格曼级1级标准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jc w:val="center"/>
                    <w:rPr>
                      <w:rFonts w:hint="eastAsia"/>
                      <w:color w:val="auto"/>
                      <w:highlight w:val="none"/>
                    </w:rPr>
                  </w:pPr>
                </w:p>
              </w:tc>
              <w:tc>
                <w:tcPr>
                  <w:tcW w:w="711" w:type="pct"/>
                  <w:vMerge w:val="continue"/>
                  <w:noWrap w:val="0"/>
                  <w:vAlign w:val="center"/>
                </w:tcPr>
                <w:p>
                  <w:pPr>
                    <w:jc w:val="center"/>
                    <w:rPr>
                      <w:rFonts w:hint="eastAsia"/>
                      <w:color w:val="auto"/>
                      <w:highlight w:val="none"/>
                    </w:rPr>
                  </w:pPr>
                </w:p>
              </w:tc>
              <w:tc>
                <w:tcPr>
                  <w:tcW w:w="730" w:type="pct"/>
                  <w:noWrap w:val="0"/>
                  <w:vAlign w:val="center"/>
                </w:tcPr>
                <w:p>
                  <w:pPr>
                    <w:jc w:val="center"/>
                    <w:rPr>
                      <w:rFonts w:hint="eastAsia"/>
                      <w:color w:val="auto"/>
                      <w:szCs w:val="21"/>
                      <w:highlight w:val="none"/>
                    </w:rPr>
                  </w:pPr>
                  <w:r>
                    <w:rPr>
                      <w:rFonts w:hint="eastAsia"/>
                      <w:color w:val="auto"/>
                      <w:szCs w:val="21"/>
                      <w:highlight w:val="none"/>
                      <w:lang w:val="en-US" w:eastAsia="zh-CN"/>
                    </w:rPr>
                    <w:t>烟气黑度</w:t>
                  </w:r>
                </w:p>
              </w:tc>
              <w:tc>
                <w:tcPr>
                  <w:tcW w:w="702" w:type="pct"/>
                  <w:vMerge w:val="continue"/>
                  <w:noWrap w:val="0"/>
                  <w:vAlign w:val="center"/>
                </w:tcPr>
                <w:p>
                  <w:pPr>
                    <w:jc w:val="center"/>
                    <w:rPr>
                      <w:rFonts w:hint="eastAsia"/>
                      <w:color w:val="auto"/>
                      <w:highlight w:val="none"/>
                    </w:rPr>
                  </w:pPr>
                </w:p>
              </w:tc>
              <w:tc>
                <w:tcPr>
                  <w:tcW w:w="2447" w:type="pct"/>
                  <w:vMerge w:val="continue"/>
                  <w:noWrap w:val="0"/>
                  <w:vAlign w:val="center"/>
                </w:tcPr>
                <w:p>
                  <w:pPr>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jc w:val="center"/>
                    <w:rPr>
                      <w:rFonts w:hint="eastAsia"/>
                      <w:color w:val="auto"/>
                      <w:highlight w:val="none"/>
                    </w:rPr>
                  </w:pPr>
                </w:p>
              </w:tc>
              <w:tc>
                <w:tcPr>
                  <w:tcW w:w="711" w:type="pct"/>
                  <w:vMerge w:val="continue"/>
                  <w:noWrap w:val="0"/>
                  <w:vAlign w:val="center"/>
                </w:tcPr>
                <w:p>
                  <w:pPr>
                    <w:jc w:val="center"/>
                    <w:rPr>
                      <w:rFonts w:hint="eastAsia"/>
                      <w:color w:val="auto"/>
                      <w:highlight w:val="none"/>
                    </w:rPr>
                  </w:pP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szCs w:val="21"/>
                      <w:highlight w:val="none"/>
                    </w:rPr>
                  </w:pPr>
                  <w:r>
                    <w:rPr>
                      <w:rFonts w:hint="eastAsia" w:ascii="Times New Roman" w:hAnsi="Times New Roman" w:eastAsia="宋体" w:cs="Times New Roman"/>
                      <w:color w:val="auto"/>
                      <w:sz w:val="21"/>
                      <w:szCs w:val="21"/>
                      <w:highlight w:val="none"/>
                    </w:rPr>
                    <w:t>SO</w:t>
                  </w:r>
                  <w:r>
                    <w:rPr>
                      <w:rFonts w:hint="eastAsia" w:ascii="Times New Roman" w:hAnsi="Times New Roman" w:eastAsia="宋体" w:cs="Times New Roman"/>
                      <w:color w:val="auto"/>
                      <w:sz w:val="21"/>
                      <w:szCs w:val="21"/>
                      <w:highlight w:val="none"/>
                      <w:vertAlign w:val="subscript"/>
                    </w:rPr>
                    <w:t>2</w:t>
                  </w:r>
                </w:p>
              </w:tc>
              <w:tc>
                <w:tcPr>
                  <w:tcW w:w="702" w:type="pct"/>
                  <w:vMerge w:val="continue"/>
                  <w:noWrap w:val="0"/>
                  <w:vAlign w:val="center"/>
                </w:tcPr>
                <w:p>
                  <w:pPr>
                    <w:jc w:val="center"/>
                    <w:rPr>
                      <w:rFonts w:hint="eastAsia"/>
                      <w:color w:val="auto"/>
                      <w:highlight w:val="none"/>
                    </w:rPr>
                  </w:pPr>
                </w:p>
              </w:tc>
              <w:tc>
                <w:tcPr>
                  <w:tcW w:w="2447" w:type="pct"/>
                  <w:vMerge w:val="continue"/>
                  <w:noWrap w:val="0"/>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jc w:val="center"/>
                    <w:rPr>
                      <w:rFonts w:hint="eastAsia"/>
                      <w:color w:val="auto"/>
                      <w:highlight w:val="none"/>
                    </w:rPr>
                  </w:pPr>
                </w:p>
              </w:tc>
              <w:tc>
                <w:tcPr>
                  <w:tcW w:w="711" w:type="pct"/>
                  <w:vMerge w:val="continue"/>
                  <w:noWrap w:val="0"/>
                  <w:vAlign w:val="center"/>
                </w:tcPr>
                <w:p>
                  <w:pPr>
                    <w:jc w:val="center"/>
                    <w:rPr>
                      <w:rFonts w:hint="eastAsia"/>
                      <w:color w:val="auto"/>
                      <w:highlight w:val="none"/>
                    </w:rPr>
                  </w:pP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宋体"/>
                      <w:color w:val="auto"/>
                      <w:szCs w:val="21"/>
                      <w:highlight w:val="none"/>
                      <w:lang w:val="en-US" w:eastAsia="zh-CN"/>
                    </w:rPr>
                  </w:pPr>
                  <w:r>
                    <w:rPr>
                      <w:rFonts w:hint="eastAsia" w:ascii="Times New Roman" w:hAnsi="Times New Roman" w:eastAsia="宋体" w:cs="Times New Roman"/>
                      <w:color w:val="auto"/>
                      <w:sz w:val="21"/>
                      <w:szCs w:val="21"/>
                      <w:highlight w:val="none"/>
                    </w:rPr>
                    <w:t>NO</w:t>
                  </w:r>
                  <w:r>
                    <w:rPr>
                      <w:rFonts w:hint="eastAsia" w:ascii="Times New Roman" w:hAnsi="Times New Roman" w:eastAsia="宋体" w:cs="Times New Roman"/>
                      <w:color w:val="auto"/>
                      <w:sz w:val="21"/>
                      <w:szCs w:val="21"/>
                      <w:highlight w:val="none"/>
                      <w:vertAlign w:val="subscript"/>
                    </w:rPr>
                    <w:t>X</w:t>
                  </w:r>
                </w:p>
              </w:tc>
              <w:tc>
                <w:tcPr>
                  <w:tcW w:w="702" w:type="pct"/>
                  <w:vMerge w:val="continue"/>
                  <w:noWrap w:val="0"/>
                  <w:vAlign w:val="center"/>
                </w:tcPr>
                <w:p>
                  <w:pPr>
                    <w:jc w:val="center"/>
                    <w:rPr>
                      <w:rFonts w:hint="eastAsia"/>
                      <w:color w:val="auto"/>
                      <w:highlight w:val="none"/>
                    </w:rPr>
                  </w:pPr>
                </w:p>
              </w:tc>
              <w:tc>
                <w:tcPr>
                  <w:tcW w:w="2447" w:type="pct"/>
                  <w:vMerge w:val="continue"/>
                  <w:noWrap w:val="0"/>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vMerge w:val="continue"/>
                  <w:noWrap w:val="0"/>
                  <w:vAlign w:val="center"/>
                </w:tcPr>
                <w:p>
                  <w:pPr>
                    <w:jc w:val="center"/>
                    <w:rPr>
                      <w:rFonts w:hint="eastAsia"/>
                      <w:color w:val="auto"/>
                      <w:highlight w:val="none"/>
                    </w:rPr>
                  </w:pPr>
                </w:p>
              </w:tc>
              <w:tc>
                <w:tcPr>
                  <w:tcW w:w="711" w:type="pct"/>
                  <w:noWrap w:val="0"/>
                  <w:vAlign w:val="center"/>
                </w:tcPr>
                <w:p>
                  <w:pPr>
                    <w:jc w:val="center"/>
                    <w:rPr>
                      <w:color w:val="auto"/>
                      <w:highlight w:val="none"/>
                    </w:rPr>
                  </w:pPr>
                  <w:r>
                    <w:rPr>
                      <w:rFonts w:hint="eastAsia"/>
                      <w:color w:val="auto"/>
                      <w:highlight w:val="none"/>
                    </w:rPr>
                    <w:t>厂界</w:t>
                  </w:r>
                </w:p>
              </w:tc>
              <w:tc>
                <w:tcPr>
                  <w:tcW w:w="730" w:type="pct"/>
                  <w:noWrap w:val="0"/>
                  <w:vAlign w:val="center"/>
                </w:tcPr>
                <w:p>
                  <w:pPr>
                    <w:jc w:val="center"/>
                    <w:rPr>
                      <w:color w:val="auto"/>
                      <w:highlight w:val="none"/>
                    </w:rPr>
                  </w:pPr>
                  <w:r>
                    <w:rPr>
                      <w:rFonts w:hint="eastAsia"/>
                      <w:color w:val="auto"/>
                      <w:highlight w:val="none"/>
                    </w:rPr>
                    <w:t>颗粒物</w:t>
                  </w:r>
                </w:p>
              </w:tc>
              <w:tc>
                <w:tcPr>
                  <w:tcW w:w="702" w:type="pct"/>
                  <w:noWrap w:val="0"/>
                  <w:vAlign w:val="center"/>
                </w:tcPr>
                <w:p>
                  <w:pPr>
                    <w:jc w:val="center"/>
                    <w:rPr>
                      <w:rFonts w:hint="eastAsia"/>
                      <w:color w:val="auto"/>
                      <w:highlight w:val="none"/>
                    </w:rPr>
                  </w:pPr>
                  <w:r>
                    <w:rPr>
                      <w:rFonts w:hint="eastAsia"/>
                      <w:color w:val="auto"/>
                      <w:highlight w:val="none"/>
                    </w:rPr>
                    <w:t>1次/年</w:t>
                  </w:r>
                </w:p>
              </w:tc>
              <w:tc>
                <w:tcPr>
                  <w:tcW w:w="2447" w:type="pct"/>
                  <w:noWrap w:val="0"/>
                  <w:vAlign w:val="center"/>
                </w:tcPr>
                <w:p>
                  <w:pPr>
                    <w:jc w:val="center"/>
                    <w:rPr>
                      <w:color w:val="auto"/>
                      <w:highlight w:val="none"/>
                    </w:rPr>
                  </w:pPr>
                  <w:r>
                    <w:rPr>
                      <w:color w:val="auto"/>
                      <w:highlight w:val="none"/>
                    </w:rPr>
                    <w:t>《大气污染物综合排放标准》（GB16297-1996）</w:t>
                  </w:r>
                  <w:r>
                    <w:rPr>
                      <w:rFonts w:hint="eastAsia"/>
                      <w:color w:val="auto"/>
                      <w:highlight w:val="none"/>
                    </w:rPr>
                    <w:t>无组织排放监控浓度限值要求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pct"/>
                  <w:noWrap w:val="0"/>
                  <w:vAlign w:val="center"/>
                </w:tcPr>
                <w:p>
                  <w:pPr>
                    <w:jc w:val="center"/>
                    <w:rPr>
                      <w:color w:val="auto"/>
                      <w:highlight w:val="none"/>
                    </w:rPr>
                  </w:pPr>
                  <w:r>
                    <w:rPr>
                      <w:rFonts w:hint="eastAsia"/>
                      <w:color w:val="auto"/>
                      <w:highlight w:val="none"/>
                    </w:rPr>
                    <w:t>噪声</w:t>
                  </w:r>
                </w:p>
              </w:tc>
              <w:tc>
                <w:tcPr>
                  <w:tcW w:w="711" w:type="pct"/>
                  <w:noWrap w:val="0"/>
                  <w:vAlign w:val="center"/>
                </w:tcPr>
                <w:p>
                  <w:pPr>
                    <w:jc w:val="center"/>
                    <w:rPr>
                      <w:color w:val="auto"/>
                      <w:highlight w:val="none"/>
                    </w:rPr>
                  </w:pPr>
                  <w:r>
                    <w:rPr>
                      <w:rFonts w:hint="eastAsia"/>
                      <w:color w:val="auto"/>
                      <w:highlight w:val="none"/>
                    </w:rPr>
                    <w:t>厂界</w:t>
                  </w:r>
                </w:p>
              </w:tc>
              <w:tc>
                <w:tcPr>
                  <w:tcW w:w="730" w:type="pct"/>
                  <w:noWrap w:val="0"/>
                  <w:vAlign w:val="center"/>
                </w:tcPr>
                <w:p>
                  <w:pPr>
                    <w:adjustRightInd w:val="0"/>
                    <w:snapToGrid w:val="0"/>
                    <w:jc w:val="center"/>
                    <w:rPr>
                      <w:color w:val="auto"/>
                      <w:szCs w:val="21"/>
                      <w:highlight w:val="none"/>
                    </w:rPr>
                  </w:pPr>
                  <w:r>
                    <w:rPr>
                      <w:rFonts w:hint="eastAsia"/>
                      <w:color w:val="auto"/>
                      <w:szCs w:val="21"/>
                      <w:highlight w:val="none"/>
                    </w:rPr>
                    <w:t>等效连续A声级</w:t>
                  </w:r>
                </w:p>
              </w:tc>
              <w:tc>
                <w:tcPr>
                  <w:tcW w:w="702" w:type="pct"/>
                  <w:noWrap w:val="0"/>
                  <w:vAlign w:val="center"/>
                </w:tcPr>
                <w:p>
                  <w:pPr>
                    <w:jc w:val="center"/>
                    <w:rPr>
                      <w:color w:val="auto"/>
                      <w:highlight w:val="none"/>
                    </w:rPr>
                  </w:pPr>
                  <w:r>
                    <w:rPr>
                      <w:rFonts w:hint="eastAsia"/>
                      <w:color w:val="auto"/>
                      <w:highlight w:val="none"/>
                    </w:rPr>
                    <w:t>1次/季度</w:t>
                  </w:r>
                </w:p>
              </w:tc>
              <w:tc>
                <w:tcPr>
                  <w:tcW w:w="2447" w:type="pct"/>
                  <w:noWrap w:val="0"/>
                  <w:vAlign w:val="center"/>
                </w:tcPr>
                <w:p>
                  <w:pPr>
                    <w:jc w:val="center"/>
                    <w:rPr>
                      <w:color w:val="auto"/>
                      <w:highlight w:val="none"/>
                    </w:rPr>
                  </w:pPr>
                  <w:r>
                    <w:rPr>
                      <w:color w:val="auto"/>
                      <w:highlight w:val="none"/>
                    </w:rPr>
                    <w:t>《工业企业厂界环境噪声排放标准》（GB12348-2008）</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textAlignment w:val="auto"/>
              <w:rPr>
                <w:rFonts w:hint="eastAsia"/>
                <w:b/>
                <w:color w:val="auto"/>
                <w:sz w:val="24"/>
                <w:highlight w:val="none"/>
                <w:u w:val="none"/>
              </w:rPr>
            </w:pPr>
            <w:r>
              <w:rPr>
                <w:rFonts w:hint="eastAsia" w:eastAsia="宋体"/>
                <w:b/>
                <w:color w:val="auto"/>
                <w:sz w:val="24"/>
                <w:highlight w:val="none"/>
                <w:u w:val="none"/>
                <w:lang w:val="en-US" w:eastAsia="zh-CN"/>
              </w:rPr>
              <w:t>九</w:t>
            </w:r>
            <w:r>
              <w:rPr>
                <w:rFonts w:hint="eastAsia"/>
                <w:b/>
                <w:color w:val="auto"/>
                <w:sz w:val="24"/>
                <w:highlight w:val="none"/>
                <w:u w:val="none"/>
              </w:rPr>
              <w:t>、</w:t>
            </w:r>
            <w:r>
              <w:rPr>
                <w:rFonts w:hint="eastAsia"/>
                <w:b/>
                <w:color w:val="auto"/>
                <w:sz w:val="24"/>
                <w:highlight w:val="none"/>
                <w:u w:val="none"/>
                <w:lang w:val="en-US" w:eastAsia="zh-CN"/>
              </w:rPr>
              <w:t>环保投资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highlight w:val="none"/>
                <w:u w:val="none"/>
                <w:lang w:val="en-US" w:eastAsia="zh-CN"/>
              </w:rPr>
            </w:pPr>
            <w:r>
              <w:rPr>
                <w:rFonts w:hint="eastAsia" w:ascii="Times New Roman" w:hAnsi="Times New Roman" w:eastAsia="宋体" w:cs="Times New Roman"/>
                <w:color w:val="auto"/>
                <w:kern w:val="0"/>
                <w:sz w:val="24"/>
                <w:highlight w:val="none"/>
                <w:u w:val="none"/>
                <w:lang w:val="en-US" w:eastAsia="zh-CN"/>
              </w:rPr>
              <w:t>本项目总投资为580万，环保投资为48万，环保投资占工程总投资的8.3%。</w:t>
            </w:r>
          </w:p>
          <w:p>
            <w:pPr>
              <w:spacing w:line="360" w:lineRule="auto"/>
              <w:jc w:val="center"/>
              <w:rPr>
                <w:rFonts w:hint="default" w:ascii="Times New Roman" w:hAnsi="Times New Roman" w:eastAsia="宋体" w:cs="Times New Roman"/>
                <w:b/>
                <w:bCs/>
                <w:color w:val="auto"/>
                <w:sz w:val="24"/>
                <w:highlight w:val="none"/>
                <w:u w:val="none"/>
              </w:rPr>
            </w:pPr>
            <w:r>
              <w:rPr>
                <w:rFonts w:hint="default" w:ascii="Times New Roman" w:hAnsi="Times New Roman" w:eastAsia="宋体" w:cs="Times New Roman"/>
                <w:b/>
                <w:bCs/>
                <w:color w:val="auto"/>
                <w:sz w:val="24"/>
                <w:highlight w:val="none"/>
                <w:u w:val="none"/>
              </w:rPr>
              <w:t>表</w:t>
            </w:r>
            <w:r>
              <w:rPr>
                <w:rFonts w:hint="eastAsia" w:ascii="Times New Roman" w:hAnsi="Times New Roman" w:eastAsia="宋体" w:cs="Times New Roman"/>
                <w:b/>
                <w:bCs/>
                <w:color w:val="auto"/>
                <w:sz w:val="24"/>
                <w:highlight w:val="none"/>
                <w:u w:val="none"/>
                <w:lang w:val="en-US" w:eastAsia="zh-CN"/>
              </w:rPr>
              <w:t xml:space="preserve">4-16 </w:t>
            </w:r>
            <w:r>
              <w:rPr>
                <w:rFonts w:hint="default" w:ascii="Times New Roman" w:hAnsi="Times New Roman" w:eastAsia="宋体" w:cs="Times New Roman"/>
                <w:b/>
                <w:bCs/>
                <w:color w:val="auto"/>
                <w:sz w:val="24"/>
                <w:highlight w:val="none"/>
                <w:u w:val="none"/>
                <w:lang w:val="en-US" w:eastAsia="zh-CN"/>
              </w:rPr>
              <w:t xml:space="preserve"> </w:t>
            </w:r>
            <w:r>
              <w:rPr>
                <w:rFonts w:hint="default" w:ascii="Times New Roman" w:hAnsi="Times New Roman" w:eastAsia="宋体" w:cs="Times New Roman"/>
                <w:b/>
                <w:bCs/>
                <w:color w:val="auto"/>
                <w:sz w:val="24"/>
                <w:highlight w:val="none"/>
                <w:u w:val="none"/>
              </w:rPr>
              <w:t>建设项目环保投资一览表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31"/>
              <w:gridCol w:w="4191"/>
              <w:gridCol w:w="1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污染控制类型</w:t>
                  </w:r>
                </w:p>
              </w:tc>
              <w:tc>
                <w:tcPr>
                  <w:tcW w:w="3390"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控制措施</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总投资额（万元）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1"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废气污染控制</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破碎、粉碎</w:t>
                  </w:r>
                  <w:r>
                    <w:rPr>
                      <w:rFonts w:hint="eastAsia" w:cs="Times New Roman"/>
                      <w:color w:val="auto"/>
                      <w:kern w:val="2"/>
                      <w:sz w:val="21"/>
                      <w:szCs w:val="21"/>
                      <w:highlight w:val="none"/>
                      <w:u w:val="single"/>
                      <w:lang w:val="en-US" w:eastAsia="zh-CN" w:bidi="ar-SA"/>
                    </w:rPr>
                    <w:t>筛分</w:t>
                  </w:r>
                  <w:r>
                    <w:rPr>
                      <w:rFonts w:hint="eastAsia" w:ascii="Times New Roman" w:hAnsi="Times New Roman" w:eastAsia="宋体" w:cs="Times New Roman"/>
                      <w:color w:val="auto"/>
                      <w:kern w:val="2"/>
                      <w:sz w:val="21"/>
                      <w:szCs w:val="21"/>
                      <w:highlight w:val="none"/>
                      <w:u w:val="single"/>
                      <w:lang w:val="en-US" w:eastAsia="zh-CN" w:bidi="ar-SA"/>
                    </w:rPr>
                    <w:t>、制粒粉尘</w:t>
                  </w:r>
                </w:p>
              </w:tc>
              <w:tc>
                <w:tcPr>
                  <w:tcW w:w="2619"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破碎、粉碎、筛分、制粒、烘干等工序和项目热风炉产生的废气采取管道连接设备呼吸口进行收集，收集后经“旋风+布袋”处理后经15m高排气筒（DA001）排放。</w:t>
                  </w:r>
                </w:p>
              </w:tc>
              <w:tc>
                <w:tcPr>
                  <w:tcW w:w="1117"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u w:val="single"/>
                    </w:rPr>
                  </w:pP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烘干粉尘</w:t>
                  </w:r>
                </w:p>
              </w:tc>
              <w:tc>
                <w:tcPr>
                  <w:tcW w:w="261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p>
              </w:tc>
              <w:tc>
                <w:tcPr>
                  <w:tcW w:w="1117"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热风炉</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废气</w:t>
                  </w:r>
                </w:p>
              </w:tc>
              <w:tc>
                <w:tcPr>
                  <w:tcW w:w="261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p>
              </w:tc>
              <w:tc>
                <w:tcPr>
                  <w:tcW w:w="1117"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无组织</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粉尘</w:t>
                  </w:r>
                </w:p>
              </w:tc>
              <w:tc>
                <w:tcPr>
                  <w:tcW w:w="2619"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封闭车间，加强设备维护、定期进行打扫清理保持地面清洁，提高废气收集效率，减少无组织排放</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废水防治措施</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eastAsia" w:ascii="Times New Roman" w:hAnsi="Times New Roman" w:eastAsia="宋体" w:cs="Times New Roman"/>
                      <w:bCs/>
                      <w:color w:val="auto"/>
                      <w:kern w:val="2"/>
                      <w:sz w:val="21"/>
                      <w:szCs w:val="21"/>
                      <w:highlight w:val="none"/>
                      <w:u w:val="single"/>
                      <w:lang w:val="en-US" w:eastAsia="zh-CN" w:bidi="ar-SA"/>
                    </w:rPr>
                    <w:t>生活污水</w:t>
                  </w:r>
                </w:p>
              </w:tc>
              <w:tc>
                <w:tcPr>
                  <w:tcW w:w="2619"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eastAsia" w:ascii="Times New Roman" w:hAnsi="Times New Roman" w:eastAsia="宋体" w:cs="Times New Roman"/>
                      <w:bCs/>
                      <w:color w:val="auto"/>
                      <w:kern w:val="2"/>
                      <w:sz w:val="21"/>
                      <w:szCs w:val="21"/>
                      <w:highlight w:val="none"/>
                      <w:u w:val="single"/>
                      <w:lang w:val="en-US" w:eastAsia="zh-CN" w:bidi="ar-SA"/>
                    </w:rPr>
                    <w:t>化粪池（依托）</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1"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噪声控制</w:t>
                  </w:r>
                </w:p>
              </w:tc>
              <w:tc>
                <w:tcPr>
                  <w:tcW w:w="3390"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bCs/>
                      <w:color w:val="auto"/>
                      <w:kern w:val="2"/>
                      <w:sz w:val="21"/>
                      <w:szCs w:val="21"/>
                      <w:highlight w:val="none"/>
                      <w:u w:val="single"/>
                      <w:lang w:val="en-US" w:eastAsia="zh-CN" w:bidi="ar-SA"/>
                    </w:rPr>
                    <w:t>结构隔声、基础减振、消声等措施</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91"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固体废物处置</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bCs/>
                      <w:color w:val="auto"/>
                      <w:kern w:val="2"/>
                      <w:sz w:val="21"/>
                      <w:szCs w:val="21"/>
                      <w:highlight w:val="none"/>
                      <w:u w:val="single"/>
                      <w:lang w:val="en-US" w:eastAsia="zh-CN" w:bidi="ar-SA"/>
                    </w:rPr>
                    <w:t>生活垃圾</w:t>
                  </w:r>
                </w:p>
              </w:tc>
              <w:tc>
                <w:tcPr>
                  <w:tcW w:w="2619"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default" w:ascii="Times New Roman" w:hAnsi="Times New Roman" w:eastAsia="宋体" w:cs="Times New Roman"/>
                      <w:bCs/>
                      <w:color w:val="auto"/>
                      <w:kern w:val="2"/>
                      <w:sz w:val="21"/>
                      <w:szCs w:val="21"/>
                      <w:highlight w:val="none"/>
                      <w:u w:val="single"/>
                      <w:lang w:val="en-US" w:eastAsia="zh-CN" w:bidi="ar-SA"/>
                    </w:rPr>
                    <w:t>垃圾桶</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eastAsia" w:ascii="Times New Roman" w:hAnsi="Times New Roman" w:eastAsia="宋体" w:cs="Times New Roman"/>
                      <w:bCs/>
                      <w:color w:val="auto"/>
                      <w:kern w:val="2"/>
                      <w:sz w:val="21"/>
                      <w:szCs w:val="21"/>
                      <w:highlight w:val="none"/>
                      <w:u w:val="single"/>
                      <w:lang w:val="en-US" w:eastAsia="zh-CN" w:bidi="ar-SA"/>
                    </w:rPr>
                    <w:t>一般固废</w:t>
                  </w:r>
                </w:p>
              </w:tc>
              <w:tc>
                <w:tcPr>
                  <w:tcW w:w="2619"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bCs/>
                      <w:color w:val="auto"/>
                      <w:kern w:val="2"/>
                      <w:sz w:val="21"/>
                      <w:szCs w:val="21"/>
                      <w:highlight w:val="none"/>
                      <w:u w:val="single"/>
                      <w:vertAlign w:val="superscript"/>
                      <w:lang w:val="en-US" w:eastAsia="zh-CN" w:bidi="ar-SA"/>
                    </w:rPr>
                  </w:pPr>
                  <w:r>
                    <w:rPr>
                      <w:rFonts w:hint="eastAsia" w:ascii="Times New Roman" w:hAnsi="Times New Roman" w:eastAsia="宋体" w:cs="Times New Roman"/>
                      <w:bCs/>
                      <w:color w:val="auto"/>
                      <w:kern w:val="2"/>
                      <w:sz w:val="21"/>
                      <w:szCs w:val="21"/>
                      <w:highlight w:val="none"/>
                      <w:u w:val="single"/>
                      <w:lang w:val="en-US" w:eastAsia="zh-CN" w:bidi="ar-SA"/>
                    </w:rPr>
                    <w:t>一般固废暂存间5m</w:t>
                  </w:r>
                  <w:r>
                    <w:rPr>
                      <w:rFonts w:hint="eastAsia" w:ascii="Times New Roman" w:hAnsi="Times New Roman" w:eastAsia="宋体" w:cs="Times New Roman"/>
                      <w:bCs/>
                      <w:color w:val="auto"/>
                      <w:kern w:val="2"/>
                      <w:sz w:val="21"/>
                      <w:szCs w:val="21"/>
                      <w:highlight w:val="none"/>
                      <w:u w:val="single"/>
                      <w:vertAlign w:val="superscript"/>
                      <w:lang w:val="en-US" w:eastAsia="zh-CN" w:bidi="ar-SA"/>
                    </w:rPr>
                    <w:t>2</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eastAsia" w:ascii="Times New Roman" w:hAnsi="Times New Roman" w:eastAsia="宋体" w:cs="Times New Roman"/>
                      <w:bCs/>
                      <w:color w:val="auto"/>
                      <w:kern w:val="2"/>
                      <w:sz w:val="21"/>
                      <w:szCs w:val="21"/>
                      <w:highlight w:val="none"/>
                      <w:u w:val="single"/>
                      <w:vertAlign w:val="baseline"/>
                      <w:lang w:val="en-US" w:eastAsia="zh-CN" w:bidi="ar-SA"/>
                    </w:rPr>
                    <w:t>建立规范化的一般固废暂存间，做好“三防”措施</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eastAsia" w:ascii="Times New Roman" w:hAnsi="Times New Roman" w:eastAsia="宋体" w:cs="Times New Roman"/>
                      <w:bCs/>
                      <w:color w:val="auto"/>
                      <w:kern w:val="2"/>
                      <w:sz w:val="21"/>
                      <w:szCs w:val="21"/>
                      <w:highlight w:val="none"/>
                      <w:u w:val="single"/>
                      <w:lang w:val="en-US" w:eastAsia="zh-CN" w:bidi="ar-SA"/>
                    </w:rPr>
                    <w:t>危险固废</w:t>
                  </w:r>
                </w:p>
              </w:tc>
              <w:tc>
                <w:tcPr>
                  <w:tcW w:w="2619"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bCs/>
                      <w:color w:val="auto"/>
                      <w:kern w:val="2"/>
                      <w:sz w:val="21"/>
                      <w:szCs w:val="21"/>
                      <w:highlight w:val="none"/>
                      <w:u w:val="single"/>
                      <w:vertAlign w:val="superscript"/>
                      <w:lang w:val="en-US" w:eastAsia="zh-CN" w:bidi="ar-SA"/>
                    </w:rPr>
                  </w:pPr>
                  <w:r>
                    <w:rPr>
                      <w:rFonts w:hint="eastAsia" w:ascii="Times New Roman" w:hAnsi="Times New Roman" w:eastAsia="宋体" w:cs="Times New Roman"/>
                      <w:bCs/>
                      <w:color w:val="auto"/>
                      <w:kern w:val="2"/>
                      <w:sz w:val="21"/>
                      <w:szCs w:val="21"/>
                      <w:highlight w:val="none"/>
                      <w:u w:val="single"/>
                      <w:lang w:val="en-US" w:eastAsia="zh-CN" w:bidi="ar-SA"/>
                    </w:rPr>
                    <w:t>危废暂存间2m</w:t>
                  </w:r>
                  <w:r>
                    <w:rPr>
                      <w:rFonts w:hint="eastAsia" w:ascii="Times New Roman" w:hAnsi="Times New Roman" w:eastAsia="宋体" w:cs="Times New Roman"/>
                      <w:bCs/>
                      <w:color w:val="auto"/>
                      <w:kern w:val="2"/>
                      <w:sz w:val="21"/>
                      <w:szCs w:val="21"/>
                      <w:highlight w:val="none"/>
                      <w:u w:val="single"/>
                      <w:vertAlign w:val="superscript"/>
                      <w:lang w:val="en-US" w:eastAsia="zh-CN" w:bidi="ar-SA"/>
                    </w:rPr>
                    <w:t>2</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eastAsia" w:ascii="Times New Roman" w:hAnsi="Times New Roman" w:eastAsia="宋体" w:cs="Times New Roman"/>
                      <w:bCs/>
                      <w:color w:val="auto"/>
                      <w:kern w:val="2"/>
                      <w:sz w:val="21"/>
                      <w:szCs w:val="21"/>
                      <w:highlight w:val="none"/>
                      <w:u w:val="single"/>
                      <w:vertAlign w:val="baseline"/>
                      <w:lang w:val="en-US" w:eastAsia="zh-CN" w:bidi="ar-SA"/>
                    </w:rPr>
                    <w:t>建立规范化的危废间，做好“三防” 措施</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82" w:type="pct"/>
                  <w:gridSpan w:val="3"/>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Cs/>
                      <w:color w:val="auto"/>
                      <w:kern w:val="2"/>
                      <w:sz w:val="21"/>
                      <w:szCs w:val="21"/>
                      <w:highlight w:val="none"/>
                      <w:u w:val="single"/>
                      <w:lang w:val="en-US" w:eastAsia="zh-CN" w:bidi="ar-SA"/>
                    </w:rPr>
                  </w:pPr>
                  <w:r>
                    <w:rPr>
                      <w:rFonts w:hint="default" w:ascii="Times New Roman" w:hAnsi="Times New Roman" w:eastAsia="宋体" w:cs="Times New Roman"/>
                      <w:bCs/>
                      <w:color w:val="auto"/>
                      <w:kern w:val="2"/>
                      <w:sz w:val="21"/>
                      <w:szCs w:val="21"/>
                      <w:highlight w:val="none"/>
                      <w:u w:val="single"/>
                      <w:lang w:val="en-US" w:eastAsia="zh-CN" w:bidi="ar-SA"/>
                    </w:rPr>
                    <w:t>合计</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48</w:t>
                  </w:r>
                </w:p>
              </w:tc>
            </w:tr>
          </w:tbl>
          <w:p>
            <w:pPr>
              <w:spacing w:line="360" w:lineRule="auto"/>
              <w:rPr>
                <w:rFonts w:hint="default" w:eastAsia="宋体"/>
                <w:color w:val="auto"/>
                <w:highlight w:val="none"/>
                <w:lang w:val="en-US" w:eastAsia="zh-CN"/>
              </w:rPr>
            </w:pPr>
          </w:p>
        </w:tc>
      </w:tr>
    </w:tbl>
    <w:p>
      <w:pPr>
        <w:adjustRightInd w:val="0"/>
        <w:snapToGrid w:val="0"/>
        <w:spacing w:line="360" w:lineRule="auto"/>
        <w:rPr>
          <w:rFonts w:hint="eastAsia" w:ascii="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ascii="黑体" w:hAnsi="黑体" w:eastAsia="黑体"/>
          <w:snapToGrid w:val="0"/>
          <w:color w:val="auto"/>
          <w:sz w:val="30"/>
          <w:szCs w:val="30"/>
          <w:highlight w:val="none"/>
        </w:rPr>
      </w:pPr>
      <w:bookmarkStart w:id="11" w:name="_Toc19420"/>
      <w:r>
        <w:rPr>
          <w:rFonts w:hint="eastAsia" w:ascii="黑体" w:hAnsi="黑体" w:eastAsia="黑体"/>
          <w:snapToGrid w:val="0"/>
          <w:color w:val="auto"/>
          <w:sz w:val="30"/>
          <w:szCs w:val="30"/>
          <w:highlight w:val="none"/>
        </w:rPr>
        <w:t>五、</w:t>
      </w:r>
      <w:bookmarkStart w:id="12" w:name="_Hlk54167917"/>
      <w:r>
        <w:rPr>
          <w:rFonts w:hint="eastAsia" w:ascii="黑体" w:hAnsi="黑体" w:eastAsia="黑体"/>
          <w:snapToGrid w:val="0"/>
          <w:color w:val="auto"/>
          <w:sz w:val="30"/>
          <w:szCs w:val="30"/>
          <w:highlight w:val="none"/>
        </w:rPr>
        <w:t>环境保护措施监督检查清单</w:t>
      </w:r>
      <w:bookmarkEnd w:id="11"/>
      <w:bookmarkEnd w:id="1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657"/>
        <w:gridCol w:w="858"/>
        <w:gridCol w:w="1291"/>
        <w:gridCol w:w="2488"/>
        <w:gridCol w:w="2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8" w:type="dxa"/>
            <w:tcBorders>
              <w:tl2br w:val="single" w:color="auto" w:sz="4" w:space="0"/>
            </w:tcBorders>
            <w:noWrap w:val="0"/>
            <w:vAlign w:val="top"/>
          </w:tcPr>
          <w:p>
            <w:pPr>
              <w:adjustRightInd w:val="0"/>
              <w:snapToGri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内容</w:t>
            </w:r>
          </w:p>
          <w:p>
            <w:pPr>
              <w:adjustRightInd w:val="0"/>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要素</w:t>
            </w:r>
          </w:p>
        </w:tc>
        <w:tc>
          <w:tcPr>
            <w:tcW w:w="1515" w:type="dxa"/>
            <w:gridSpan w:val="2"/>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排放口(编号、名称)/污染源</w:t>
            </w:r>
          </w:p>
        </w:tc>
        <w:tc>
          <w:tcPr>
            <w:tcW w:w="1291"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污染物项目</w:t>
            </w:r>
          </w:p>
        </w:tc>
        <w:tc>
          <w:tcPr>
            <w:tcW w:w="248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环境保护措施</w:t>
            </w:r>
          </w:p>
        </w:tc>
        <w:tc>
          <w:tcPr>
            <w:tcW w:w="236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8" w:type="dxa"/>
            <w:vMerge w:val="restart"/>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大气环境</w:t>
            </w:r>
          </w:p>
        </w:tc>
        <w:tc>
          <w:tcPr>
            <w:tcW w:w="657" w:type="dxa"/>
            <w:vMerge w:val="restart"/>
            <w:noWrap w:val="0"/>
            <w:vAlign w:val="center"/>
          </w:tcPr>
          <w:p>
            <w:pPr>
              <w:adjustRightInd w:val="0"/>
              <w:snapToGrid w:val="0"/>
              <w:jc w:val="center"/>
              <w:rPr>
                <w:rFonts w:hint="default" w:eastAsia="宋体"/>
                <w:color w:val="auto"/>
                <w:szCs w:val="21"/>
                <w:highlight w:val="none"/>
                <w:u w:val="single"/>
                <w:lang w:val="en-US" w:eastAsia="zh-CN"/>
              </w:rPr>
            </w:pPr>
            <w:r>
              <w:rPr>
                <w:rFonts w:hint="eastAsia"/>
                <w:color w:val="auto"/>
                <w:szCs w:val="21"/>
                <w:highlight w:val="none"/>
                <w:u w:val="single"/>
                <w:lang w:val="en-US" w:eastAsia="zh-CN"/>
              </w:rPr>
              <w:t>有组织</w:t>
            </w:r>
          </w:p>
        </w:tc>
        <w:tc>
          <w:tcPr>
            <w:tcW w:w="858" w:type="dxa"/>
            <w:vMerge w:val="restart"/>
            <w:noWrap w:val="0"/>
            <w:vAlign w:val="center"/>
          </w:tcPr>
          <w:p>
            <w:pPr>
              <w:adjustRightInd w:val="0"/>
              <w:snapToGrid w:val="0"/>
              <w:jc w:val="center"/>
              <w:rPr>
                <w:color w:val="auto"/>
                <w:szCs w:val="21"/>
                <w:highlight w:val="none"/>
                <w:u w:val="single"/>
              </w:rPr>
            </w:pPr>
            <w:r>
              <w:rPr>
                <w:color w:val="auto"/>
                <w:szCs w:val="21"/>
                <w:highlight w:val="none"/>
                <w:u w:val="single"/>
              </w:rPr>
              <w:t>DA00</w:t>
            </w:r>
            <w:r>
              <w:rPr>
                <w:rFonts w:hint="eastAsia"/>
                <w:color w:val="auto"/>
                <w:szCs w:val="21"/>
                <w:highlight w:val="none"/>
                <w:u w:val="single"/>
                <w:lang w:val="en-US" w:eastAsia="zh-CN"/>
              </w:rPr>
              <w:t>1</w:t>
            </w:r>
          </w:p>
        </w:tc>
        <w:tc>
          <w:tcPr>
            <w:tcW w:w="1291" w:type="dxa"/>
            <w:noWrap w:val="0"/>
            <w:vAlign w:val="center"/>
          </w:tcPr>
          <w:p>
            <w:pPr>
              <w:adjustRightInd w:val="0"/>
              <w:snapToGrid w:val="0"/>
              <w:jc w:val="center"/>
              <w:rPr>
                <w:color w:val="auto"/>
                <w:szCs w:val="21"/>
                <w:highlight w:val="none"/>
                <w:u w:val="single"/>
              </w:rPr>
            </w:pPr>
            <w:r>
              <w:rPr>
                <w:rFonts w:hint="eastAsia"/>
                <w:color w:val="auto"/>
                <w:szCs w:val="21"/>
                <w:highlight w:val="none"/>
                <w:u w:val="single"/>
              </w:rPr>
              <w:t>颗粒物</w:t>
            </w:r>
          </w:p>
        </w:tc>
        <w:tc>
          <w:tcPr>
            <w:tcW w:w="2488" w:type="dxa"/>
            <w:vMerge w:val="restart"/>
            <w:noWrap w:val="0"/>
            <w:vAlign w:val="center"/>
          </w:tcPr>
          <w:p>
            <w:pPr>
              <w:adjustRightInd w:val="0"/>
              <w:snapToGrid w:val="0"/>
              <w:jc w:val="center"/>
              <w:rPr>
                <w:color w:val="auto"/>
                <w:szCs w:val="21"/>
                <w:highlight w:val="none"/>
                <w:u w:val="single"/>
              </w:rPr>
            </w:pPr>
            <w:r>
              <w:rPr>
                <w:rFonts w:hint="eastAsia" w:ascii="Times New Roman" w:hAnsi="Times New Roman" w:eastAsia="宋体" w:cs="Times New Roman"/>
                <w:color w:val="auto"/>
                <w:kern w:val="2"/>
                <w:sz w:val="21"/>
                <w:szCs w:val="21"/>
                <w:highlight w:val="none"/>
                <w:u w:val="single"/>
                <w:lang w:val="en-US" w:eastAsia="zh-CN" w:bidi="ar-SA"/>
              </w:rPr>
              <w:t>破碎、粉碎</w:t>
            </w:r>
            <w:r>
              <w:rPr>
                <w:rFonts w:hint="eastAsia" w:cs="Times New Roman"/>
                <w:color w:val="auto"/>
                <w:kern w:val="2"/>
                <w:sz w:val="21"/>
                <w:szCs w:val="21"/>
                <w:highlight w:val="none"/>
                <w:u w:val="single"/>
                <w:lang w:val="en-US" w:eastAsia="zh-CN" w:bidi="ar-SA"/>
              </w:rPr>
              <w:t>、筛分</w:t>
            </w:r>
            <w:r>
              <w:rPr>
                <w:rFonts w:hint="eastAsia" w:ascii="Times New Roman" w:hAnsi="Times New Roman" w:eastAsia="宋体" w:cs="Times New Roman"/>
                <w:color w:val="auto"/>
                <w:kern w:val="2"/>
                <w:sz w:val="21"/>
                <w:szCs w:val="21"/>
                <w:highlight w:val="none"/>
                <w:u w:val="single"/>
                <w:lang w:val="en-US" w:eastAsia="zh-CN" w:bidi="ar-SA"/>
              </w:rPr>
              <w:t>、</w:t>
            </w:r>
            <w:r>
              <w:rPr>
                <w:rFonts w:hint="eastAsia" w:cs="Times New Roman"/>
                <w:color w:val="auto"/>
                <w:kern w:val="2"/>
                <w:sz w:val="21"/>
                <w:szCs w:val="21"/>
                <w:highlight w:val="none"/>
                <w:u w:val="single"/>
                <w:lang w:val="en-US" w:eastAsia="zh-CN" w:bidi="ar-SA"/>
              </w:rPr>
              <w:t>制粒、</w:t>
            </w:r>
            <w:r>
              <w:rPr>
                <w:rFonts w:hint="eastAsia" w:ascii="Times New Roman" w:hAnsi="Times New Roman" w:eastAsia="宋体" w:cs="Times New Roman"/>
                <w:color w:val="auto"/>
                <w:kern w:val="2"/>
                <w:sz w:val="21"/>
                <w:szCs w:val="21"/>
                <w:highlight w:val="none"/>
                <w:u w:val="single"/>
                <w:lang w:val="en-US" w:eastAsia="zh-CN" w:bidi="ar-SA"/>
              </w:rPr>
              <w:t>烘干粉尘和热风炉废气通过管道连接经</w:t>
            </w:r>
            <w:r>
              <w:rPr>
                <w:rFonts w:hint="default" w:ascii="Times New Roman" w:hAnsi="Times New Roman" w:eastAsia="宋体" w:cs="Times New Roman"/>
                <w:color w:val="auto"/>
                <w:kern w:val="2"/>
                <w:sz w:val="21"/>
                <w:szCs w:val="21"/>
                <w:highlight w:val="none"/>
                <w:u w:val="single"/>
                <w:lang w:val="en-US" w:eastAsia="zh-CN" w:bidi="ar-SA"/>
              </w:rPr>
              <w:t>“旋风+布袋”</w:t>
            </w:r>
            <w:r>
              <w:rPr>
                <w:rFonts w:hint="eastAsia" w:ascii="Times New Roman" w:hAnsi="Times New Roman" w:eastAsia="宋体" w:cs="Times New Roman"/>
                <w:color w:val="auto"/>
                <w:kern w:val="2"/>
                <w:sz w:val="21"/>
                <w:szCs w:val="21"/>
                <w:highlight w:val="none"/>
                <w:u w:val="single"/>
                <w:lang w:val="en-US" w:eastAsia="zh-CN" w:bidi="ar-SA"/>
              </w:rPr>
              <w:t>处理后共用一根15m高排气筒（DA001）排放。</w:t>
            </w:r>
          </w:p>
        </w:tc>
        <w:tc>
          <w:tcPr>
            <w:tcW w:w="2368" w:type="dxa"/>
            <w:vMerge w:val="restart"/>
            <w:noWrap w:val="0"/>
            <w:vAlign w:val="center"/>
          </w:tcPr>
          <w:p>
            <w:pPr>
              <w:adjustRightInd w:val="0"/>
              <w:snapToGrid w:val="0"/>
              <w:jc w:val="center"/>
              <w:rPr>
                <w:rFonts w:hint="default"/>
                <w:color w:val="auto"/>
                <w:szCs w:val="21"/>
                <w:highlight w:val="none"/>
                <w:u w:val="single"/>
                <w:lang w:val="en-US"/>
              </w:rPr>
            </w:pPr>
            <w:r>
              <w:rPr>
                <w:rFonts w:hint="eastAsia"/>
                <w:color w:val="auto"/>
                <w:szCs w:val="21"/>
                <w:highlight w:val="none"/>
                <w:u w:val="single"/>
              </w:rPr>
              <w:t>废气中的氮氧化物执行《大气污染物综合排放标准》（GB16297-1996）表2标准；废气中的颗粒物、二氧化硫执行《湖南省工业炉窑大气污染综合治理实施方案》中附件一表中的工业炉窑标准限值</w:t>
            </w:r>
            <w:r>
              <w:rPr>
                <w:rFonts w:hint="eastAsia"/>
                <w:color w:val="auto"/>
                <w:szCs w:val="21"/>
                <w:highlight w:val="none"/>
                <w:u w:val="single"/>
                <w:lang w:eastAsia="zh-CN"/>
              </w:rPr>
              <w:t>，</w:t>
            </w:r>
            <w:r>
              <w:rPr>
                <w:rFonts w:hint="eastAsia"/>
                <w:color w:val="auto"/>
                <w:szCs w:val="21"/>
                <w:highlight w:val="none"/>
                <w:lang w:val="en-US" w:eastAsia="zh-CN"/>
              </w:rPr>
              <w:t>烟气黑度执行《工业炉窑大气污染物排放标准》（GB9078-1996）表2标准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8" w:type="dxa"/>
            <w:vMerge w:val="continue"/>
            <w:noWrap w:val="0"/>
            <w:vAlign w:val="center"/>
          </w:tcPr>
          <w:p>
            <w:pPr>
              <w:adjustRightInd w:val="0"/>
              <w:snapToGrid w:val="0"/>
              <w:jc w:val="center"/>
              <w:rPr>
                <w:rFonts w:hint="eastAsia" w:ascii="宋体" w:hAnsi="宋体" w:cs="宋体"/>
                <w:color w:val="auto"/>
                <w:szCs w:val="21"/>
                <w:highlight w:val="none"/>
                <w:u w:val="single"/>
              </w:rPr>
            </w:pPr>
          </w:p>
        </w:tc>
        <w:tc>
          <w:tcPr>
            <w:tcW w:w="657" w:type="dxa"/>
            <w:vMerge w:val="continue"/>
            <w:noWrap w:val="0"/>
            <w:vAlign w:val="center"/>
          </w:tcPr>
          <w:p>
            <w:pPr>
              <w:adjustRightInd w:val="0"/>
              <w:snapToGrid w:val="0"/>
              <w:jc w:val="center"/>
              <w:rPr>
                <w:rFonts w:hint="eastAsia"/>
                <w:color w:val="auto"/>
                <w:szCs w:val="21"/>
                <w:highlight w:val="none"/>
                <w:u w:val="single"/>
                <w:lang w:val="en-US" w:eastAsia="zh-CN"/>
              </w:rPr>
            </w:pPr>
          </w:p>
        </w:tc>
        <w:tc>
          <w:tcPr>
            <w:tcW w:w="858" w:type="dxa"/>
            <w:vMerge w:val="continue"/>
            <w:noWrap w:val="0"/>
            <w:vAlign w:val="center"/>
          </w:tcPr>
          <w:p>
            <w:pPr>
              <w:adjustRightInd w:val="0"/>
              <w:snapToGrid w:val="0"/>
              <w:jc w:val="center"/>
              <w:rPr>
                <w:color w:val="auto"/>
                <w:szCs w:val="21"/>
                <w:highlight w:val="none"/>
                <w:u w:val="single"/>
              </w:rPr>
            </w:pPr>
          </w:p>
        </w:tc>
        <w:tc>
          <w:tcPr>
            <w:tcW w:w="1291" w:type="dxa"/>
            <w:noWrap w:val="0"/>
            <w:vAlign w:val="center"/>
          </w:tcPr>
          <w:p>
            <w:pPr>
              <w:adjustRightInd w:val="0"/>
              <w:snapToGrid w:val="0"/>
              <w:jc w:val="center"/>
              <w:rPr>
                <w:rFonts w:hint="eastAsia"/>
                <w:color w:val="auto"/>
                <w:szCs w:val="21"/>
                <w:highlight w:val="none"/>
                <w:u w:val="single"/>
              </w:rPr>
            </w:pPr>
            <w:r>
              <w:rPr>
                <w:rFonts w:hint="eastAsia"/>
                <w:color w:val="auto"/>
                <w:szCs w:val="21"/>
                <w:highlight w:val="none"/>
                <w:lang w:val="en-US" w:eastAsia="zh-CN"/>
              </w:rPr>
              <w:t>烟气黑度</w:t>
            </w:r>
          </w:p>
        </w:tc>
        <w:tc>
          <w:tcPr>
            <w:tcW w:w="2488" w:type="dxa"/>
            <w:vMerge w:val="continue"/>
            <w:noWrap w:val="0"/>
            <w:vAlign w:val="center"/>
          </w:tcPr>
          <w:p>
            <w:pPr>
              <w:adjustRightInd w:val="0"/>
              <w:snapToGrid w:val="0"/>
              <w:jc w:val="center"/>
              <w:rPr>
                <w:rFonts w:hint="eastAsia" w:ascii="Times New Roman" w:hAnsi="Times New Roman" w:eastAsia="宋体" w:cs="Times New Roman"/>
                <w:color w:val="auto"/>
                <w:kern w:val="2"/>
                <w:sz w:val="21"/>
                <w:szCs w:val="21"/>
                <w:highlight w:val="none"/>
                <w:u w:val="single"/>
                <w:lang w:val="en-US" w:eastAsia="zh-CN" w:bidi="ar-SA"/>
              </w:rPr>
            </w:pPr>
          </w:p>
        </w:tc>
        <w:tc>
          <w:tcPr>
            <w:tcW w:w="2368" w:type="dxa"/>
            <w:vMerge w:val="continue"/>
            <w:noWrap w:val="0"/>
            <w:vAlign w:val="center"/>
          </w:tcPr>
          <w:p>
            <w:pPr>
              <w:adjustRightInd w:val="0"/>
              <w:snapToGrid w:val="0"/>
              <w:jc w:val="center"/>
              <w:rPr>
                <w:rFonts w:hint="eastAsia"/>
                <w:color w:val="auto"/>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8" w:type="dxa"/>
            <w:vMerge w:val="continue"/>
            <w:noWrap w:val="0"/>
            <w:vAlign w:val="center"/>
          </w:tcPr>
          <w:p>
            <w:pPr>
              <w:adjustRightInd w:val="0"/>
              <w:snapToGrid w:val="0"/>
              <w:jc w:val="center"/>
              <w:rPr>
                <w:color w:val="auto"/>
                <w:highlight w:val="none"/>
                <w:u w:val="single"/>
              </w:rPr>
            </w:pPr>
          </w:p>
        </w:tc>
        <w:tc>
          <w:tcPr>
            <w:tcW w:w="657" w:type="dxa"/>
            <w:vMerge w:val="continue"/>
            <w:noWrap w:val="0"/>
            <w:vAlign w:val="center"/>
          </w:tcPr>
          <w:p>
            <w:pPr>
              <w:adjustRightInd w:val="0"/>
              <w:snapToGrid w:val="0"/>
              <w:jc w:val="center"/>
              <w:rPr>
                <w:color w:val="auto"/>
                <w:highlight w:val="none"/>
                <w:u w:val="single"/>
              </w:rPr>
            </w:pPr>
          </w:p>
        </w:tc>
        <w:tc>
          <w:tcPr>
            <w:tcW w:w="858" w:type="dxa"/>
            <w:vMerge w:val="continue"/>
            <w:noWrap w:val="0"/>
            <w:vAlign w:val="center"/>
          </w:tcPr>
          <w:p>
            <w:pPr>
              <w:adjustRightInd w:val="0"/>
              <w:snapToGrid w:val="0"/>
              <w:jc w:val="center"/>
              <w:rPr>
                <w:color w:val="auto"/>
                <w:highlight w:val="none"/>
                <w:u w:val="single"/>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szCs w:val="21"/>
                <w:highlight w:val="none"/>
                <w:u w:val="single"/>
              </w:rPr>
            </w:pPr>
            <w:r>
              <w:rPr>
                <w:rFonts w:hint="eastAsia" w:ascii="Times New Roman" w:hAnsi="Times New Roman" w:eastAsia="宋体" w:cs="Times New Roman"/>
                <w:color w:val="auto"/>
                <w:sz w:val="21"/>
                <w:szCs w:val="21"/>
                <w:highlight w:val="none"/>
                <w:u w:val="single"/>
              </w:rPr>
              <w:t>SO</w:t>
            </w:r>
            <w:r>
              <w:rPr>
                <w:rFonts w:hint="eastAsia" w:ascii="Times New Roman" w:hAnsi="Times New Roman" w:eastAsia="宋体" w:cs="Times New Roman"/>
                <w:color w:val="auto"/>
                <w:sz w:val="21"/>
                <w:szCs w:val="21"/>
                <w:highlight w:val="none"/>
                <w:u w:val="single"/>
                <w:vertAlign w:val="subscript"/>
              </w:rPr>
              <w:t>2</w:t>
            </w:r>
          </w:p>
        </w:tc>
        <w:tc>
          <w:tcPr>
            <w:tcW w:w="2488" w:type="dxa"/>
            <w:vMerge w:val="continue"/>
            <w:noWrap w:val="0"/>
            <w:vAlign w:val="center"/>
          </w:tcPr>
          <w:p>
            <w:pPr>
              <w:adjustRightInd w:val="0"/>
              <w:snapToGrid w:val="0"/>
              <w:jc w:val="center"/>
              <w:rPr>
                <w:rFonts w:hint="eastAsia"/>
                <w:color w:val="auto"/>
                <w:szCs w:val="21"/>
                <w:highlight w:val="none"/>
                <w:u w:val="single"/>
              </w:rPr>
            </w:pPr>
          </w:p>
        </w:tc>
        <w:tc>
          <w:tcPr>
            <w:tcW w:w="2368" w:type="dxa"/>
            <w:vMerge w:val="continue"/>
            <w:noWrap w:val="0"/>
            <w:vAlign w:val="center"/>
          </w:tcPr>
          <w:p>
            <w:pPr>
              <w:adjustRightInd w:val="0"/>
              <w:snapToGrid w:val="0"/>
              <w:jc w:val="center"/>
              <w:rPr>
                <w:rFonts w:hint="eastAsia"/>
                <w:color w:val="auto"/>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8" w:type="dxa"/>
            <w:vMerge w:val="continue"/>
            <w:noWrap w:val="0"/>
            <w:vAlign w:val="center"/>
          </w:tcPr>
          <w:p>
            <w:pPr>
              <w:adjustRightInd w:val="0"/>
              <w:snapToGrid w:val="0"/>
              <w:jc w:val="center"/>
              <w:rPr>
                <w:rFonts w:hint="eastAsia"/>
                <w:color w:val="auto"/>
                <w:szCs w:val="21"/>
                <w:highlight w:val="none"/>
                <w:u w:val="single"/>
              </w:rPr>
            </w:pPr>
          </w:p>
        </w:tc>
        <w:tc>
          <w:tcPr>
            <w:tcW w:w="657" w:type="dxa"/>
            <w:vMerge w:val="continue"/>
            <w:noWrap w:val="0"/>
            <w:vAlign w:val="center"/>
          </w:tcPr>
          <w:p>
            <w:pPr>
              <w:adjustRightInd w:val="0"/>
              <w:snapToGrid w:val="0"/>
              <w:jc w:val="center"/>
              <w:rPr>
                <w:rFonts w:hint="eastAsia"/>
                <w:color w:val="auto"/>
                <w:szCs w:val="21"/>
                <w:highlight w:val="none"/>
                <w:u w:val="single"/>
              </w:rPr>
            </w:pPr>
          </w:p>
        </w:tc>
        <w:tc>
          <w:tcPr>
            <w:tcW w:w="858" w:type="dxa"/>
            <w:vMerge w:val="continue"/>
            <w:noWrap w:val="0"/>
            <w:vAlign w:val="center"/>
          </w:tcPr>
          <w:p>
            <w:pPr>
              <w:adjustRightInd w:val="0"/>
              <w:snapToGrid w:val="0"/>
              <w:jc w:val="center"/>
              <w:rPr>
                <w:rFonts w:hint="eastAsia"/>
                <w:color w:val="auto"/>
                <w:szCs w:val="21"/>
                <w:highlight w:val="none"/>
                <w:u w:val="single"/>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szCs w:val="21"/>
                <w:highlight w:val="none"/>
                <w:u w:val="single"/>
              </w:rPr>
            </w:pPr>
            <w:r>
              <w:rPr>
                <w:rFonts w:hint="eastAsia" w:ascii="Times New Roman" w:hAnsi="Times New Roman" w:eastAsia="宋体" w:cs="Times New Roman"/>
                <w:color w:val="auto"/>
                <w:sz w:val="21"/>
                <w:szCs w:val="21"/>
                <w:highlight w:val="none"/>
                <w:u w:val="single"/>
              </w:rPr>
              <w:t>NO</w:t>
            </w:r>
            <w:r>
              <w:rPr>
                <w:rFonts w:hint="eastAsia" w:ascii="Times New Roman" w:hAnsi="Times New Roman" w:eastAsia="宋体" w:cs="Times New Roman"/>
                <w:color w:val="auto"/>
                <w:sz w:val="21"/>
                <w:szCs w:val="21"/>
                <w:highlight w:val="none"/>
                <w:u w:val="single"/>
                <w:vertAlign w:val="subscript"/>
              </w:rPr>
              <w:t>X</w:t>
            </w:r>
          </w:p>
        </w:tc>
        <w:tc>
          <w:tcPr>
            <w:tcW w:w="2488" w:type="dxa"/>
            <w:vMerge w:val="continue"/>
            <w:noWrap w:val="0"/>
            <w:vAlign w:val="center"/>
          </w:tcPr>
          <w:p>
            <w:pPr>
              <w:adjustRightInd w:val="0"/>
              <w:snapToGrid w:val="0"/>
              <w:jc w:val="center"/>
              <w:rPr>
                <w:rFonts w:hint="eastAsia"/>
                <w:color w:val="auto"/>
                <w:szCs w:val="21"/>
                <w:highlight w:val="none"/>
                <w:u w:val="single"/>
              </w:rPr>
            </w:pPr>
          </w:p>
        </w:tc>
        <w:tc>
          <w:tcPr>
            <w:tcW w:w="2368" w:type="dxa"/>
            <w:vMerge w:val="continue"/>
            <w:noWrap w:val="0"/>
            <w:vAlign w:val="center"/>
          </w:tcPr>
          <w:p>
            <w:pPr>
              <w:adjustRightInd w:val="0"/>
              <w:snapToGrid w:val="0"/>
              <w:jc w:val="center"/>
              <w:rPr>
                <w:rFonts w:hint="eastAsia"/>
                <w:color w:val="auto"/>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138" w:type="dxa"/>
            <w:vMerge w:val="continue"/>
            <w:noWrap w:val="0"/>
            <w:vAlign w:val="center"/>
          </w:tcPr>
          <w:p>
            <w:pPr>
              <w:adjustRightInd w:val="0"/>
              <w:snapToGrid w:val="0"/>
              <w:jc w:val="center"/>
              <w:rPr>
                <w:rFonts w:hint="eastAsia" w:ascii="宋体" w:hAnsi="宋体" w:cs="宋体"/>
                <w:color w:val="auto"/>
                <w:szCs w:val="21"/>
                <w:highlight w:val="none"/>
                <w:u w:val="single"/>
              </w:rPr>
            </w:pPr>
          </w:p>
        </w:tc>
        <w:tc>
          <w:tcPr>
            <w:tcW w:w="657" w:type="dxa"/>
            <w:noWrap w:val="0"/>
            <w:vAlign w:val="center"/>
          </w:tcPr>
          <w:p>
            <w:pPr>
              <w:adjustRightInd w:val="0"/>
              <w:snapToGrid w:val="0"/>
              <w:jc w:val="center"/>
              <w:rPr>
                <w:rFonts w:hint="default"/>
                <w:color w:val="auto"/>
                <w:szCs w:val="21"/>
                <w:highlight w:val="none"/>
                <w:u w:val="single"/>
                <w:lang w:val="en-US" w:eastAsia="zh-CN"/>
              </w:rPr>
            </w:pPr>
            <w:r>
              <w:rPr>
                <w:rFonts w:hint="eastAsia"/>
                <w:color w:val="auto"/>
                <w:szCs w:val="21"/>
                <w:highlight w:val="none"/>
                <w:u w:val="single"/>
                <w:lang w:val="en-US" w:eastAsia="zh-CN"/>
              </w:rPr>
              <w:t>无组织</w:t>
            </w:r>
          </w:p>
        </w:tc>
        <w:tc>
          <w:tcPr>
            <w:tcW w:w="858" w:type="dxa"/>
            <w:noWrap w:val="0"/>
            <w:vAlign w:val="center"/>
          </w:tcPr>
          <w:p>
            <w:pPr>
              <w:adjustRightInd w:val="0"/>
              <w:snapToGrid w:val="0"/>
              <w:jc w:val="center"/>
              <w:rPr>
                <w:rFonts w:hint="eastAsia" w:eastAsia="宋体"/>
                <w:color w:val="auto"/>
                <w:szCs w:val="21"/>
                <w:highlight w:val="none"/>
                <w:u w:val="single"/>
                <w:lang w:val="en-US" w:eastAsia="zh-CN"/>
              </w:rPr>
            </w:pPr>
            <w:r>
              <w:rPr>
                <w:rFonts w:hint="eastAsia"/>
                <w:color w:val="auto"/>
                <w:szCs w:val="21"/>
                <w:highlight w:val="none"/>
                <w:u w:val="single"/>
                <w:lang w:val="en-US" w:eastAsia="zh-CN"/>
              </w:rPr>
              <w:t>厂界</w:t>
            </w:r>
          </w:p>
        </w:tc>
        <w:tc>
          <w:tcPr>
            <w:tcW w:w="1291" w:type="dxa"/>
            <w:noWrap w:val="0"/>
            <w:vAlign w:val="center"/>
          </w:tcPr>
          <w:p>
            <w:pPr>
              <w:adjustRightInd w:val="0"/>
              <w:snapToGrid w:val="0"/>
              <w:jc w:val="center"/>
              <w:rPr>
                <w:rFonts w:hint="eastAsia"/>
                <w:color w:val="auto"/>
                <w:szCs w:val="21"/>
                <w:highlight w:val="none"/>
                <w:u w:val="single"/>
              </w:rPr>
            </w:pPr>
            <w:r>
              <w:rPr>
                <w:rFonts w:hint="eastAsia"/>
                <w:color w:val="auto"/>
                <w:szCs w:val="21"/>
                <w:highlight w:val="none"/>
                <w:u w:val="single"/>
              </w:rPr>
              <w:t>颗粒物</w:t>
            </w:r>
          </w:p>
        </w:tc>
        <w:tc>
          <w:tcPr>
            <w:tcW w:w="2488" w:type="dxa"/>
            <w:noWrap w:val="0"/>
            <w:vAlign w:val="center"/>
          </w:tcPr>
          <w:p>
            <w:pPr>
              <w:adjustRightInd w:val="0"/>
              <w:snapToGrid w:val="0"/>
              <w:jc w:val="center"/>
              <w:rPr>
                <w:rFonts w:hint="default" w:eastAsia="宋体"/>
                <w:color w:val="auto"/>
                <w:szCs w:val="21"/>
                <w:highlight w:val="none"/>
                <w:u w:val="single"/>
                <w:lang w:val="en-US" w:eastAsia="zh-CN"/>
              </w:rPr>
            </w:pPr>
            <w:r>
              <w:rPr>
                <w:rFonts w:hint="eastAsia"/>
                <w:color w:val="auto"/>
                <w:szCs w:val="21"/>
                <w:highlight w:val="none"/>
                <w:u w:val="single"/>
              </w:rPr>
              <w:t>封闭车间，加强设备维护、定期进行打扫清理保持地面清洁，提高废气收集效率，减少无组织排放</w:t>
            </w:r>
          </w:p>
        </w:tc>
        <w:tc>
          <w:tcPr>
            <w:tcW w:w="2368" w:type="dxa"/>
            <w:noWrap w:val="0"/>
            <w:vAlign w:val="center"/>
          </w:tcPr>
          <w:p>
            <w:pPr>
              <w:adjustRightInd w:val="0"/>
              <w:snapToGrid w:val="0"/>
              <w:jc w:val="center"/>
              <w:rPr>
                <w:color w:val="auto"/>
                <w:szCs w:val="21"/>
                <w:highlight w:val="none"/>
                <w:u w:val="single"/>
              </w:rPr>
            </w:pPr>
            <w:r>
              <w:rPr>
                <w:color w:val="auto"/>
                <w:szCs w:val="21"/>
                <w:highlight w:val="none"/>
                <w:u w:val="single"/>
              </w:rPr>
              <w:t>《大气污染物综合排放标准》（GB16297-1996）</w:t>
            </w:r>
            <w:r>
              <w:rPr>
                <w:rFonts w:hint="eastAsia"/>
                <w:color w:val="auto"/>
                <w:highlight w:val="none"/>
                <w:u w:val="single"/>
              </w:rPr>
              <w:t>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地表水环境</w:t>
            </w:r>
          </w:p>
        </w:tc>
        <w:tc>
          <w:tcPr>
            <w:tcW w:w="1515" w:type="dxa"/>
            <w:gridSpan w:val="2"/>
            <w:noWrap w:val="0"/>
            <w:vAlign w:val="center"/>
          </w:tcPr>
          <w:p>
            <w:pPr>
              <w:adjustRightInd w:val="0"/>
              <w:snapToGrid w:val="0"/>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生活污水</w:t>
            </w:r>
          </w:p>
        </w:tc>
        <w:tc>
          <w:tcPr>
            <w:tcW w:w="1291" w:type="dxa"/>
            <w:noWrap w:val="0"/>
            <w:vAlign w:val="center"/>
          </w:tcPr>
          <w:p>
            <w:pPr>
              <w:adjustRightInd w:val="0"/>
              <w:snapToGrid w:val="0"/>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pH、</w:t>
            </w:r>
          </w:p>
          <w:p>
            <w:pPr>
              <w:adjustRightInd w:val="0"/>
              <w:snapToGrid w:val="0"/>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CODCr、</w:t>
            </w:r>
          </w:p>
          <w:p>
            <w:pPr>
              <w:adjustRightInd w:val="0"/>
              <w:snapToGrid w:val="0"/>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BOD</w:t>
            </w:r>
            <w:r>
              <w:rPr>
                <w:rFonts w:hint="default" w:ascii="Times New Roman" w:hAnsi="Times New Roman" w:cs="Times New Roman"/>
                <w:color w:val="auto"/>
                <w:szCs w:val="21"/>
                <w:highlight w:val="none"/>
                <w:u w:val="single"/>
                <w:vertAlign w:val="subscript"/>
              </w:rPr>
              <w:t>5</w:t>
            </w:r>
            <w:r>
              <w:rPr>
                <w:rFonts w:hint="default" w:ascii="Times New Roman" w:hAnsi="Times New Roman" w:cs="Times New Roman"/>
                <w:color w:val="auto"/>
                <w:szCs w:val="21"/>
                <w:highlight w:val="none"/>
                <w:u w:val="single"/>
              </w:rPr>
              <w:t>、</w:t>
            </w:r>
          </w:p>
          <w:p>
            <w:pPr>
              <w:adjustRightInd w:val="0"/>
              <w:snapToGrid w:val="0"/>
              <w:jc w:val="center"/>
              <w:rPr>
                <w:rFonts w:hint="eastAsia" w:ascii="宋体" w:hAnsi="宋体" w:cs="宋体"/>
                <w:color w:val="auto"/>
                <w:szCs w:val="21"/>
                <w:highlight w:val="none"/>
                <w:u w:val="single"/>
              </w:rPr>
            </w:pPr>
            <w:r>
              <w:rPr>
                <w:rFonts w:hint="default" w:ascii="Times New Roman" w:hAnsi="Times New Roman" w:cs="Times New Roman"/>
                <w:color w:val="auto"/>
                <w:szCs w:val="21"/>
                <w:highlight w:val="none"/>
                <w:u w:val="single"/>
              </w:rPr>
              <w:t>SS、氨氮</w:t>
            </w:r>
          </w:p>
        </w:tc>
        <w:tc>
          <w:tcPr>
            <w:tcW w:w="2488" w:type="dxa"/>
            <w:noWrap w:val="0"/>
            <w:vAlign w:val="center"/>
          </w:tcPr>
          <w:p>
            <w:pPr>
              <w:adjustRightInd w:val="0"/>
              <w:snapToGrid w:val="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化粪池处理后用于周边菜地浇灌，不外排</w:t>
            </w:r>
          </w:p>
        </w:tc>
        <w:tc>
          <w:tcPr>
            <w:tcW w:w="236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3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声环境</w:t>
            </w:r>
          </w:p>
        </w:tc>
        <w:tc>
          <w:tcPr>
            <w:tcW w:w="1515" w:type="dxa"/>
            <w:gridSpan w:val="2"/>
            <w:noWrap w:val="0"/>
            <w:vAlign w:val="center"/>
          </w:tcPr>
          <w:p>
            <w:pPr>
              <w:adjustRightInd w:val="0"/>
              <w:snapToGrid w:val="0"/>
              <w:jc w:val="center"/>
              <w:rPr>
                <w:rFonts w:hint="eastAsia"/>
                <w:color w:val="auto"/>
                <w:szCs w:val="21"/>
                <w:highlight w:val="none"/>
                <w:u w:val="single"/>
              </w:rPr>
            </w:pPr>
            <w:r>
              <w:rPr>
                <w:rFonts w:hint="eastAsia"/>
                <w:color w:val="auto"/>
                <w:szCs w:val="21"/>
                <w:highlight w:val="none"/>
                <w:u w:val="single"/>
              </w:rPr>
              <w:t>厂界噪声</w:t>
            </w:r>
          </w:p>
        </w:tc>
        <w:tc>
          <w:tcPr>
            <w:tcW w:w="1291" w:type="dxa"/>
            <w:noWrap w:val="0"/>
            <w:vAlign w:val="center"/>
          </w:tcPr>
          <w:p>
            <w:pPr>
              <w:adjustRightInd w:val="0"/>
              <w:snapToGrid w:val="0"/>
              <w:jc w:val="center"/>
              <w:rPr>
                <w:rFonts w:hint="eastAsia"/>
                <w:color w:val="auto"/>
                <w:szCs w:val="21"/>
                <w:highlight w:val="none"/>
                <w:u w:val="single"/>
              </w:rPr>
            </w:pPr>
            <w:r>
              <w:rPr>
                <w:rFonts w:hint="eastAsia"/>
                <w:color w:val="auto"/>
                <w:szCs w:val="21"/>
                <w:highlight w:val="none"/>
                <w:u w:val="single"/>
              </w:rPr>
              <w:t>等效连续A声级</w:t>
            </w:r>
          </w:p>
        </w:tc>
        <w:tc>
          <w:tcPr>
            <w:tcW w:w="2488" w:type="dxa"/>
            <w:noWrap w:val="0"/>
            <w:vAlign w:val="center"/>
          </w:tcPr>
          <w:p>
            <w:pPr>
              <w:adjustRightInd w:val="0"/>
              <w:snapToGrid w:val="0"/>
              <w:jc w:val="center"/>
              <w:rPr>
                <w:rFonts w:hint="eastAsia"/>
                <w:color w:val="auto"/>
                <w:szCs w:val="21"/>
                <w:highlight w:val="none"/>
                <w:u w:val="single"/>
              </w:rPr>
            </w:pPr>
            <w:r>
              <w:rPr>
                <w:rFonts w:hint="eastAsia"/>
                <w:color w:val="auto"/>
                <w:szCs w:val="21"/>
                <w:highlight w:val="none"/>
                <w:u w:val="single"/>
              </w:rPr>
              <w:t>采用低噪声设备、采取减振、隔声等措施</w:t>
            </w:r>
          </w:p>
        </w:tc>
        <w:tc>
          <w:tcPr>
            <w:tcW w:w="2368" w:type="dxa"/>
            <w:noWrap w:val="0"/>
            <w:vAlign w:val="center"/>
          </w:tcPr>
          <w:p>
            <w:pPr>
              <w:adjustRightInd w:val="0"/>
              <w:snapToGrid w:val="0"/>
              <w:jc w:val="center"/>
              <w:rPr>
                <w:color w:val="auto"/>
                <w:szCs w:val="21"/>
                <w:highlight w:val="none"/>
                <w:u w:val="single"/>
              </w:rPr>
            </w:pPr>
            <w:r>
              <w:rPr>
                <w:color w:val="auto"/>
                <w:highlight w:val="none"/>
                <w:u w:val="single"/>
              </w:rPr>
              <w:t>《工业企业厂界环境噪声排放标准》（GB12348-2008）2类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3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电磁辐射</w:t>
            </w:r>
          </w:p>
        </w:tc>
        <w:tc>
          <w:tcPr>
            <w:tcW w:w="1515" w:type="dxa"/>
            <w:gridSpan w:val="2"/>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c>
          <w:tcPr>
            <w:tcW w:w="1291"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c>
          <w:tcPr>
            <w:tcW w:w="248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c>
          <w:tcPr>
            <w:tcW w:w="236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3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固体废物</w:t>
            </w:r>
          </w:p>
        </w:tc>
        <w:tc>
          <w:tcPr>
            <w:tcW w:w="7662" w:type="dxa"/>
            <w:gridSpan w:val="5"/>
            <w:noWrap w:val="0"/>
            <w:vAlign w:val="center"/>
          </w:tcPr>
          <w:p>
            <w:pPr>
              <w:adjustRightInd w:val="0"/>
              <w:snapToGrid w:val="0"/>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设置一般固体废物暂存间，实行分类收集处理，一般固体废物主要有</w:t>
            </w:r>
            <w:r>
              <w:rPr>
                <w:rFonts w:hint="eastAsia" w:ascii="宋体" w:hAnsi="宋体" w:cs="宋体"/>
                <w:color w:val="auto"/>
                <w:szCs w:val="21"/>
                <w:highlight w:val="none"/>
                <w:u w:val="single"/>
                <w:lang w:val="en-US" w:eastAsia="zh-CN"/>
              </w:rPr>
              <w:t>收集粉尘</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生物质灰渣</w:t>
            </w:r>
            <w:r>
              <w:rPr>
                <w:rFonts w:hint="eastAsia" w:ascii="宋体" w:hAnsi="宋体" w:cs="宋体"/>
                <w:color w:val="auto"/>
                <w:szCs w:val="21"/>
                <w:highlight w:val="none"/>
                <w:u w:val="single"/>
              </w:rPr>
              <w:t>以及生活垃圾；其中，收集粉尘后回用于生产；</w:t>
            </w:r>
            <w:r>
              <w:rPr>
                <w:rFonts w:hint="eastAsia" w:ascii="宋体" w:hAnsi="宋体" w:cs="宋体"/>
                <w:color w:val="auto"/>
                <w:szCs w:val="21"/>
                <w:highlight w:val="none"/>
                <w:u w:val="single"/>
                <w:lang w:val="en-US" w:eastAsia="zh-CN"/>
              </w:rPr>
              <w:t>灰渣收集后外售综合利用；</w:t>
            </w:r>
            <w:r>
              <w:rPr>
                <w:rFonts w:hint="eastAsia" w:ascii="宋体" w:hAnsi="宋体" w:cs="宋体"/>
                <w:color w:val="auto"/>
                <w:szCs w:val="21"/>
                <w:highlight w:val="none"/>
                <w:u w:val="single"/>
              </w:rPr>
              <w:t>生活垃圾收集后交由环卫部门统一清运</w:t>
            </w:r>
            <w:r>
              <w:rPr>
                <w:rFonts w:hint="eastAsia" w:ascii="宋体" w:hAnsi="宋体" w:cs="宋体"/>
                <w:color w:val="auto"/>
                <w:szCs w:val="21"/>
                <w:highlight w:val="none"/>
                <w:u w:val="single"/>
                <w:lang w:eastAsia="zh-CN"/>
              </w:rPr>
              <w:t>；废机油收集后</w:t>
            </w:r>
            <w:r>
              <w:rPr>
                <w:rFonts w:hint="eastAsia" w:ascii="宋体" w:hAnsi="宋体" w:cs="宋体"/>
                <w:color w:val="auto"/>
                <w:szCs w:val="21"/>
                <w:highlight w:val="none"/>
                <w:u w:val="single"/>
                <w:lang w:val="en-US" w:eastAsia="zh-CN"/>
              </w:rPr>
              <w:t>暂存危废暂存间后</w:t>
            </w:r>
            <w:r>
              <w:rPr>
                <w:rFonts w:hint="eastAsia" w:ascii="宋体" w:hAnsi="宋体" w:cs="宋体"/>
                <w:color w:val="auto"/>
                <w:szCs w:val="21"/>
                <w:highlight w:val="none"/>
                <w:u w:val="single"/>
                <w:lang w:eastAsia="zh-CN"/>
              </w:rPr>
              <w:t>交有资质单位进行处理。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3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土壤及地下水污染防治措施</w:t>
            </w:r>
          </w:p>
        </w:tc>
        <w:tc>
          <w:tcPr>
            <w:tcW w:w="766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u w:val="single"/>
                <w:lang w:eastAsia="zh-CN"/>
              </w:rPr>
            </w:pPr>
            <w:r>
              <w:rPr>
                <w:rFonts w:hint="eastAsia"/>
                <w:color w:val="auto"/>
                <w:szCs w:val="21"/>
                <w:highlight w:val="none"/>
                <w:u w:val="single"/>
                <w:lang w:val="en-US" w:eastAsia="zh-CN"/>
              </w:rPr>
              <w:t>根据可能泄漏至地面区域污染物的性质和生产单元的构筑方式，将厂区划定为重点污染防治区、一般污染防治区和非污染防治区。根据不同区域的防渗要求，严格做好相应的防渗措施。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生态保护措施</w:t>
            </w:r>
          </w:p>
        </w:tc>
        <w:tc>
          <w:tcPr>
            <w:tcW w:w="7662" w:type="dxa"/>
            <w:gridSpan w:val="5"/>
            <w:noWrap w:val="0"/>
            <w:vAlign w:val="center"/>
          </w:tcPr>
          <w:p>
            <w:pPr>
              <w:adjustRightInd w:val="0"/>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noWrap w:val="0"/>
            <w:vAlign w:val="center"/>
          </w:tcPr>
          <w:p>
            <w:pPr>
              <w:adjustRightInd w:val="0"/>
              <w:snapToGrid w:val="0"/>
              <w:jc w:val="center"/>
              <w:rPr>
                <w:rFonts w:ascii="宋体" w:hAnsi="宋体" w:cs="宋体"/>
                <w:color w:val="auto"/>
                <w:spacing w:val="-8"/>
                <w:szCs w:val="21"/>
                <w:highlight w:val="none"/>
                <w:u w:val="single"/>
              </w:rPr>
            </w:pPr>
            <w:r>
              <w:rPr>
                <w:rFonts w:hint="eastAsia" w:ascii="宋体" w:hAnsi="宋体" w:cs="宋体"/>
                <w:color w:val="auto"/>
                <w:spacing w:val="-8"/>
                <w:szCs w:val="21"/>
                <w:highlight w:val="none"/>
                <w:u w:val="single"/>
              </w:rPr>
              <w:t>环境风险</w:t>
            </w:r>
          </w:p>
          <w:p>
            <w:pPr>
              <w:adjustRightInd w:val="0"/>
              <w:snapToGrid w:val="0"/>
              <w:jc w:val="center"/>
              <w:rPr>
                <w:rFonts w:hint="eastAsia" w:ascii="宋体" w:hAnsi="宋体" w:cs="宋体"/>
                <w:color w:val="auto"/>
                <w:spacing w:val="-8"/>
                <w:szCs w:val="21"/>
                <w:highlight w:val="none"/>
                <w:u w:val="single"/>
              </w:rPr>
            </w:pPr>
            <w:r>
              <w:rPr>
                <w:rFonts w:hint="eastAsia" w:ascii="宋体" w:hAnsi="宋体" w:cs="宋体"/>
                <w:color w:val="auto"/>
                <w:spacing w:val="-8"/>
                <w:szCs w:val="21"/>
                <w:highlight w:val="none"/>
                <w:u w:val="single"/>
              </w:rPr>
              <w:t>防范措施</w:t>
            </w:r>
          </w:p>
        </w:tc>
        <w:tc>
          <w:tcPr>
            <w:tcW w:w="7662" w:type="dxa"/>
            <w:gridSpan w:val="5"/>
            <w:noWrap w:val="0"/>
            <w:vAlign w:val="center"/>
          </w:tcPr>
          <w:p>
            <w:pPr>
              <w:numPr>
                <w:ilvl w:val="0"/>
                <w:numId w:val="7"/>
              </w:numPr>
              <w:spacing w:line="360" w:lineRule="auto"/>
              <w:ind w:firstLine="420" w:firstLineChars="200"/>
              <w:rPr>
                <w:rFonts w:hint="eastAsia"/>
                <w:bCs/>
                <w:color w:val="auto"/>
                <w:szCs w:val="21"/>
                <w:highlight w:val="none"/>
                <w:u w:val="single"/>
              </w:rPr>
            </w:pPr>
            <w:r>
              <w:rPr>
                <w:rFonts w:hint="eastAsia"/>
                <w:bCs/>
                <w:color w:val="auto"/>
                <w:szCs w:val="21"/>
                <w:highlight w:val="none"/>
                <w:u w:val="single"/>
              </w:rPr>
              <w:t>消除和控制明火源：在生产区及原料区及成品存放区内设置严禁烟火标志，严禁携带火柴、打火机等；在各厂房处配灭火器、消防栓、消防沙等消防物资，以便及时扑灭初期火灾。</w:t>
            </w:r>
          </w:p>
          <w:p>
            <w:pPr>
              <w:numPr>
                <w:ilvl w:val="0"/>
                <w:numId w:val="7"/>
              </w:numPr>
              <w:spacing w:line="360" w:lineRule="auto"/>
              <w:ind w:firstLine="420" w:firstLineChars="200"/>
              <w:rPr>
                <w:rFonts w:hint="default" w:eastAsia="宋体"/>
                <w:bCs/>
                <w:color w:val="auto"/>
                <w:szCs w:val="21"/>
                <w:highlight w:val="none"/>
                <w:u w:val="single"/>
                <w:lang w:val="en-US" w:eastAsia="zh-CN"/>
              </w:rPr>
            </w:pPr>
            <w:r>
              <w:rPr>
                <w:rFonts w:hint="eastAsia"/>
                <w:bCs/>
                <w:color w:val="auto"/>
                <w:szCs w:val="21"/>
                <w:highlight w:val="none"/>
                <w:u w:val="single"/>
                <w:lang w:val="en-US" w:eastAsia="zh-CN"/>
              </w:rPr>
              <w:t>根据《企业突发环境事件风险评估指南》、《湖南省突发环境事件应急预案管理办法》等相关文件的要求制定环境风险应急预案，并设立应急指挥小组及应急响应制度，应对风险的发生。</w:t>
            </w:r>
          </w:p>
          <w:p>
            <w:pPr>
              <w:spacing w:line="360" w:lineRule="auto"/>
              <w:ind w:firstLine="420" w:firstLineChars="200"/>
              <w:rPr>
                <w:rFonts w:hint="eastAsia"/>
                <w:bCs/>
                <w:color w:val="auto"/>
                <w:szCs w:val="21"/>
                <w:highlight w:val="none"/>
                <w:u w:val="single"/>
              </w:rPr>
            </w:pPr>
            <w:r>
              <w:rPr>
                <w:rFonts w:hint="eastAsia"/>
                <w:bCs/>
                <w:color w:val="auto"/>
                <w:szCs w:val="21"/>
                <w:highlight w:val="none"/>
                <w:u w:val="single"/>
              </w:rPr>
              <w:t>（</w:t>
            </w:r>
            <w:r>
              <w:rPr>
                <w:rFonts w:hint="eastAsia"/>
                <w:bCs/>
                <w:color w:val="auto"/>
                <w:szCs w:val="21"/>
                <w:highlight w:val="none"/>
                <w:u w:val="single"/>
                <w:lang w:val="en-US" w:eastAsia="zh-CN"/>
              </w:rPr>
              <w:t>3</w:t>
            </w:r>
            <w:r>
              <w:rPr>
                <w:rFonts w:hint="eastAsia"/>
                <w:bCs/>
                <w:color w:val="auto"/>
                <w:szCs w:val="21"/>
                <w:highlight w:val="none"/>
                <w:u w:val="single"/>
              </w:rPr>
              <w:t>）防止电气火花：采取有效措施防止电气线路和电气设施在开关断开、接触不良、短路、漏电时产生火花，防止静电放电火花；采取防雷接地措施，防止雷电放电火花。</w:t>
            </w:r>
          </w:p>
          <w:p>
            <w:pPr>
              <w:spacing w:line="360" w:lineRule="auto"/>
              <w:ind w:firstLine="420" w:firstLineChars="200"/>
              <w:rPr>
                <w:rFonts w:hint="eastAsia"/>
                <w:bCs/>
                <w:color w:val="auto"/>
                <w:szCs w:val="21"/>
                <w:highlight w:val="none"/>
                <w:u w:val="single"/>
              </w:rPr>
            </w:pPr>
            <w:r>
              <w:rPr>
                <w:rFonts w:hint="eastAsia"/>
                <w:bCs/>
                <w:color w:val="auto"/>
                <w:szCs w:val="21"/>
                <w:highlight w:val="none"/>
                <w:u w:val="single"/>
              </w:rPr>
              <w:t>（</w:t>
            </w:r>
            <w:r>
              <w:rPr>
                <w:rFonts w:hint="eastAsia"/>
                <w:bCs/>
                <w:color w:val="auto"/>
                <w:szCs w:val="21"/>
                <w:highlight w:val="none"/>
                <w:u w:val="single"/>
                <w:lang w:val="en-US" w:eastAsia="zh-CN"/>
              </w:rPr>
              <w:t>4</w:t>
            </w:r>
            <w:r>
              <w:rPr>
                <w:rFonts w:hint="eastAsia"/>
                <w:bCs/>
                <w:color w:val="auto"/>
                <w:szCs w:val="21"/>
                <w:highlight w:val="none"/>
                <w:u w:val="single"/>
              </w:rPr>
              <w:t>）原料、成品储存于阴凉、通风处。库温不超过30℃，保持干燥通风。</w:t>
            </w:r>
          </w:p>
          <w:p>
            <w:pPr>
              <w:spacing w:line="360" w:lineRule="auto"/>
              <w:ind w:firstLine="420" w:firstLineChars="200"/>
              <w:rPr>
                <w:rFonts w:hint="eastAsia"/>
                <w:bCs/>
                <w:color w:val="auto"/>
                <w:szCs w:val="21"/>
                <w:highlight w:val="none"/>
                <w:u w:val="single"/>
              </w:rPr>
            </w:pPr>
            <w:r>
              <w:rPr>
                <w:rFonts w:hint="eastAsia"/>
                <w:bCs/>
                <w:color w:val="auto"/>
                <w:szCs w:val="21"/>
                <w:highlight w:val="none"/>
                <w:u w:val="single"/>
              </w:rPr>
              <w:t>（</w:t>
            </w:r>
            <w:r>
              <w:rPr>
                <w:rFonts w:hint="eastAsia"/>
                <w:bCs/>
                <w:color w:val="auto"/>
                <w:szCs w:val="21"/>
                <w:highlight w:val="none"/>
                <w:u w:val="single"/>
                <w:lang w:val="en-US" w:eastAsia="zh-CN"/>
              </w:rPr>
              <w:t>5</w:t>
            </w:r>
            <w:r>
              <w:rPr>
                <w:rFonts w:hint="eastAsia"/>
                <w:bCs/>
                <w:color w:val="auto"/>
                <w:szCs w:val="21"/>
                <w:highlight w:val="none"/>
                <w:u w:val="single"/>
              </w:rPr>
              <w:t>）定期对原料使用过程中的相关人员，如仓管员、直接使用人员进行过程监查，定期对上述人员进行相关知识教育和岗位职责培训。</w:t>
            </w:r>
          </w:p>
          <w:p>
            <w:pPr>
              <w:spacing w:line="360" w:lineRule="auto"/>
              <w:ind w:firstLine="420" w:firstLineChars="200"/>
              <w:rPr>
                <w:rFonts w:hint="eastAsia"/>
                <w:bCs/>
                <w:color w:val="auto"/>
                <w:szCs w:val="21"/>
                <w:highlight w:val="none"/>
                <w:u w:val="single"/>
              </w:rPr>
            </w:pPr>
            <w:r>
              <w:rPr>
                <w:rFonts w:hint="eastAsia"/>
                <w:bCs/>
                <w:color w:val="auto"/>
                <w:szCs w:val="21"/>
                <w:highlight w:val="none"/>
                <w:u w:val="single"/>
              </w:rPr>
              <w:t>（</w:t>
            </w:r>
            <w:r>
              <w:rPr>
                <w:rFonts w:hint="eastAsia"/>
                <w:bCs/>
                <w:color w:val="auto"/>
                <w:szCs w:val="21"/>
                <w:highlight w:val="none"/>
                <w:u w:val="single"/>
                <w:lang w:val="en-US" w:eastAsia="zh-CN"/>
              </w:rPr>
              <w:t>6</w:t>
            </w:r>
            <w:r>
              <w:rPr>
                <w:rFonts w:hint="eastAsia"/>
                <w:bCs/>
                <w:color w:val="auto"/>
                <w:szCs w:val="21"/>
                <w:highlight w:val="none"/>
                <w:u w:val="single"/>
              </w:rPr>
              <w:t>）严格控制原料品质，做到从源头防控风险事故。</w:t>
            </w:r>
          </w:p>
          <w:p>
            <w:pPr>
              <w:spacing w:line="360" w:lineRule="auto"/>
              <w:ind w:firstLine="420" w:firstLineChars="200"/>
              <w:rPr>
                <w:rFonts w:hint="eastAsia"/>
                <w:bCs/>
                <w:color w:val="auto"/>
                <w:szCs w:val="21"/>
                <w:highlight w:val="none"/>
                <w:u w:val="single"/>
                <w:lang w:val="en-US" w:eastAsia="zh-CN"/>
              </w:rPr>
            </w:pPr>
            <w:r>
              <w:rPr>
                <w:rFonts w:hint="eastAsia"/>
                <w:bCs/>
                <w:color w:val="auto"/>
                <w:szCs w:val="21"/>
                <w:highlight w:val="none"/>
                <w:u w:val="single"/>
                <w:lang w:val="en-US" w:eastAsia="zh-CN"/>
              </w:rPr>
              <w:t>（7）废气处理设备制定严格的操作规程，严格按操作规程进行运行控制，防止误操作导致废气事故排放，操作规程上墙，并在各危险区域张贴应急联系电话。</w:t>
            </w:r>
          </w:p>
          <w:p>
            <w:pPr>
              <w:spacing w:line="360" w:lineRule="auto"/>
              <w:ind w:firstLine="420" w:firstLineChars="200"/>
              <w:rPr>
                <w:rFonts w:hint="eastAsia"/>
                <w:bCs/>
                <w:color w:val="auto"/>
                <w:szCs w:val="21"/>
                <w:highlight w:val="none"/>
                <w:u w:val="single"/>
                <w:lang w:val="en-US" w:eastAsia="zh-CN"/>
              </w:rPr>
            </w:pPr>
            <w:r>
              <w:rPr>
                <w:rFonts w:hint="eastAsia"/>
                <w:bCs/>
                <w:color w:val="auto"/>
                <w:szCs w:val="21"/>
                <w:highlight w:val="none"/>
                <w:u w:val="single"/>
                <w:lang w:val="en-US" w:eastAsia="zh-CN"/>
              </w:rPr>
              <w:t>（8）布袋定期更换以保证废气的处理效果符合排放标准。</w:t>
            </w:r>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bCs/>
                <w:color w:val="auto"/>
                <w:szCs w:val="21"/>
                <w:highlight w:val="none"/>
                <w:u w:val="single"/>
                <w:lang w:val="en-US" w:eastAsia="zh-CN"/>
              </w:rPr>
              <w:t xml:space="preserve">（9）管理人员每天对各废气处理设施巡检一次，查看废气处理设施运转是否正常，运行控制是否到位，不定时对各记录表进行检查。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7" w:hRule="atLeast"/>
          <w:jc w:val="center"/>
        </w:trPr>
        <w:tc>
          <w:tcPr>
            <w:tcW w:w="1138" w:type="dxa"/>
            <w:noWrap w:val="0"/>
            <w:vAlign w:val="center"/>
          </w:tcPr>
          <w:p>
            <w:pPr>
              <w:adjustRightInd w:val="0"/>
              <w:snapToGrid w:val="0"/>
              <w:jc w:val="center"/>
              <w:rPr>
                <w:rFonts w:ascii="宋体" w:hAnsi="宋体" w:cs="宋体"/>
                <w:color w:val="auto"/>
                <w:spacing w:val="-8"/>
                <w:szCs w:val="21"/>
                <w:highlight w:val="none"/>
                <w:u w:val="single"/>
              </w:rPr>
            </w:pPr>
            <w:r>
              <w:rPr>
                <w:rFonts w:hint="eastAsia" w:ascii="宋体" w:hAnsi="宋体" w:cs="宋体"/>
                <w:color w:val="auto"/>
                <w:spacing w:val="-8"/>
                <w:szCs w:val="21"/>
                <w:highlight w:val="none"/>
                <w:u w:val="single"/>
              </w:rPr>
              <w:t>其他环境</w:t>
            </w:r>
          </w:p>
          <w:p>
            <w:pPr>
              <w:adjustRightInd w:val="0"/>
              <w:snapToGrid w:val="0"/>
              <w:jc w:val="center"/>
              <w:rPr>
                <w:rFonts w:hint="eastAsia" w:ascii="宋体" w:hAnsi="宋体" w:cs="宋体"/>
                <w:color w:val="auto"/>
                <w:spacing w:val="-8"/>
                <w:szCs w:val="21"/>
                <w:highlight w:val="none"/>
                <w:u w:val="single"/>
              </w:rPr>
            </w:pPr>
            <w:r>
              <w:rPr>
                <w:rFonts w:hint="eastAsia" w:ascii="宋体" w:hAnsi="宋体" w:cs="宋体"/>
                <w:color w:val="auto"/>
                <w:spacing w:val="-8"/>
                <w:szCs w:val="21"/>
                <w:highlight w:val="none"/>
                <w:u w:val="single"/>
              </w:rPr>
              <w:t>管理要求</w:t>
            </w:r>
          </w:p>
        </w:tc>
        <w:tc>
          <w:tcPr>
            <w:tcW w:w="7662" w:type="dxa"/>
            <w:gridSpan w:val="5"/>
            <w:noWrap w:val="0"/>
            <w:vAlign w:val="center"/>
          </w:tcPr>
          <w:p>
            <w:pPr>
              <w:pStyle w:val="67"/>
              <w:snapToGrid w:val="0"/>
              <w:ind w:firstLine="420"/>
              <w:rPr>
                <w:color w:val="auto"/>
                <w:kern w:val="0"/>
                <w:sz w:val="21"/>
                <w:szCs w:val="21"/>
                <w:highlight w:val="none"/>
                <w:u w:val="single"/>
              </w:rPr>
            </w:pPr>
            <w:r>
              <w:rPr>
                <w:rFonts w:hint="eastAsia"/>
                <w:color w:val="auto"/>
                <w:kern w:val="0"/>
                <w:sz w:val="21"/>
                <w:szCs w:val="21"/>
                <w:highlight w:val="none"/>
                <w:u w:val="single"/>
              </w:rPr>
              <w:t>1、</w:t>
            </w:r>
            <w:r>
              <w:rPr>
                <w:color w:val="auto"/>
                <w:kern w:val="0"/>
                <w:sz w:val="21"/>
                <w:szCs w:val="21"/>
                <w:highlight w:val="none"/>
                <w:u w:val="single"/>
              </w:rPr>
              <w:t>项目建设必须严格执行环境保护的制度，各项环保措施必须与主体工程同时设计、同时施工、同时投入运行；要求企业在项目建成投产，实际排污前，</w:t>
            </w:r>
            <w:r>
              <w:rPr>
                <w:color w:val="auto"/>
                <w:kern w:val="0"/>
                <w:sz w:val="21"/>
                <w:szCs w:val="21"/>
                <w:highlight w:val="none"/>
                <w:u w:val="single"/>
              </w:rPr>
              <w:t>应根据《固定污染源排污许可分类管理目录》（2019 年版）</w:t>
            </w:r>
            <w:r>
              <w:rPr>
                <w:rFonts w:hint="eastAsia"/>
                <w:color w:val="auto"/>
                <w:kern w:val="0"/>
                <w:sz w:val="21"/>
                <w:szCs w:val="21"/>
                <w:highlight w:val="none"/>
                <w:u w:val="single"/>
                <w:lang w:val="en-US" w:eastAsia="zh-CN"/>
              </w:rPr>
              <w:t>中二十、石油、煤炭及其他燃料加工业25、44 生物质燃料加工254，涉及通用工序简化管理的</w:t>
            </w:r>
            <w:r>
              <w:rPr>
                <w:color w:val="auto"/>
                <w:kern w:val="0"/>
                <w:sz w:val="21"/>
                <w:szCs w:val="21"/>
                <w:highlight w:val="none"/>
                <w:u w:val="single"/>
              </w:rPr>
              <w:t>，</w:t>
            </w:r>
            <w:r>
              <w:rPr>
                <w:rFonts w:hint="eastAsia"/>
                <w:color w:val="auto"/>
                <w:kern w:val="0"/>
                <w:sz w:val="21"/>
                <w:szCs w:val="21"/>
                <w:highlight w:val="none"/>
                <w:u w:val="single"/>
              </w:rPr>
              <w:t>实行排污许可简化管理</w:t>
            </w:r>
            <w:r>
              <w:rPr>
                <w:rFonts w:hint="eastAsia"/>
                <w:color w:val="auto"/>
                <w:kern w:val="0"/>
                <w:sz w:val="21"/>
                <w:szCs w:val="21"/>
                <w:highlight w:val="none"/>
                <w:u w:val="single"/>
                <w:lang w:eastAsia="zh-CN"/>
              </w:rPr>
              <w:t>，</w:t>
            </w:r>
            <w:r>
              <w:rPr>
                <w:rFonts w:hint="eastAsia"/>
                <w:color w:val="auto"/>
                <w:kern w:val="0"/>
                <w:sz w:val="21"/>
                <w:szCs w:val="21"/>
                <w:highlight w:val="none"/>
                <w:u w:val="single"/>
                <w:lang w:val="en-US" w:eastAsia="zh-CN"/>
              </w:rPr>
              <w:t>申请</w:t>
            </w:r>
            <w:r>
              <w:rPr>
                <w:color w:val="auto"/>
                <w:kern w:val="0"/>
                <w:sz w:val="21"/>
                <w:szCs w:val="21"/>
                <w:highlight w:val="none"/>
                <w:u w:val="single"/>
              </w:rPr>
              <w:t>排污许可证。建</w:t>
            </w:r>
            <w:r>
              <w:rPr>
                <w:color w:val="auto"/>
                <w:kern w:val="0"/>
                <w:sz w:val="21"/>
                <w:szCs w:val="21"/>
                <w:highlight w:val="none"/>
                <w:u w:val="single"/>
              </w:rPr>
              <w:t>设单位应按照《建设项目竣工环境保护验收暂行办法》（国环规环评[2017]4号）规定的程序和标准，组织对配套建设的环境保护设施进行验收，编制验收报告，并对验收内容、结论和所公开信息的真实性、准确性和完整性负责，不得在验收过程中弄虚作假。建设项目配套建设的环境保护设施经验收合格后，其主体工程才可以投入生产或者使用。</w:t>
            </w:r>
          </w:p>
          <w:p>
            <w:pPr>
              <w:pStyle w:val="67"/>
              <w:snapToGrid w:val="0"/>
              <w:ind w:firstLine="420"/>
              <w:rPr>
                <w:color w:val="auto"/>
                <w:sz w:val="21"/>
                <w:szCs w:val="21"/>
                <w:highlight w:val="none"/>
                <w:u w:val="single"/>
              </w:rPr>
            </w:pPr>
            <w:r>
              <w:rPr>
                <w:rFonts w:hint="eastAsia"/>
                <w:color w:val="auto"/>
                <w:sz w:val="21"/>
                <w:szCs w:val="21"/>
                <w:highlight w:val="none"/>
                <w:u w:val="single"/>
              </w:rPr>
              <w:t>2、</w:t>
            </w:r>
            <w:r>
              <w:rPr>
                <w:color w:val="auto"/>
                <w:sz w:val="21"/>
                <w:szCs w:val="21"/>
                <w:highlight w:val="none"/>
                <w:u w:val="single"/>
              </w:rPr>
              <w:t>标示牌的设置应按《关于印发排放口标志牌技术规格的通知》（环办[2003]95号）中的相关规定实施，统计所有排污口的名称、位置、数量，以及排放的污染物名称、数量等内容上报当地环保部门，以便进行验收和排污口的规范化管理。图形符号分为提示图形和警告图形符号两种，分别按（GB15562.1-1995）、（GB15562.2-1995）执行。环境保护图形标志的形状及颜色见下表。</w:t>
            </w:r>
          </w:p>
          <w:p>
            <w:pPr>
              <w:pStyle w:val="68"/>
              <w:spacing w:before="0"/>
              <w:rPr>
                <w:rFonts w:eastAsia="宋体"/>
                <w:color w:val="auto"/>
                <w:sz w:val="21"/>
                <w:szCs w:val="21"/>
                <w:highlight w:val="none"/>
                <w:u w:val="single"/>
                <w:lang w:val="en-US" w:eastAsia="zh-CN"/>
              </w:rPr>
            </w:pPr>
            <w:r>
              <w:rPr>
                <w:rFonts w:eastAsia="宋体"/>
                <w:b/>
                <w:bCs/>
                <w:color w:val="auto"/>
                <w:sz w:val="21"/>
                <w:szCs w:val="21"/>
                <w:highlight w:val="none"/>
                <w:u w:val="single"/>
                <w:lang w:val="en-US" w:eastAsia="zh-CN"/>
              </w:rPr>
              <w:t>表5-1环境保护图形符号一览表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616"/>
              <w:gridCol w:w="2148"/>
              <w:gridCol w:w="2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noWrap w:val="0"/>
                  <w:vAlign w:val="center"/>
                </w:tcPr>
                <w:p>
                  <w:pPr>
                    <w:pStyle w:val="69"/>
                    <w:snapToGrid w:val="0"/>
                    <w:rPr>
                      <w:b/>
                      <w:bCs/>
                      <w:color w:val="auto"/>
                      <w:szCs w:val="21"/>
                      <w:highlight w:val="none"/>
                      <w:u w:val="single"/>
                    </w:rPr>
                  </w:pPr>
                  <w:r>
                    <w:rPr>
                      <w:b/>
                      <w:bCs/>
                      <w:color w:val="auto"/>
                      <w:szCs w:val="21"/>
                      <w:highlight w:val="none"/>
                      <w:u w:val="single"/>
                    </w:rPr>
                    <w:t>序号</w:t>
                  </w:r>
                </w:p>
              </w:tc>
              <w:tc>
                <w:tcPr>
                  <w:tcW w:w="1090" w:type="pct"/>
                  <w:noWrap w:val="0"/>
                  <w:vAlign w:val="center"/>
                </w:tcPr>
                <w:p>
                  <w:pPr>
                    <w:pStyle w:val="69"/>
                    <w:snapToGrid w:val="0"/>
                    <w:rPr>
                      <w:b/>
                      <w:bCs/>
                      <w:color w:val="auto"/>
                      <w:szCs w:val="21"/>
                      <w:highlight w:val="none"/>
                      <w:u w:val="single"/>
                    </w:rPr>
                  </w:pPr>
                  <w:r>
                    <w:rPr>
                      <w:b/>
                      <w:bCs/>
                      <w:color w:val="auto"/>
                      <w:szCs w:val="21"/>
                      <w:highlight w:val="none"/>
                      <w:u w:val="single"/>
                    </w:rPr>
                    <w:t>排放口名称</w:t>
                  </w:r>
                </w:p>
              </w:tc>
              <w:tc>
                <w:tcPr>
                  <w:tcW w:w="1449" w:type="pct"/>
                  <w:noWrap w:val="0"/>
                  <w:vAlign w:val="center"/>
                </w:tcPr>
                <w:p>
                  <w:pPr>
                    <w:pStyle w:val="69"/>
                    <w:snapToGrid w:val="0"/>
                    <w:rPr>
                      <w:b/>
                      <w:bCs/>
                      <w:color w:val="auto"/>
                      <w:szCs w:val="21"/>
                      <w:highlight w:val="none"/>
                      <w:u w:val="single"/>
                    </w:rPr>
                  </w:pPr>
                  <w:r>
                    <w:rPr>
                      <w:b/>
                      <w:bCs/>
                      <w:color w:val="auto"/>
                      <w:szCs w:val="21"/>
                      <w:highlight w:val="none"/>
                      <w:u w:val="single"/>
                    </w:rPr>
                    <w:t>提示/警告图形符号</w:t>
                  </w:r>
                </w:p>
              </w:tc>
              <w:tc>
                <w:tcPr>
                  <w:tcW w:w="1867" w:type="pct"/>
                  <w:noWrap w:val="0"/>
                  <w:vAlign w:val="center"/>
                </w:tcPr>
                <w:p>
                  <w:pPr>
                    <w:pStyle w:val="69"/>
                    <w:snapToGrid w:val="0"/>
                    <w:rPr>
                      <w:b/>
                      <w:bCs/>
                      <w:color w:val="auto"/>
                      <w:szCs w:val="21"/>
                      <w:highlight w:val="none"/>
                      <w:u w:val="single"/>
                    </w:rPr>
                  </w:pPr>
                  <w:r>
                    <w:rPr>
                      <w:b/>
                      <w:bCs/>
                      <w:color w:val="auto"/>
                      <w:szCs w:val="21"/>
                      <w:highlight w:val="none"/>
                      <w:u w:val="single"/>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3" w:type="pct"/>
                  <w:noWrap w:val="0"/>
                  <w:vAlign w:val="center"/>
                </w:tcPr>
                <w:p>
                  <w:pPr>
                    <w:pStyle w:val="69"/>
                    <w:snapToGrid w:val="0"/>
                    <w:rPr>
                      <w:color w:val="auto"/>
                      <w:szCs w:val="21"/>
                      <w:highlight w:val="none"/>
                      <w:u w:val="single"/>
                    </w:rPr>
                  </w:pPr>
                  <w:r>
                    <w:rPr>
                      <w:color w:val="auto"/>
                      <w:szCs w:val="21"/>
                      <w:highlight w:val="none"/>
                      <w:u w:val="single"/>
                    </w:rPr>
                    <w:t>1</w:t>
                  </w:r>
                </w:p>
              </w:tc>
              <w:tc>
                <w:tcPr>
                  <w:tcW w:w="1090"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t>排气筒</w:t>
                  </w:r>
                </w:p>
              </w:tc>
              <w:tc>
                <w:tcPr>
                  <w:tcW w:w="1449"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drawing>
                      <wp:anchor distT="0" distB="0" distL="114300" distR="114300" simplePos="0" relativeHeight="251659264" behindDoc="1" locked="0" layoutInCell="1" allowOverlap="1">
                        <wp:simplePos x="0" y="0"/>
                        <wp:positionH relativeFrom="column">
                          <wp:posOffset>389890</wp:posOffset>
                        </wp:positionH>
                        <wp:positionV relativeFrom="paragraph">
                          <wp:posOffset>31115</wp:posOffset>
                        </wp:positionV>
                        <wp:extent cx="458470" cy="426720"/>
                        <wp:effectExtent l="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1"/>
                                <a:stretch>
                                  <a:fillRect/>
                                </a:stretch>
                              </pic:blipFill>
                              <pic:spPr>
                                <a:xfrm>
                                  <a:off x="0" y="0"/>
                                  <a:ext cx="458470" cy="426720"/>
                                </a:xfrm>
                                <a:prstGeom prst="rect">
                                  <a:avLst/>
                                </a:prstGeom>
                                <a:noFill/>
                                <a:ln>
                                  <a:noFill/>
                                </a:ln>
                              </pic:spPr>
                            </pic:pic>
                          </a:graphicData>
                        </a:graphic>
                      </wp:anchor>
                    </w:drawing>
                  </w:r>
                </w:p>
              </w:tc>
              <w:tc>
                <w:tcPr>
                  <w:tcW w:w="1867"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t>表示废气向大气排放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93" w:type="pct"/>
                  <w:noWrap w:val="0"/>
                  <w:vAlign w:val="center"/>
                </w:tcPr>
                <w:p>
                  <w:pPr>
                    <w:pStyle w:val="69"/>
                    <w:snapToGrid w:val="0"/>
                    <w:rPr>
                      <w:color w:val="auto"/>
                      <w:szCs w:val="21"/>
                      <w:highlight w:val="none"/>
                      <w:u w:val="single"/>
                    </w:rPr>
                  </w:pPr>
                  <w:r>
                    <w:rPr>
                      <w:color w:val="auto"/>
                      <w:szCs w:val="21"/>
                      <w:highlight w:val="none"/>
                      <w:u w:val="single"/>
                    </w:rPr>
                    <w:t>2</w:t>
                  </w:r>
                </w:p>
              </w:tc>
              <w:tc>
                <w:tcPr>
                  <w:tcW w:w="1090"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t>噪声源</w:t>
                  </w:r>
                </w:p>
              </w:tc>
              <w:tc>
                <w:tcPr>
                  <w:tcW w:w="1449"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drawing>
                      <wp:anchor distT="0" distB="0" distL="114300" distR="114300" simplePos="0" relativeHeight="251660288" behindDoc="1" locked="0" layoutInCell="1" allowOverlap="1">
                        <wp:simplePos x="0" y="0"/>
                        <wp:positionH relativeFrom="column">
                          <wp:posOffset>382905</wp:posOffset>
                        </wp:positionH>
                        <wp:positionV relativeFrom="paragraph">
                          <wp:posOffset>26035</wp:posOffset>
                        </wp:positionV>
                        <wp:extent cx="458470" cy="426720"/>
                        <wp:effectExtent l="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22"/>
                                <a:stretch>
                                  <a:fillRect/>
                                </a:stretch>
                              </pic:blipFill>
                              <pic:spPr>
                                <a:xfrm>
                                  <a:off x="0" y="0"/>
                                  <a:ext cx="458470" cy="426720"/>
                                </a:xfrm>
                                <a:prstGeom prst="rect">
                                  <a:avLst/>
                                </a:prstGeom>
                                <a:noFill/>
                                <a:ln>
                                  <a:noFill/>
                                </a:ln>
                              </pic:spPr>
                            </pic:pic>
                          </a:graphicData>
                        </a:graphic>
                      </wp:anchor>
                    </w:drawing>
                  </w:r>
                </w:p>
              </w:tc>
              <w:tc>
                <w:tcPr>
                  <w:tcW w:w="1867"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t>表示噪声向外环境排放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3" w:type="pct"/>
                  <w:noWrap w:val="0"/>
                  <w:vAlign w:val="center"/>
                </w:tcPr>
                <w:p>
                  <w:pPr>
                    <w:pStyle w:val="69"/>
                    <w:snapToGrid w:val="0"/>
                    <w:rPr>
                      <w:color w:val="auto"/>
                      <w:szCs w:val="21"/>
                      <w:highlight w:val="none"/>
                      <w:u w:val="single"/>
                    </w:rPr>
                  </w:pPr>
                  <w:r>
                    <w:rPr>
                      <w:color w:val="auto"/>
                      <w:szCs w:val="21"/>
                      <w:highlight w:val="none"/>
                      <w:u w:val="single"/>
                    </w:rPr>
                    <w:t>3</w:t>
                  </w:r>
                </w:p>
              </w:tc>
              <w:tc>
                <w:tcPr>
                  <w:tcW w:w="1090"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t>一般固废堆放场所</w:t>
                  </w:r>
                </w:p>
              </w:tc>
              <w:tc>
                <w:tcPr>
                  <w:tcW w:w="1449"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drawing>
                      <wp:anchor distT="0" distB="0" distL="114300" distR="114300" simplePos="0" relativeHeight="251661312" behindDoc="1" locked="0" layoutInCell="1" allowOverlap="1">
                        <wp:simplePos x="0" y="0"/>
                        <wp:positionH relativeFrom="column">
                          <wp:posOffset>382905</wp:posOffset>
                        </wp:positionH>
                        <wp:positionV relativeFrom="paragraph">
                          <wp:posOffset>74295</wp:posOffset>
                        </wp:positionV>
                        <wp:extent cx="458470" cy="426720"/>
                        <wp:effectExtent l="0" t="0" r="0" b="0"/>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23"/>
                                <a:stretch>
                                  <a:fillRect/>
                                </a:stretch>
                              </pic:blipFill>
                              <pic:spPr>
                                <a:xfrm>
                                  <a:off x="0" y="0"/>
                                  <a:ext cx="458470" cy="426720"/>
                                </a:xfrm>
                                <a:prstGeom prst="rect">
                                  <a:avLst/>
                                </a:prstGeom>
                                <a:noFill/>
                                <a:ln>
                                  <a:noFill/>
                                </a:ln>
                              </pic:spPr>
                            </pic:pic>
                          </a:graphicData>
                        </a:graphic>
                      </wp:anchor>
                    </w:drawing>
                  </w:r>
                </w:p>
              </w:tc>
              <w:tc>
                <w:tcPr>
                  <w:tcW w:w="1867" w:type="pct"/>
                  <w:noWrap w:val="0"/>
                  <w:vAlign w:val="center"/>
                </w:tcPr>
                <w:p>
                  <w:pPr>
                    <w:pStyle w:val="69"/>
                    <w:snapToGrid w:val="0"/>
                    <w:ind w:firstLine="0" w:firstLineChars="0"/>
                    <w:rPr>
                      <w:rFonts w:ascii="Times New Roman" w:hAnsi="Times New Roman" w:eastAsia="宋体"/>
                      <w:color w:val="auto"/>
                      <w:kern w:val="2"/>
                      <w:sz w:val="21"/>
                      <w:szCs w:val="21"/>
                      <w:highlight w:val="none"/>
                      <w:u w:val="single"/>
                      <w:lang w:val="en-US" w:eastAsia="zh-CN" w:bidi="ar-SA"/>
                    </w:rPr>
                  </w:pPr>
                  <w:r>
                    <w:rPr>
                      <w:color w:val="auto"/>
                      <w:szCs w:val="21"/>
                      <w:highlight w:val="none"/>
                      <w:u w:val="single"/>
                    </w:rPr>
                    <w:t>表示一般固废</w:t>
                  </w:r>
                  <w:r>
                    <w:rPr>
                      <w:rFonts w:hint="eastAsia"/>
                      <w:color w:val="auto"/>
                      <w:szCs w:val="21"/>
                      <w:highlight w:val="none"/>
                      <w:u w:val="single"/>
                    </w:rPr>
                    <w:t>贮存、处置场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3" w:type="pct"/>
                  <w:noWrap w:val="0"/>
                  <w:vAlign w:val="center"/>
                </w:tcPr>
                <w:p>
                  <w:pPr>
                    <w:pStyle w:val="69"/>
                    <w:snapToGrid w:val="0"/>
                    <w:rPr>
                      <w:rFonts w:hint="eastAsia" w:eastAsia="宋体"/>
                      <w:color w:val="auto"/>
                      <w:szCs w:val="21"/>
                      <w:highlight w:val="none"/>
                      <w:u w:val="single"/>
                      <w:lang w:val="en-US" w:eastAsia="zh-CN"/>
                    </w:rPr>
                  </w:pPr>
                  <w:r>
                    <w:rPr>
                      <w:rFonts w:hint="eastAsia"/>
                      <w:color w:val="auto"/>
                      <w:szCs w:val="21"/>
                      <w:highlight w:val="none"/>
                      <w:u w:val="single"/>
                      <w:lang w:val="en-US" w:eastAsia="zh-CN"/>
                    </w:rPr>
                    <w:t>4</w:t>
                  </w:r>
                </w:p>
              </w:tc>
              <w:tc>
                <w:tcPr>
                  <w:tcW w:w="1090" w:type="pct"/>
                  <w:noWrap w:val="0"/>
                  <w:vAlign w:val="center"/>
                </w:tcPr>
                <w:p>
                  <w:pPr>
                    <w:pStyle w:val="69"/>
                    <w:snapToGrid w:val="0"/>
                    <w:ind w:firstLine="0" w:firstLineChars="0"/>
                    <w:rPr>
                      <w:rFonts w:hint="default" w:eastAsia="宋体"/>
                      <w:color w:val="auto"/>
                      <w:szCs w:val="21"/>
                      <w:highlight w:val="none"/>
                      <w:u w:val="single"/>
                      <w:lang w:val="en-US" w:eastAsia="zh-CN"/>
                    </w:rPr>
                  </w:pPr>
                  <w:r>
                    <w:rPr>
                      <w:rFonts w:hint="eastAsia"/>
                      <w:color w:val="auto"/>
                      <w:szCs w:val="21"/>
                      <w:highlight w:val="none"/>
                      <w:u w:val="single"/>
                      <w:lang w:val="en-US" w:eastAsia="zh-CN"/>
                    </w:rPr>
                    <w:t>危废暂存间</w:t>
                  </w:r>
                </w:p>
              </w:tc>
              <w:tc>
                <w:tcPr>
                  <w:tcW w:w="1449" w:type="pct"/>
                  <w:noWrap w:val="0"/>
                  <w:vAlign w:val="center"/>
                </w:tcPr>
                <w:p>
                  <w:pPr>
                    <w:pStyle w:val="69"/>
                    <w:snapToGrid w:val="0"/>
                    <w:ind w:firstLine="0" w:firstLineChars="0"/>
                    <w:rPr>
                      <w:rFonts w:hint="eastAsia" w:eastAsia="宋体"/>
                      <w:color w:val="auto"/>
                      <w:szCs w:val="21"/>
                      <w:highlight w:val="none"/>
                      <w:u w:val="single"/>
                      <w:lang w:eastAsia="zh-CN"/>
                    </w:rPr>
                  </w:pPr>
                  <w:r>
                    <w:rPr>
                      <w:rFonts w:hint="eastAsia" w:eastAsia="宋体"/>
                      <w:color w:val="auto"/>
                      <w:szCs w:val="21"/>
                      <w:highlight w:val="none"/>
                      <w:u w:val="single"/>
                      <w:lang w:eastAsia="zh-CN"/>
                    </w:rPr>
                    <w:drawing>
                      <wp:inline distT="0" distB="0" distL="114300" distR="114300">
                        <wp:extent cx="513715" cy="454025"/>
                        <wp:effectExtent l="0" t="0" r="6985" b="3175"/>
                        <wp:docPr id="5" name="图片 5"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图片-抠图"/>
                                <pic:cNvPicPr>
                                  <a:picLocks noChangeAspect="1"/>
                                </pic:cNvPicPr>
                              </pic:nvPicPr>
                              <pic:blipFill>
                                <a:blip r:embed="rId24"/>
                                <a:stretch>
                                  <a:fillRect/>
                                </a:stretch>
                              </pic:blipFill>
                              <pic:spPr>
                                <a:xfrm>
                                  <a:off x="0" y="0"/>
                                  <a:ext cx="513715" cy="454025"/>
                                </a:xfrm>
                                <a:prstGeom prst="rect">
                                  <a:avLst/>
                                </a:prstGeom>
                              </pic:spPr>
                            </pic:pic>
                          </a:graphicData>
                        </a:graphic>
                      </wp:inline>
                    </w:drawing>
                  </w:r>
                </w:p>
              </w:tc>
              <w:tc>
                <w:tcPr>
                  <w:tcW w:w="1867" w:type="pct"/>
                  <w:noWrap w:val="0"/>
                  <w:vAlign w:val="center"/>
                </w:tcPr>
                <w:p>
                  <w:pPr>
                    <w:pStyle w:val="69"/>
                    <w:snapToGrid w:val="0"/>
                    <w:ind w:firstLine="0" w:firstLineChars="0"/>
                    <w:rPr>
                      <w:rFonts w:hint="default" w:eastAsia="宋体"/>
                      <w:color w:val="auto"/>
                      <w:szCs w:val="21"/>
                      <w:highlight w:val="none"/>
                      <w:u w:val="single"/>
                      <w:lang w:val="en-US" w:eastAsia="zh-CN"/>
                    </w:rPr>
                  </w:pPr>
                  <w:r>
                    <w:rPr>
                      <w:rFonts w:hint="eastAsia"/>
                      <w:color w:val="auto"/>
                      <w:szCs w:val="21"/>
                      <w:highlight w:val="none"/>
                      <w:u w:val="single"/>
                      <w:lang w:val="en-US" w:eastAsia="zh-CN"/>
                    </w:rPr>
                    <w:t>表示危废固废贮存、处置场</w:t>
                  </w:r>
                </w:p>
              </w:tc>
            </w:tr>
          </w:tbl>
          <w:p>
            <w:pPr>
              <w:adjustRightInd w:val="0"/>
              <w:snapToGrid w:val="0"/>
              <w:jc w:val="center"/>
              <w:rPr>
                <w:rFonts w:hint="eastAsia" w:ascii="宋体" w:hAnsi="宋体" w:cs="宋体"/>
                <w:color w:val="auto"/>
                <w:szCs w:val="21"/>
                <w:highlight w:val="none"/>
                <w:u w:val="single"/>
              </w:rPr>
            </w:pPr>
          </w:p>
        </w:tc>
      </w:tr>
    </w:tbl>
    <w:p>
      <w:pPr>
        <w:pStyle w:val="20"/>
        <w:jc w:val="center"/>
        <w:outlineLvl w:val="0"/>
        <w:rPr>
          <w:rFonts w:ascii="黑体" w:hAnsi="黑体" w:eastAsia="黑体"/>
          <w:snapToGrid w:val="0"/>
          <w:color w:val="auto"/>
          <w:sz w:val="30"/>
          <w:szCs w:val="30"/>
          <w:highlight w:val="none"/>
        </w:rPr>
      </w:pPr>
      <w:r>
        <w:rPr>
          <w:snapToGrid w:val="0"/>
          <w:color w:val="auto"/>
          <w:highlight w:val="none"/>
        </w:rPr>
        <w:br w:type="page"/>
      </w:r>
      <w:bookmarkStart w:id="13" w:name="_Toc5424"/>
      <w:r>
        <w:rPr>
          <w:rFonts w:hint="eastAsia" w:ascii="黑体" w:hAnsi="黑体" w:eastAsia="黑体"/>
          <w:snapToGrid w:val="0"/>
          <w:color w:val="auto"/>
          <w:sz w:val="30"/>
          <w:szCs w:val="30"/>
          <w:highlight w:val="none"/>
        </w:rPr>
        <w:t>六、结论</w:t>
      </w:r>
      <w:bookmarkEnd w:id="13"/>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综上所述，本项目建成后对周围环境造成污染较小，建设单位若能切实落实本环评提出的各项环境污染防治措施，落实“三同时”制度，加强环境管理，保证环保投资的投入，确保</w:t>
            </w:r>
            <w:r>
              <w:rPr>
                <w:rFonts w:hint="eastAsia" w:ascii="宋体" w:cs="宋体"/>
                <w:color w:val="auto"/>
                <w:sz w:val="24"/>
                <w:highlight w:val="none"/>
                <w:lang w:val="en-US" w:eastAsia="zh-CN"/>
              </w:rPr>
              <w:t>污染防治设施稳定运行，</w:t>
            </w:r>
            <w:r>
              <w:rPr>
                <w:rFonts w:hint="eastAsia" w:ascii="宋体" w:cs="宋体"/>
                <w:color w:val="auto"/>
                <w:sz w:val="24"/>
                <w:highlight w:val="none"/>
              </w:rPr>
              <w:t>污染物达标排放，则本项目建成投入使用后，对环境的影响是可以接受的。在此前提下，本项目的选址和建设从环境保护角度而言是可行的。</w:t>
            </w:r>
          </w:p>
        </w:tc>
      </w:tr>
    </w:tbl>
    <w:p>
      <w:pPr>
        <w:rPr>
          <w:rFonts w:ascii="宋体"/>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outlineLvl w:val="0"/>
        <w:rPr>
          <w:rFonts w:ascii="黑体" w:hAnsi="黑体" w:eastAsia="黑体"/>
          <w:snapToGrid w:val="0"/>
          <w:color w:val="auto"/>
          <w:sz w:val="32"/>
          <w:szCs w:val="32"/>
          <w:highlight w:val="none"/>
        </w:rPr>
      </w:pPr>
      <w:bookmarkStart w:id="14" w:name="_Toc11915"/>
      <w:r>
        <w:rPr>
          <w:rFonts w:hint="eastAsia" w:ascii="黑体" w:hAnsi="黑体" w:eastAsia="黑体"/>
          <w:snapToGrid w:val="0"/>
          <w:color w:val="auto"/>
          <w:sz w:val="32"/>
          <w:szCs w:val="32"/>
          <w:highlight w:val="none"/>
        </w:rPr>
        <w:t>附表</w:t>
      </w:r>
      <w:bookmarkEnd w:id="14"/>
    </w:p>
    <w:p>
      <w:pPr>
        <w:pStyle w:val="20"/>
        <w:adjustRightInd w:val="0"/>
        <w:snapToGrid w:val="0"/>
        <w:spacing w:before="0" w:beforeAutospacing="0" w:after="0" w:afterAutospacing="0"/>
        <w:jc w:val="center"/>
        <w:outlineLvl w:val="0"/>
        <w:rPr>
          <w:rFonts w:hint="eastAsia" w:ascii="方正小标宋_GBK" w:hAnsi="黑体" w:eastAsia="方正小标宋_GBK"/>
          <w:snapToGrid w:val="0"/>
          <w:color w:val="auto"/>
          <w:sz w:val="38"/>
          <w:szCs w:val="38"/>
          <w:highlight w:val="none"/>
          <w:u w:val="none"/>
        </w:rPr>
      </w:pPr>
      <w:bookmarkStart w:id="15" w:name="_Toc1822"/>
      <w:r>
        <w:rPr>
          <w:rFonts w:hint="eastAsia" w:ascii="方正小标宋_GBK" w:hAnsi="黑体" w:eastAsia="方正小标宋_GBK"/>
          <w:snapToGrid w:val="0"/>
          <w:color w:val="auto"/>
          <w:sz w:val="38"/>
          <w:szCs w:val="38"/>
          <w:highlight w:val="none"/>
          <w:u w:val="none"/>
        </w:rPr>
        <w:t>建设项目污染物排放量汇总表</w:t>
      </w:r>
      <w:bookmarkEnd w:id="15"/>
    </w:p>
    <w:tbl>
      <w:tblPr>
        <w:tblStyle w:val="23"/>
        <w:tblW w:w="1389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68"/>
        <w:gridCol w:w="1701"/>
        <w:gridCol w:w="1276"/>
        <w:gridCol w:w="1701"/>
        <w:gridCol w:w="1559"/>
        <w:gridCol w:w="1761"/>
        <w:gridCol w:w="1705"/>
        <w:gridCol w:w="1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37" w:type="dxa"/>
            <w:tcBorders>
              <w:tl2br w:val="single" w:color="auto" w:sz="4" w:space="0"/>
            </w:tcBorders>
            <w:noWrap w:val="0"/>
            <w:tcMar>
              <w:left w:w="28" w:type="dxa"/>
              <w:right w:w="28" w:type="dxa"/>
            </w:tcMar>
            <w:vAlign w:val="center"/>
          </w:tcPr>
          <w:p>
            <w:pPr>
              <w:pStyle w:val="48"/>
              <w:spacing w:before="0" w:beforeLines="0" w:afterLines="0" w:line="240" w:lineRule="auto"/>
              <w:ind w:right="0" w:firstLine="0" w:firstLineChars="0"/>
              <w:jc w:val="right"/>
              <w:rPr>
                <w:rFonts w:hint="eastAsia" w:ascii="黑体" w:hAnsi="黑体" w:eastAsia="黑体" w:cs="宋体"/>
                <w:snapToGrid w:val="0"/>
                <w:color w:val="auto"/>
                <w:spacing w:val="-6"/>
                <w:kern w:val="21"/>
                <w:sz w:val="24"/>
                <w:szCs w:val="24"/>
                <w:highlight w:val="none"/>
                <w:u w:val="none"/>
                <w:lang w:val="en-US" w:eastAsia="zh-CN"/>
              </w:rPr>
            </w:pPr>
            <w:r>
              <w:rPr>
                <w:rFonts w:hint="eastAsia" w:ascii="黑体" w:hAnsi="黑体" w:eastAsia="黑体" w:cs="宋体"/>
                <w:snapToGrid w:val="0"/>
                <w:color w:val="auto"/>
                <w:spacing w:val="-6"/>
                <w:kern w:val="21"/>
                <w:sz w:val="24"/>
                <w:szCs w:val="24"/>
                <w:highlight w:val="none"/>
                <w:u w:val="none"/>
                <w:lang w:val="en-US" w:eastAsia="zh-CN"/>
              </w:rPr>
              <w:t>项目</w:t>
            </w:r>
          </w:p>
          <w:p>
            <w:pPr>
              <w:pStyle w:val="48"/>
              <w:spacing w:before="0" w:beforeLines="0" w:afterLines="0" w:line="240" w:lineRule="auto"/>
              <w:ind w:right="0" w:firstLine="0" w:firstLineChars="0"/>
              <w:jc w:val="left"/>
              <w:rPr>
                <w:rFonts w:hint="eastAsia" w:ascii="黑体" w:hAnsi="黑体" w:eastAsia="黑体" w:cs="宋体"/>
                <w:snapToGrid w:val="0"/>
                <w:color w:val="auto"/>
                <w:spacing w:val="-6"/>
                <w:kern w:val="21"/>
                <w:sz w:val="24"/>
                <w:szCs w:val="24"/>
                <w:highlight w:val="none"/>
                <w:u w:val="none"/>
                <w:lang w:val="en-US" w:eastAsia="zh-CN"/>
              </w:rPr>
            </w:pPr>
            <w:r>
              <w:rPr>
                <w:rFonts w:hint="eastAsia" w:ascii="黑体" w:hAnsi="黑体" w:eastAsia="黑体" w:cs="宋体"/>
                <w:snapToGrid w:val="0"/>
                <w:color w:val="auto"/>
                <w:spacing w:val="-6"/>
                <w:kern w:val="21"/>
                <w:sz w:val="24"/>
                <w:szCs w:val="24"/>
                <w:highlight w:val="none"/>
                <w:u w:val="none"/>
                <w:lang w:val="en-US" w:eastAsia="zh-CN"/>
              </w:rPr>
              <w:t>分类</w:t>
            </w:r>
          </w:p>
        </w:tc>
        <w:tc>
          <w:tcPr>
            <w:tcW w:w="1568" w:type="dxa"/>
            <w:noWrap w:val="0"/>
            <w:tcMar>
              <w:left w:w="28" w:type="dxa"/>
              <w:right w:w="28" w:type="dxa"/>
            </w:tcMar>
            <w:vAlign w:val="center"/>
          </w:tcPr>
          <w:p>
            <w:pPr>
              <w:pStyle w:val="48"/>
              <w:spacing w:before="0" w:beforeLines="0" w:afterLines="0" w:line="240" w:lineRule="auto"/>
              <w:ind w:right="0" w:firstLine="0" w:firstLineChars="0"/>
              <w:rPr>
                <w:rFonts w:hint="eastAsia" w:ascii="黑体" w:hAnsi="黑体" w:eastAsia="黑体" w:cs="宋体"/>
                <w:snapToGrid w:val="0"/>
                <w:color w:val="auto"/>
                <w:spacing w:val="-6"/>
                <w:kern w:val="21"/>
                <w:sz w:val="24"/>
                <w:szCs w:val="24"/>
                <w:highlight w:val="none"/>
                <w:u w:val="none"/>
                <w:lang w:val="en-US" w:eastAsia="zh-CN"/>
              </w:rPr>
            </w:pPr>
            <w:r>
              <w:rPr>
                <w:rFonts w:hint="eastAsia" w:ascii="黑体" w:hAnsi="黑体" w:eastAsia="黑体" w:cs="宋体"/>
                <w:snapToGrid w:val="0"/>
                <w:color w:val="auto"/>
                <w:spacing w:val="-6"/>
                <w:kern w:val="21"/>
                <w:sz w:val="24"/>
                <w:szCs w:val="24"/>
                <w:highlight w:val="none"/>
                <w:u w:val="none"/>
                <w:lang w:val="en-US" w:eastAsia="zh-CN"/>
              </w:rPr>
              <w:t>污染物名称</w:t>
            </w:r>
          </w:p>
        </w:tc>
        <w:tc>
          <w:tcPr>
            <w:tcW w:w="1701" w:type="dxa"/>
            <w:noWrap w:val="0"/>
            <w:tcMar>
              <w:left w:w="28" w:type="dxa"/>
              <w:right w:w="28" w:type="dxa"/>
            </w:tcMar>
            <w:vAlign w:val="center"/>
          </w:tcPr>
          <w:p>
            <w:pPr>
              <w:pStyle w:val="48"/>
              <w:spacing w:before="0" w:beforeLines="0" w:afterLines="0" w:line="240" w:lineRule="auto"/>
              <w:ind w:right="0" w:firstLine="0" w:firstLineChars="0"/>
              <w:rPr>
                <w:rFonts w:hint="eastAsia"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现有工程</w:t>
            </w:r>
          </w:p>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排放量（固</w:t>
            </w:r>
            <w:r>
              <w:rPr>
                <w:rFonts w:hint="eastAsia" w:ascii="黑体" w:hAnsi="黑体" w:eastAsia="黑体"/>
                <w:snapToGrid w:val="0"/>
                <w:color w:val="auto"/>
                <w:spacing w:val="-6"/>
                <w:kern w:val="21"/>
                <w:sz w:val="24"/>
                <w:szCs w:val="24"/>
                <w:highlight w:val="none"/>
                <w:u w:val="none"/>
                <w:lang w:val="en-US" w:eastAsia="zh-CN"/>
              </w:rPr>
              <w:t>体</w:t>
            </w:r>
            <w:r>
              <w:rPr>
                <w:rFonts w:ascii="黑体" w:hAnsi="黑体" w:eastAsia="黑体"/>
                <w:snapToGrid w:val="0"/>
                <w:color w:val="auto"/>
                <w:spacing w:val="-6"/>
                <w:kern w:val="21"/>
                <w:sz w:val="24"/>
                <w:szCs w:val="24"/>
                <w:highlight w:val="none"/>
                <w:u w:val="none"/>
                <w:lang w:val="en-US" w:eastAsia="zh-CN"/>
              </w:rPr>
              <w:t>废</w:t>
            </w:r>
            <w:r>
              <w:rPr>
                <w:rFonts w:hint="eastAsia" w:ascii="黑体" w:hAnsi="黑体" w:eastAsia="黑体"/>
                <w:snapToGrid w:val="0"/>
                <w:color w:val="auto"/>
                <w:spacing w:val="-6"/>
                <w:kern w:val="21"/>
                <w:sz w:val="24"/>
                <w:szCs w:val="24"/>
                <w:highlight w:val="none"/>
                <w:u w:val="none"/>
                <w:lang w:val="en-US" w:eastAsia="zh-CN"/>
              </w:rPr>
              <w:t>物</w:t>
            </w:r>
            <w:r>
              <w:rPr>
                <w:rFonts w:ascii="黑体" w:hAnsi="黑体" w:eastAsia="黑体"/>
                <w:snapToGrid w:val="0"/>
                <w:color w:val="auto"/>
                <w:spacing w:val="-6"/>
                <w:kern w:val="21"/>
                <w:sz w:val="24"/>
                <w:szCs w:val="24"/>
                <w:highlight w:val="none"/>
                <w:u w:val="none"/>
                <w:lang w:val="en-US" w:eastAsia="zh-CN"/>
              </w:rPr>
              <w:t>产生量）</w:t>
            </w:r>
            <w:r>
              <w:rPr>
                <w:rFonts w:ascii="黑体" w:hAnsi="黑体" w:eastAsia="黑体"/>
                <w:snapToGrid w:val="0"/>
                <w:color w:val="auto"/>
                <w:spacing w:val="-6"/>
                <w:kern w:val="21"/>
                <w:sz w:val="24"/>
                <w:szCs w:val="24"/>
                <w:highlight w:val="none"/>
                <w:u w:val="none"/>
                <w:lang w:val="en-US" w:eastAsia="zh-CN"/>
              </w:rPr>
              <w:fldChar w:fldCharType="begin"/>
            </w:r>
            <w:r>
              <w:rPr>
                <w:rFonts w:ascii="黑体" w:hAnsi="黑体" w:eastAsia="黑体"/>
                <w:snapToGrid w:val="0"/>
                <w:color w:val="auto"/>
                <w:spacing w:val="-6"/>
                <w:kern w:val="21"/>
                <w:sz w:val="24"/>
                <w:szCs w:val="24"/>
                <w:highlight w:val="none"/>
                <w:u w:val="none"/>
                <w:lang w:val="en-US" w:eastAsia="zh-CN"/>
              </w:rPr>
              <w:instrText xml:space="preserve"> = 1 \* GB3 \* MERGEFORMAT </w:instrText>
            </w:r>
            <w:r>
              <w:rPr>
                <w:rFonts w:ascii="黑体" w:hAnsi="黑体" w:eastAsia="黑体"/>
                <w:snapToGrid w:val="0"/>
                <w:color w:val="auto"/>
                <w:spacing w:val="-6"/>
                <w:kern w:val="21"/>
                <w:sz w:val="24"/>
                <w:szCs w:val="24"/>
                <w:highlight w:val="none"/>
                <w:u w:val="none"/>
                <w:lang w:val="en-US" w:eastAsia="zh-CN"/>
              </w:rPr>
              <w:fldChar w:fldCharType="separate"/>
            </w:r>
            <w:r>
              <w:rPr>
                <w:rFonts w:hint="eastAsia" w:ascii="黑体" w:hAnsi="黑体" w:eastAsia="黑体" w:cs="宋体"/>
                <w:color w:val="auto"/>
                <w:kern w:val="2"/>
                <w:sz w:val="24"/>
                <w:szCs w:val="24"/>
                <w:highlight w:val="none"/>
                <w:u w:val="none"/>
                <w:lang w:val="en-US" w:eastAsia="zh-CN"/>
              </w:rPr>
              <w:t>①</w:t>
            </w:r>
            <w:r>
              <w:rPr>
                <w:rFonts w:ascii="黑体" w:hAnsi="黑体" w:eastAsia="黑体"/>
                <w:snapToGrid w:val="0"/>
                <w:color w:val="auto"/>
                <w:spacing w:val="-6"/>
                <w:kern w:val="21"/>
                <w:sz w:val="24"/>
                <w:szCs w:val="24"/>
                <w:highlight w:val="none"/>
                <w:u w:val="none"/>
                <w:lang w:val="en-US" w:eastAsia="zh-CN"/>
              </w:rPr>
              <w:fldChar w:fldCharType="end"/>
            </w:r>
          </w:p>
        </w:tc>
        <w:tc>
          <w:tcPr>
            <w:tcW w:w="1276" w:type="dxa"/>
            <w:noWrap w:val="0"/>
            <w:tcMar>
              <w:left w:w="28" w:type="dxa"/>
              <w:right w:w="28" w:type="dxa"/>
            </w:tcMar>
            <w:vAlign w:val="center"/>
          </w:tcPr>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现有工程</w:t>
            </w:r>
          </w:p>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许可排放量</w:t>
            </w:r>
          </w:p>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fldChar w:fldCharType="begin"/>
            </w:r>
            <w:r>
              <w:rPr>
                <w:rFonts w:ascii="黑体" w:hAnsi="黑体" w:eastAsia="黑体"/>
                <w:snapToGrid w:val="0"/>
                <w:color w:val="auto"/>
                <w:spacing w:val="-6"/>
                <w:kern w:val="21"/>
                <w:sz w:val="24"/>
                <w:szCs w:val="24"/>
                <w:highlight w:val="none"/>
                <w:u w:val="none"/>
                <w:lang w:val="en-US" w:eastAsia="zh-CN"/>
              </w:rPr>
              <w:instrText xml:space="preserve"> = 2 \* GB3 \* MERGEFORMAT </w:instrText>
            </w:r>
            <w:r>
              <w:rPr>
                <w:rFonts w:ascii="黑体" w:hAnsi="黑体" w:eastAsia="黑体"/>
                <w:snapToGrid w:val="0"/>
                <w:color w:val="auto"/>
                <w:spacing w:val="-6"/>
                <w:kern w:val="21"/>
                <w:sz w:val="24"/>
                <w:szCs w:val="24"/>
                <w:highlight w:val="none"/>
                <w:u w:val="none"/>
                <w:lang w:val="en-US" w:eastAsia="zh-CN"/>
              </w:rPr>
              <w:fldChar w:fldCharType="separate"/>
            </w:r>
            <w:r>
              <w:rPr>
                <w:rFonts w:hint="eastAsia" w:ascii="黑体" w:hAnsi="黑体" w:eastAsia="黑体" w:cs="宋体"/>
                <w:snapToGrid w:val="0"/>
                <w:color w:val="auto"/>
                <w:spacing w:val="-6"/>
                <w:kern w:val="21"/>
                <w:sz w:val="24"/>
                <w:szCs w:val="24"/>
                <w:highlight w:val="none"/>
                <w:u w:val="none"/>
                <w:lang w:val="en-US" w:eastAsia="zh-CN"/>
              </w:rPr>
              <w:t>②</w:t>
            </w:r>
            <w:r>
              <w:rPr>
                <w:rFonts w:ascii="黑体" w:hAnsi="黑体" w:eastAsia="黑体"/>
                <w:snapToGrid w:val="0"/>
                <w:color w:val="auto"/>
                <w:spacing w:val="-6"/>
                <w:kern w:val="21"/>
                <w:sz w:val="24"/>
                <w:szCs w:val="24"/>
                <w:highlight w:val="none"/>
                <w:u w:val="none"/>
                <w:lang w:val="en-US" w:eastAsia="zh-CN"/>
              </w:rPr>
              <w:fldChar w:fldCharType="end"/>
            </w:r>
          </w:p>
        </w:tc>
        <w:tc>
          <w:tcPr>
            <w:tcW w:w="1701" w:type="dxa"/>
            <w:noWrap w:val="0"/>
            <w:tcMar>
              <w:left w:w="28" w:type="dxa"/>
              <w:right w:w="28" w:type="dxa"/>
            </w:tcMar>
            <w:vAlign w:val="center"/>
          </w:tcPr>
          <w:p>
            <w:pPr>
              <w:pStyle w:val="48"/>
              <w:spacing w:before="0" w:beforeLines="0" w:afterLines="0" w:line="240" w:lineRule="auto"/>
              <w:ind w:right="0" w:firstLine="0" w:firstLineChars="0"/>
              <w:rPr>
                <w:rFonts w:hint="eastAsia"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在建工程</w:t>
            </w:r>
          </w:p>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排放量（固</w:t>
            </w:r>
            <w:r>
              <w:rPr>
                <w:rFonts w:hint="eastAsia" w:ascii="黑体" w:hAnsi="黑体" w:eastAsia="黑体"/>
                <w:snapToGrid w:val="0"/>
                <w:color w:val="auto"/>
                <w:spacing w:val="-6"/>
                <w:kern w:val="21"/>
                <w:sz w:val="24"/>
                <w:szCs w:val="24"/>
                <w:highlight w:val="none"/>
                <w:u w:val="none"/>
                <w:lang w:val="en-US" w:eastAsia="zh-CN"/>
              </w:rPr>
              <w:t>体</w:t>
            </w:r>
            <w:r>
              <w:rPr>
                <w:rFonts w:ascii="黑体" w:hAnsi="黑体" w:eastAsia="黑体"/>
                <w:snapToGrid w:val="0"/>
                <w:color w:val="auto"/>
                <w:spacing w:val="-6"/>
                <w:kern w:val="21"/>
                <w:sz w:val="24"/>
                <w:szCs w:val="24"/>
                <w:highlight w:val="none"/>
                <w:u w:val="none"/>
                <w:lang w:val="en-US" w:eastAsia="zh-CN"/>
              </w:rPr>
              <w:t>废</w:t>
            </w:r>
            <w:r>
              <w:rPr>
                <w:rFonts w:hint="eastAsia" w:ascii="黑体" w:hAnsi="黑体" w:eastAsia="黑体"/>
                <w:snapToGrid w:val="0"/>
                <w:color w:val="auto"/>
                <w:spacing w:val="-6"/>
                <w:kern w:val="21"/>
                <w:sz w:val="24"/>
                <w:szCs w:val="24"/>
                <w:highlight w:val="none"/>
                <w:u w:val="none"/>
                <w:lang w:val="en-US" w:eastAsia="zh-CN"/>
              </w:rPr>
              <w:t>物</w:t>
            </w:r>
            <w:r>
              <w:rPr>
                <w:rFonts w:ascii="黑体" w:hAnsi="黑体" w:eastAsia="黑体"/>
                <w:snapToGrid w:val="0"/>
                <w:color w:val="auto"/>
                <w:spacing w:val="-6"/>
                <w:kern w:val="21"/>
                <w:sz w:val="24"/>
                <w:szCs w:val="24"/>
                <w:highlight w:val="none"/>
                <w:u w:val="none"/>
                <w:lang w:val="en-US" w:eastAsia="zh-CN"/>
              </w:rPr>
              <w:t>产生量）</w:t>
            </w:r>
            <w:r>
              <w:rPr>
                <w:rFonts w:ascii="黑体" w:hAnsi="黑体" w:eastAsia="黑体"/>
                <w:snapToGrid w:val="0"/>
                <w:color w:val="auto"/>
                <w:spacing w:val="-6"/>
                <w:kern w:val="21"/>
                <w:sz w:val="24"/>
                <w:szCs w:val="24"/>
                <w:highlight w:val="none"/>
                <w:u w:val="none"/>
                <w:lang w:val="en-US" w:eastAsia="zh-CN"/>
              </w:rPr>
              <w:fldChar w:fldCharType="begin"/>
            </w:r>
            <w:r>
              <w:rPr>
                <w:rFonts w:ascii="黑体" w:hAnsi="黑体" w:eastAsia="黑体"/>
                <w:snapToGrid w:val="0"/>
                <w:color w:val="auto"/>
                <w:spacing w:val="-6"/>
                <w:kern w:val="21"/>
                <w:sz w:val="24"/>
                <w:szCs w:val="24"/>
                <w:highlight w:val="none"/>
                <w:u w:val="none"/>
                <w:lang w:val="en-US" w:eastAsia="zh-CN"/>
              </w:rPr>
              <w:instrText xml:space="preserve"> = 3 \* GB3 \* MERGEFORMAT </w:instrText>
            </w:r>
            <w:r>
              <w:rPr>
                <w:rFonts w:ascii="黑体" w:hAnsi="黑体" w:eastAsia="黑体"/>
                <w:snapToGrid w:val="0"/>
                <w:color w:val="auto"/>
                <w:spacing w:val="-6"/>
                <w:kern w:val="21"/>
                <w:sz w:val="24"/>
                <w:szCs w:val="24"/>
                <w:highlight w:val="none"/>
                <w:u w:val="none"/>
                <w:lang w:val="en-US" w:eastAsia="zh-CN"/>
              </w:rPr>
              <w:fldChar w:fldCharType="separate"/>
            </w:r>
            <w:r>
              <w:rPr>
                <w:rFonts w:hint="eastAsia" w:ascii="黑体" w:hAnsi="黑体" w:eastAsia="黑体" w:cs="宋体"/>
                <w:color w:val="auto"/>
                <w:kern w:val="2"/>
                <w:sz w:val="24"/>
                <w:szCs w:val="24"/>
                <w:highlight w:val="none"/>
                <w:u w:val="none"/>
                <w:lang w:val="en-US" w:eastAsia="zh-CN"/>
              </w:rPr>
              <w:t>③</w:t>
            </w:r>
            <w:r>
              <w:rPr>
                <w:rFonts w:ascii="黑体" w:hAnsi="黑体" w:eastAsia="黑体"/>
                <w:snapToGrid w:val="0"/>
                <w:color w:val="auto"/>
                <w:spacing w:val="-6"/>
                <w:kern w:val="21"/>
                <w:sz w:val="24"/>
                <w:szCs w:val="24"/>
                <w:highlight w:val="none"/>
                <w:u w:val="none"/>
                <w:lang w:val="en-US" w:eastAsia="zh-CN"/>
              </w:rPr>
              <w:fldChar w:fldCharType="end"/>
            </w:r>
          </w:p>
        </w:tc>
        <w:tc>
          <w:tcPr>
            <w:tcW w:w="1559" w:type="dxa"/>
            <w:noWrap w:val="0"/>
            <w:tcMar>
              <w:left w:w="28" w:type="dxa"/>
              <w:right w:w="28" w:type="dxa"/>
            </w:tcMar>
            <w:vAlign w:val="center"/>
          </w:tcPr>
          <w:p>
            <w:pPr>
              <w:pStyle w:val="48"/>
              <w:spacing w:before="0" w:beforeLines="0" w:afterLines="0" w:line="240" w:lineRule="auto"/>
              <w:ind w:right="0" w:firstLine="0" w:firstLineChars="0"/>
              <w:rPr>
                <w:rFonts w:hint="eastAsia"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本项目</w:t>
            </w:r>
          </w:p>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排放量（固</w:t>
            </w:r>
            <w:r>
              <w:rPr>
                <w:rFonts w:hint="eastAsia" w:ascii="黑体" w:hAnsi="黑体" w:eastAsia="黑体"/>
                <w:snapToGrid w:val="0"/>
                <w:color w:val="auto"/>
                <w:spacing w:val="-6"/>
                <w:kern w:val="21"/>
                <w:sz w:val="24"/>
                <w:szCs w:val="24"/>
                <w:highlight w:val="none"/>
                <w:u w:val="none"/>
                <w:lang w:val="en-US" w:eastAsia="zh-CN"/>
              </w:rPr>
              <w:t>体</w:t>
            </w:r>
            <w:r>
              <w:rPr>
                <w:rFonts w:ascii="黑体" w:hAnsi="黑体" w:eastAsia="黑体"/>
                <w:snapToGrid w:val="0"/>
                <w:color w:val="auto"/>
                <w:spacing w:val="-6"/>
                <w:kern w:val="21"/>
                <w:sz w:val="24"/>
                <w:szCs w:val="24"/>
                <w:highlight w:val="none"/>
                <w:u w:val="none"/>
                <w:lang w:val="en-US" w:eastAsia="zh-CN"/>
              </w:rPr>
              <w:t>废</w:t>
            </w:r>
            <w:r>
              <w:rPr>
                <w:rFonts w:hint="eastAsia" w:ascii="黑体" w:hAnsi="黑体" w:eastAsia="黑体"/>
                <w:snapToGrid w:val="0"/>
                <w:color w:val="auto"/>
                <w:spacing w:val="-6"/>
                <w:kern w:val="21"/>
                <w:sz w:val="24"/>
                <w:szCs w:val="24"/>
                <w:highlight w:val="none"/>
                <w:u w:val="none"/>
                <w:lang w:val="en-US" w:eastAsia="zh-CN"/>
              </w:rPr>
              <w:t>物</w:t>
            </w:r>
            <w:r>
              <w:rPr>
                <w:rFonts w:ascii="黑体" w:hAnsi="黑体" w:eastAsia="黑体"/>
                <w:snapToGrid w:val="0"/>
                <w:color w:val="auto"/>
                <w:spacing w:val="-6"/>
                <w:kern w:val="21"/>
                <w:sz w:val="24"/>
                <w:szCs w:val="24"/>
                <w:highlight w:val="none"/>
                <w:u w:val="none"/>
                <w:lang w:val="en-US" w:eastAsia="zh-CN"/>
              </w:rPr>
              <w:t>产生量）</w:t>
            </w:r>
            <w:r>
              <w:rPr>
                <w:rFonts w:ascii="黑体" w:hAnsi="黑体" w:eastAsia="黑体"/>
                <w:snapToGrid w:val="0"/>
                <w:color w:val="auto"/>
                <w:spacing w:val="-6"/>
                <w:kern w:val="21"/>
                <w:sz w:val="24"/>
                <w:szCs w:val="24"/>
                <w:highlight w:val="none"/>
                <w:u w:val="none"/>
                <w:lang w:val="en-US" w:eastAsia="zh-CN"/>
              </w:rPr>
              <w:fldChar w:fldCharType="begin"/>
            </w:r>
            <w:r>
              <w:rPr>
                <w:rFonts w:ascii="黑体" w:hAnsi="黑体" w:eastAsia="黑体"/>
                <w:snapToGrid w:val="0"/>
                <w:color w:val="auto"/>
                <w:spacing w:val="-6"/>
                <w:kern w:val="21"/>
                <w:sz w:val="24"/>
                <w:szCs w:val="24"/>
                <w:highlight w:val="none"/>
                <w:u w:val="none"/>
                <w:lang w:val="en-US" w:eastAsia="zh-CN"/>
              </w:rPr>
              <w:instrText xml:space="preserve"> = 4 \* GB3 \* MERGEFORMAT </w:instrText>
            </w:r>
            <w:r>
              <w:rPr>
                <w:rFonts w:ascii="黑体" w:hAnsi="黑体" w:eastAsia="黑体"/>
                <w:snapToGrid w:val="0"/>
                <w:color w:val="auto"/>
                <w:spacing w:val="-6"/>
                <w:kern w:val="21"/>
                <w:sz w:val="24"/>
                <w:szCs w:val="24"/>
                <w:highlight w:val="none"/>
                <w:u w:val="none"/>
                <w:lang w:val="en-US" w:eastAsia="zh-CN"/>
              </w:rPr>
              <w:fldChar w:fldCharType="separate"/>
            </w:r>
            <w:r>
              <w:rPr>
                <w:rFonts w:hint="eastAsia" w:ascii="黑体" w:hAnsi="黑体" w:eastAsia="黑体" w:cs="宋体"/>
                <w:color w:val="auto"/>
                <w:kern w:val="2"/>
                <w:sz w:val="24"/>
                <w:szCs w:val="24"/>
                <w:highlight w:val="none"/>
                <w:u w:val="none"/>
                <w:lang w:val="en-US" w:eastAsia="zh-CN"/>
              </w:rPr>
              <w:t>④</w:t>
            </w:r>
            <w:r>
              <w:rPr>
                <w:rFonts w:ascii="黑体" w:hAnsi="黑体" w:eastAsia="黑体"/>
                <w:snapToGrid w:val="0"/>
                <w:color w:val="auto"/>
                <w:spacing w:val="-6"/>
                <w:kern w:val="21"/>
                <w:sz w:val="24"/>
                <w:szCs w:val="24"/>
                <w:highlight w:val="none"/>
                <w:u w:val="none"/>
                <w:lang w:val="en-US" w:eastAsia="zh-CN"/>
              </w:rPr>
              <w:fldChar w:fldCharType="end"/>
            </w:r>
          </w:p>
        </w:tc>
        <w:tc>
          <w:tcPr>
            <w:tcW w:w="1761" w:type="dxa"/>
            <w:noWrap w:val="0"/>
            <w:tcMar>
              <w:left w:w="28" w:type="dxa"/>
              <w:right w:w="28" w:type="dxa"/>
            </w:tcMar>
            <w:vAlign w:val="center"/>
          </w:tcPr>
          <w:p>
            <w:pPr>
              <w:pStyle w:val="48"/>
              <w:spacing w:before="0" w:beforeLines="0" w:afterLines="0" w:line="240" w:lineRule="auto"/>
              <w:ind w:right="0" w:firstLine="0" w:firstLineChars="0"/>
              <w:rPr>
                <w:rFonts w:hint="eastAsia" w:ascii="黑体" w:hAnsi="黑体" w:eastAsia="黑体"/>
                <w:snapToGrid w:val="0"/>
                <w:color w:val="auto"/>
                <w:spacing w:val="-16"/>
                <w:kern w:val="21"/>
                <w:sz w:val="24"/>
                <w:szCs w:val="24"/>
                <w:highlight w:val="none"/>
                <w:u w:val="none"/>
                <w:lang w:val="en-US" w:eastAsia="zh-CN"/>
              </w:rPr>
            </w:pPr>
            <w:r>
              <w:rPr>
                <w:rFonts w:ascii="黑体" w:hAnsi="黑体" w:eastAsia="黑体"/>
                <w:snapToGrid w:val="0"/>
                <w:color w:val="auto"/>
                <w:spacing w:val="-16"/>
                <w:kern w:val="21"/>
                <w:sz w:val="24"/>
                <w:szCs w:val="24"/>
                <w:highlight w:val="none"/>
                <w:u w:val="none"/>
                <w:lang w:val="en-US" w:eastAsia="zh-CN"/>
              </w:rPr>
              <w:t>以新带老削减量</w:t>
            </w:r>
          </w:p>
          <w:p>
            <w:pPr>
              <w:pStyle w:val="48"/>
              <w:spacing w:before="0" w:beforeLines="0" w:afterLines="0" w:line="240" w:lineRule="auto"/>
              <w:ind w:right="0" w:firstLine="0" w:firstLineChars="0"/>
              <w:rPr>
                <w:rFonts w:ascii="黑体" w:hAnsi="黑体" w:eastAsia="黑体"/>
                <w:snapToGrid w:val="0"/>
                <w:color w:val="auto"/>
                <w:spacing w:val="-16"/>
                <w:kern w:val="21"/>
                <w:sz w:val="24"/>
                <w:szCs w:val="24"/>
                <w:highlight w:val="none"/>
                <w:u w:val="none"/>
                <w:lang w:val="en-US" w:eastAsia="zh-CN"/>
              </w:rPr>
            </w:pPr>
            <w:r>
              <w:rPr>
                <w:rFonts w:ascii="黑体" w:hAnsi="黑体" w:eastAsia="黑体"/>
                <w:snapToGrid w:val="0"/>
                <w:color w:val="auto"/>
                <w:spacing w:val="-16"/>
                <w:kern w:val="21"/>
                <w:sz w:val="24"/>
                <w:szCs w:val="24"/>
                <w:highlight w:val="none"/>
                <w:u w:val="none"/>
                <w:lang w:val="en-US" w:eastAsia="zh-CN"/>
              </w:rPr>
              <w:t>（新建项目不填）</w:t>
            </w:r>
            <w:r>
              <w:rPr>
                <w:rFonts w:ascii="黑体" w:hAnsi="黑体" w:eastAsia="黑体"/>
                <w:snapToGrid w:val="0"/>
                <w:color w:val="auto"/>
                <w:spacing w:val="-16"/>
                <w:kern w:val="21"/>
                <w:sz w:val="24"/>
                <w:szCs w:val="24"/>
                <w:highlight w:val="none"/>
                <w:u w:val="none"/>
                <w:lang w:val="en-US" w:eastAsia="zh-CN"/>
              </w:rPr>
              <w:fldChar w:fldCharType="begin"/>
            </w:r>
            <w:r>
              <w:rPr>
                <w:rFonts w:ascii="黑体" w:hAnsi="黑体" w:eastAsia="黑体"/>
                <w:snapToGrid w:val="0"/>
                <w:color w:val="auto"/>
                <w:spacing w:val="-16"/>
                <w:kern w:val="21"/>
                <w:sz w:val="24"/>
                <w:szCs w:val="24"/>
                <w:highlight w:val="none"/>
                <w:u w:val="none"/>
                <w:lang w:val="en-US" w:eastAsia="zh-CN"/>
              </w:rPr>
              <w:instrText xml:space="preserve"> = 5 \* GB3 \* MERGEFORMAT </w:instrText>
            </w:r>
            <w:r>
              <w:rPr>
                <w:rFonts w:ascii="黑体" w:hAnsi="黑体" w:eastAsia="黑体"/>
                <w:snapToGrid w:val="0"/>
                <w:color w:val="auto"/>
                <w:spacing w:val="-16"/>
                <w:kern w:val="21"/>
                <w:sz w:val="24"/>
                <w:szCs w:val="24"/>
                <w:highlight w:val="none"/>
                <w:u w:val="none"/>
                <w:lang w:val="en-US" w:eastAsia="zh-CN"/>
              </w:rPr>
              <w:fldChar w:fldCharType="separate"/>
            </w:r>
            <w:r>
              <w:rPr>
                <w:rFonts w:hint="eastAsia" w:ascii="黑体" w:hAnsi="黑体" w:eastAsia="黑体" w:cs="宋体"/>
                <w:color w:val="auto"/>
                <w:kern w:val="2"/>
                <w:sz w:val="24"/>
                <w:szCs w:val="24"/>
                <w:highlight w:val="none"/>
                <w:u w:val="none"/>
                <w:lang w:val="en-US" w:eastAsia="zh-CN"/>
              </w:rPr>
              <w:t>⑤</w:t>
            </w:r>
            <w:r>
              <w:rPr>
                <w:rFonts w:ascii="黑体" w:hAnsi="黑体" w:eastAsia="黑体"/>
                <w:snapToGrid w:val="0"/>
                <w:color w:val="auto"/>
                <w:spacing w:val="-16"/>
                <w:kern w:val="21"/>
                <w:sz w:val="24"/>
                <w:szCs w:val="24"/>
                <w:highlight w:val="none"/>
                <w:u w:val="none"/>
                <w:lang w:val="en-US" w:eastAsia="zh-CN"/>
              </w:rPr>
              <w:fldChar w:fldCharType="end"/>
            </w:r>
          </w:p>
        </w:tc>
        <w:tc>
          <w:tcPr>
            <w:tcW w:w="1705" w:type="dxa"/>
            <w:noWrap w:val="0"/>
            <w:tcMar>
              <w:left w:w="28" w:type="dxa"/>
              <w:right w:w="28" w:type="dxa"/>
            </w:tcMar>
            <w:vAlign w:val="center"/>
          </w:tcPr>
          <w:p>
            <w:pPr>
              <w:pStyle w:val="48"/>
              <w:spacing w:before="0" w:beforeLines="0" w:afterLines="0" w:line="240" w:lineRule="auto"/>
              <w:ind w:right="0" w:firstLine="0" w:firstLineChars="0"/>
              <w:rPr>
                <w:rFonts w:hint="eastAsia" w:ascii="黑体" w:hAnsi="黑体" w:eastAsia="黑体"/>
                <w:snapToGrid w:val="0"/>
                <w:color w:val="auto"/>
                <w:spacing w:val="-16"/>
                <w:kern w:val="21"/>
                <w:sz w:val="24"/>
                <w:szCs w:val="24"/>
                <w:highlight w:val="none"/>
                <w:u w:val="none"/>
                <w:lang w:val="en-US" w:eastAsia="zh-CN"/>
              </w:rPr>
            </w:pPr>
            <w:r>
              <w:rPr>
                <w:rFonts w:ascii="黑体" w:hAnsi="黑体" w:eastAsia="黑体"/>
                <w:snapToGrid w:val="0"/>
                <w:color w:val="auto"/>
                <w:spacing w:val="-16"/>
                <w:kern w:val="21"/>
                <w:sz w:val="24"/>
                <w:szCs w:val="24"/>
                <w:highlight w:val="none"/>
                <w:u w:val="none"/>
                <w:lang w:val="en-US" w:eastAsia="zh-CN"/>
              </w:rPr>
              <w:t>本项目建成后</w:t>
            </w:r>
          </w:p>
          <w:p>
            <w:pPr>
              <w:pStyle w:val="48"/>
              <w:spacing w:before="0" w:beforeLines="0" w:afterLines="0" w:line="240" w:lineRule="auto"/>
              <w:ind w:right="0" w:firstLine="0" w:firstLineChars="0"/>
              <w:rPr>
                <w:rFonts w:ascii="黑体" w:hAnsi="黑体" w:eastAsia="黑体"/>
                <w:snapToGrid w:val="0"/>
                <w:color w:val="auto"/>
                <w:spacing w:val="-16"/>
                <w:kern w:val="21"/>
                <w:sz w:val="24"/>
                <w:szCs w:val="24"/>
                <w:highlight w:val="none"/>
                <w:u w:val="none"/>
                <w:lang w:val="en-US" w:eastAsia="zh-CN"/>
              </w:rPr>
            </w:pPr>
            <w:r>
              <w:rPr>
                <w:rFonts w:hint="eastAsia" w:ascii="黑体" w:hAnsi="黑体" w:eastAsia="黑体"/>
                <w:snapToGrid w:val="0"/>
                <w:color w:val="auto"/>
                <w:spacing w:val="-16"/>
                <w:kern w:val="21"/>
                <w:sz w:val="24"/>
                <w:szCs w:val="24"/>
                <w:highlight w:val="none"/>
                <w:u w:val="none"/>
                <w:lang w:val="en-US" w:eastAsia="zh-CN"/>
              </w:rPr>
              <w:t>全厂</w:t>
            </w:r>
            <w:r>
              <w:rPr>
                <w:rFonts w:ascii="黑体" w:hAnsi="黑体" w:eastAsia="黑体"/>
                <w:snapToGrid w:val="0"/>
                <w:color w:val="auto"/>
                <w:spacing w:val="-16"/>
                <w:kern w:val="21"/>
                <w:sz w:val="24"/>
                <w:szCs w:val="24"/>
                <w:highlight w:val="none"/>
                <w:u w:val="none"/>
                <w:lang w:val="en-US" w:eastAsia="zh-CN"/>
              </w:rPr>
              <w:t>排放量（固</w:t>
            </w:r>
            <w:r>
              <w:rPr>
                <w:rFonts w:hint="eastAsia" w:ascii="黑体" w:hAnsi="黑体" w:eastAsia="黑体"/>
                <w:snapToGrid w:val="0"/>
                <w:color w:val="auto"/>
                <w:spacing w:val="-16"/>
                <w:kern w:val="21"/>
                <w:sz w:val="24"/>
                <w:szCs w:val="24"/>
                <w:highlight w:val="none"/>
                <w:u w:val="none"/>
                <w:lang w:val="en-US" w:eastAsia="zh-CN"/>
              </w:rPr>
              <w:t>体</w:t>
            </w:r>
            <w:r>
              <w:rPr>
                <w:rFonts w:ascii="黑体" w:hAnsi="黑体" w:eastAsia="黑体"/>
                <w:snapToGrid w:val="0"/>
                <w:color w:val="auto"/>
                <w:spacing w:val="-16"/>
                <w:kern w:val="21"/>
                <w:sz w:val="24"/>
                <w:szCs w:val="24"/>
                <w:highlight w:val="none"/>
                <w:u w:val="none"/>
                <w:lang w:val="en-US" w:eastAsia="zh-CN"/>
              </w:rPr>
              <w:t>废</w:t>
            </w:r>
            <w:r>
              <w:rPr>
                <w:rFonts w:hint="eastAsia" w:ascii="黑体" w:hAnsi="黑体" w:eastAsia="黑体"/>
                <w:snapToGrid w:val="0"/>
                <w:color w:val="auto"/>
                <w:spacing w:val="-16"/>
                <w:kern w:val="21"/>
                <w:sz w:val="24"/>
                <w:szCs w:val="24"/>
                <w:highlight w:val="none"/>
                <w:u w:val="none"/>
                <w:lang w:val="en-US" w:eastAsia="zh-CN"/>
              </w:rPr>
              <w:t>物</w:t>
            </w:r>
            <w:r>
              <w:rPr>
                <w:rFonts w:ascii="黑体" w:hAnsi="黑体" w:eastAsia="黑体"/>
                <w:snapToGrid w:val="0"/>
                <w:color w:val="auto"/>
                <w:spacing w:val="-16"/>
                <w:kern w:val="21"/>
                <w:sz w:val="24"/>
                <w:szCs w:val="24"/>
                <w:highlight w:val="none"/>
                <w:u w:val="none"/>
                <w:lang w:val="en-US" w:eastAsia="zh-CN"/>
              </w:rPr>
              <w:t>产生量）</w:t>
            </w:r>
            <w:r>
              <w:rPr>
                <w:rFonts w:ascii="黑体" w:hAnsi="黑体" w:eastAsia="黑体"/>
                <w:snapToGrid w:val="0"/>
                <w:color w:val="auto"/>
                <w:spacing w:val="-16"/>
                <w:kern w:val="21"/>
                <w:sz w:val="24"/>
                <w:szCs w:val="24"/>
                <w:highlight w:val="none"/>
                <w:u w:val="none"/>
                <w:lang w:val="en-US" w:eastAsia="zh-CN"/>
              </w:rPr>
              <w:fldChar w:fldCharType="begin"/>
            </w:r>
            <w:r>
              <w:rPr>
                <w:rFonts w:ascii="黑体" w:hAnsi="黑体" w:eastAsia="黑体"/>
                <w:snapToGrid w:val="0"/>
                <w:color w:val="auto"/>
                <w:spacing w:val="-16"/>
                <w:kern w:val="21"/>
                <w:sz w:val="24"/>
                <w:szCs w:val="24"/>
                <w:highlight w:val="none"/>
                <w:u w:val="none"/>
                <w:lang w:val="en-US" w:eastAsia="zh-CN"/>
              </w:rPr>
              <w:instrText xml:space="preserve"> = 6 \* GB3 \* MERGEFORMAT </w:instrText>
            </w:r>
            <w:r>
              <w:rPr>
                <w:rFonts w:ascii="黑体" w:hAnsi="黑体" w:eastAsia="黑体"/>
                <w:snapToGrid w:val="0"/>
                <w:color w:val="auto"/>
                <w:spacing w:val="-16"/>
                <w:kern w:val="21"/>
                <w:sz w:val="24"/>
                <w:szCs w:val="24"/>
                <w:highlight w:val="none"/>
                <w:u w:val="none"/>
                <w:lang w:val="en-US" w:eastAsia="zh-CN"/>
              </w:rPr>
              <w:fldChar w:fldCharType="separate"/>
            </w:r>
            <w:r>
              <w:rPr>
                <w:rFonts w:hint="eastAsia" w:ascii="黑体" w:hAnsi="黑体" w:eastAsia="黑体" w:cs="宋体"/>
                <w:color w:val="auto"/>
                <w:kern w:val="2"/>
                <w:sz w:val="24"/>
                <w:szCs w:val="24"/>
                <w:highlight w:val="none"/>
                <w:u w:val="none"/>
                <w:lang w:val="en-US" w:eastAsia="zh-CN"/>
              </w:rPr>
              <w:t>⑥</w:t>
            </w:r>
            <w:r>
              <w:rPr>
                <w:rFonts w:ascii="黑体" w:hAnsi="黑体" w:eastAsia="黑体"/>
                <w:snapToGrid w:val="0"/>
                <w:color w:val="auto"/>
                <w:spacing w:val="-16"/>
                <w:kern w:val="21"/>
                <w:sz w:val="24"/>
                <w:szCs w:val="24"/>
                <w:highlight w:val="none"/>
                <w:u w:val="none"/>
                <w:lang w:val="en-US" w:eastAsia="zh-CN"/>
              </w:rPr>
              <w:fldChar w:fldCharType="end"/>
            </w:r>
          </w:p>
        </w:tc>
        <w:tc>
          <w:tcPr>
            <w:tcW w:w="1185" w:type="dxa"/>
            <w:noWrap w:val="0"/>
            <w:tcMar>
              <w:left w:w="28" w:type="dxa"/>
              <w:right w:w="28" w:type="dxa"/>
            </w:tcMar>
            <w:vAlign w:val="center"/>
          </w:tcPr>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t>变化量</w:t>
            </w:r>
          </w:p>
          <w:p>
            <w:pPr>
              <w:pStyle w:val="48"/>
              <w:spacing w:before="0" w:beforeLines="0" w:afterLines="0" w:line="240" w:lineRule="auto"/>
              <w:ind w:right="0" w:firstLine="0" w:firstLineChars="0"/>
              <w:rPr>
                <w:rFonts w:ascii="黑体" w:hAnsi="黑体" w:eastAsia="黑体"/>
                <w:snapToGrid w:val="0"/>
                <w:color w:val="auto"/>
                <w:spacing w:val="-6"/>
                <w:kern w:val="21"/>
                <w:sz w:val="24"/>
                <w:szCs w:val="24"/>
                <w:highlight w:val="none"/>
                <w:u w:val="none"/>
                <w:lang w:val="en-US" w:eastAsia="zh-CN"/>
              </w:rPr>
            </w:pPr>
            <w:r>
              <w:rPr>
                <w:rFonts w:ascii="黑体" w:hAnsi="黑体" w:eastAsia="黑体"/>
                <w:snapToGrid w:val="0"/>
                <w:color w:val="auto"/>
                <w:spacing w:val="-6"/>
                <w:kern w:val="21"/>
                <w:sz w:val="24"/>
                <w:szCs w:val="24"/>
                <w:highlight w:val="none"/>
                <w:u w:val="none"/>
                <w:lang w:val="en-US" w:eastAsia="zh-CN"/>
              </w:rPr>
              <w:fldChar w:fldCharType="begin"/>
            </w:r>
            <w:r>
              <w:rPr>
                <w:rFonts w:ascii="黑体" w:hAnsi="黑体" w:eastAsia="黑体"/>
                <w:snapToGrid w:val="0"/>
                <w:color w:val="auto"/>
                <w:spacing w:val="-6"/>
                <w:kern w:val="21"/>
                <w:sz w:val="24"/>
                <w:szCs w:val="24"/>
                <w:highlight w:val="none"/>
                <w:u w:val="none"/>
                <w:lang w:val="en-US" w:eastAsia="zh-CN"/>
              </w:rPr>
              <w:instrText xml:space="preserve"> = 7 \* GB3 \* MERGEFORMAT </w:instrText>
            </w:r>
            <w:r>
              <w:rPr>
                <w:rFonts w:ascii="黑体" w:hAnsi="黑体" w:eastAsia="黑体"/>
                <w:snapToGrid w:val="0"/>
                <w:color w:val="auto"/>
                <w:spacing w:val="-6"/>
                <w:kern w:val="21"/>
                <w:sz w:val="24"/>
                <w:szCs w:val="24"/>
                <w:highlight w:val="none"/>
                <w:u w:val="none"/>
                <w:lang w:val="en-US" w:eastAsia="zh-CN"/>
              </w:rPr>
              <w:fldChar w:fldCharType="separate"/>
            </w:r>
            <w:r>
              <w:rPr>
                <w:rFonts w:hint="eastAsia" w:ascii="黑体" w:hAnsi="黑体" w:eastAsia="黑体" w:cs="宋体"/>
                <w:color w:val="auto"/>
                <w:kern w:val="2"/>
                <w:sz w:val="24"/>
                <w:szCs w:val="24"/>
                <w:highlight w:val="none"/>
                <w:u w:val="none"/>
                <w:lang w:val="en-US" w:eastAsia="zh-CN"/>
              </w:rPr>
              <w:t>⑦</w:t>
            </w:r>
            <w:r>
              <w:rPr>
                <w:rFonts w:ascii="黑体" w:hAnsi="黑体" w:eastAsia="黑体"/>
                <w:snapToGrid w:val="0"/>
                <w:color w:val="auto"/>
                <w:spacing w:val="-6"/>
                <w:kern w:val="21"/>
                <w:sz w:val="24"/>
                <w:szCs w:val="24"/>
                <w:highlight w:val="none"/>
                <w:u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restart"/>
            <w:noWrap w:val="0"/>
            <w:vAlign w:val="center"/>
          </w:tcPr>
          <w:p>
            <w:pPr>
              <w:pStyle w:val="48"/>
              <w:spacing w:before="0" w:beforeLines="0" w:afterLines="0" w:line="240" w:lineRule="auto"/>
              <w:ind w:right="0" w:firstLine="0" w:firstLineChars="0"/>
              <w:rPr>
                <w:rFonts w:hint="eastAsia" w:hAnsi="宋体" w:cs="宋体"/>
                <w:snapToGrid w:val="0"/>
                <w:color w:val="auto"/>
                <w:kern w:val="21"/>
                <w:sz w:val="24"/>
                <w:szCs w:val="24"/>
                <w:highlight w:val="none"/>
                <w:u w:val="none"/>
                <w:lang w:val="en-US" w:eastAsia="zh-CN"/>
              </w:rPr>
            </w:pPr>
            <w:r>
              <w:rPr>
                <w:rFonts w:hint="eastAsia" w:hAnsi="宋体" w:cs="宋体"/>
                <w:snapToGrid w:val="0"/>
                <w:color w:val="auto"/>
                <w:kern w:val="21"/>
                <w:sz w:val="24"/>
                <w:szCs w:val="24"/>
                <w:highlight w:val="none"/>
                <w:u w:val="none"/>
                <w:lang w:val="en-US" w:eastAsia="zh-CN"/>
              </w:rPr>
              <w:t>废气</w:t>
            </w:r>
          </w:p>
        </w:tc>
        <w:tc>
          <w:tcPr>
            <w:tcW w:w="1568" w:type="dxa"/>
            <w:noWrap w:val="0"/>
            <w:vAlign w:val="center"/>
          </w:tcPr>
          <w:p>
            <w:pPr>
              <w:jc w:val="center"/>
              <w:rPr>
                <w:color w:val="auto"/>
                <w:sz w:val="24"/>
                <w:highlight w:val="none"/>
                <w:u w:val="none"/>
              </w:rPr>
            </w:pPr>
            <w:r>
              <w:rPr>
                <w:rFonts w:hint="eastAsia"/>
                <w:color w:val="auto"/>
                <w:sz w:val="24"/>
                <w:highlight w:val="none"/>
                <w:u w:val="none"/>
              </w:rPr>
              <w:t>颗粒物</w:t>
            </w:r>
          </w:p>
        </w:tc>
        <w:tc>
          <w:tcPr>
            <w:tcW w:w="1701"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1.582</w:t>
            </w:r>
            <w:r>
              <w:rPr>
                <w:rFonts w:ascii="Times New Roman"/>
                <w:snapToGrid w:val="0"/>
                <w:color w:val="auto"/>
                <w:kern w:val="21"/>
                <w:sz w:val="24"/>
                <w:szCs w:val="24"/>
                <w:highlight w:val="none"/>
                <w:u w:val="none"/>
                <w:lang w:val="en-US" w:eastAsia="zh-CN"/>
              </w:rPr>
              <w:t>t/a</w:t>
            </w:r>
          </w:p>
        </w:tc>
        <w:tc>
          <w:tcPr>
            <w:tcW w:w="1761" w:type="dxa"/>
            <w:noWrap w:val="0"/>
            <w:vAlign w:val="center"/>
          </w:tcPr>
          <w:p>
            <w:pPr>
              <w:pStyle w:val="48"/>
              <w:spacing w:before="0" w:beforeLines="0" w:afterLines="0" w:line="240" w:lineRule="auto"/>
              <w:ind w:right="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1.582</w:t>
            </w:r>
            <w:r>
              <w:rPr>
                <w:rFonts w:ascii="Times New Roman"/>
                <w:snapToGrid w:val="0"/>
                <w:color w:val="auto"/>
                <w:kern w:val="21"/>
                <w:sz w:val="24"/>
                <w:szCs w:val="24"/>
                <w:highlight w:val="none"/>
                <w:u w:val="none"/>
                <w:lang w:val="en-US" w:eastAsia="zh-CN"/>
              </w:rPr>
              <w:t>t/a</w:t>
            </w:r>
          </w:p>
        </w:tc>
        <w:tc>
          <w:tcPr>
            <w:tcW w:w="1185" w:type="dxa"/>
            <w:noWrap w:val="0"/>
            <w:vAlign w:val="center"/>
          </w:tcPr>
          <w:p>
            <w:pPr>
              <w:spacing w:before="0" w:beforeLines="0" w:afterLines="0" w:line="240" w:lineRule="auto"/>
              <w:ind w:right="0" w:firstLine="0" w:firstLineChars="0"/>
              <w:jc w:val="center"/>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continue"/>
            <w:noWrap w:val="0"/>
            <w:vAlign w:val="center"/>
          </w:tcPr>
          <w:p>
            <w:pPr>
              <w:pStyle w:val="48"/>
              <w:spacing w:before="0" w:beforeLines="0" w:afterLines="0" w:line="240" w:lineRule="auto"/>
              <w:ind w:right="0" w:firstLine="0" w:firstLineChars="0"/>
              <w:rPr>
                <w:rFonts w:hint="eastAsia" w:hAnsi="宋体" w:cs="宋体"/>
                <w:snapToGrid w:val="0"/>
                <w:color w:val="auto"/>
                <w:kern w:val="21"/>
                <w:sz w:val="24"/>
                <w:szCs w:val="24"/>
                <w:highlight w:val="none"/>
                <w:u w:val="none"/>
                <w:lang w:val="en-US" w:eastAsia="zh-CN"/>
              </w:rPr>
            </w:pP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sz w:val="28"/>
                <w:szCs w:val="28"/>
                <w:highlight w:val="none"/>
                <w:u w:val="none"/>
              </w:rPr>
            </w:pPr>
            <w:r>
              <w:rPr>
                <w:rFonts w:hint="eastAsia" w:ascii="Times New Roman" w:hAnsi="Times New Roman" w:eastAsia="宋体" w:cs="Times New Roman"/>
                <w:color w:val="auto"/>
                <w:sz w:val="28"/>
                <w:szCs w:val="28"/>
                <w:highlight w:val="none"/>
              </w:rPr>
              <w:t>SO</w:t>
            </w:r>
            <w:r>
              <w:rPr>
                <w:rFonts w:hint="eastAsia" w:ascii="Times New Roman" w:hAnsi="Times New Roman" w:eastAsia="宋体" w:cs="Times New Roman"/>
                <w:color w:val="auto"/>
                <w:sz w:val="28"/>
                <w:szCs w:val="28"/>
                <w:highlight w:val="none"/>
                <w:vertAlign w:val="subscript"/>
              </w:rPr>
              <w:t>2</w:t>
            </w:r>
          </w:p>
        </w:tc>
        <w:tc>
          <w:tcPr>
            <w:tcW w:w="1701"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0.51</w:t>
            </w:r>
            <w:r>
              <w:rPr>
                <w:rFonts w:ascii="Times New Roman"/>
                <w:snapToGrid w:val="0"/>
                <w:color w:val="auto"/>
                <w:kern w:val="21"/>
                <w:sz w:val="24"/>
                <w:szCs w:val="24"/>
                <w:highlight w:val="none"/>
                <w:u w:val="none"/>
                <w:lang w:val="en-US" w:eastAsia="zh-CN"/>
              </w:rPr>
              <w:t>t/a</w:t>
            </w:r>
          </w:p>
        </w:tc>
        <w:tc>
          <w:tcPr>
            <w:tcW w:w="1761"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0.51</w:t>
            </w:r>
            <w:r>
              <w:rPr>
                <w:rFonts w:ascii="Times New Roman"/>
                <w:snapToGrid w:val="0"/>
                <w:color w:val="auto"/>
                <w:kern w:val="21"/>
                <w:sz w:val="24"/>
                <w:szCs w:val="24"/>
                <w:highlight w:val="none"/>
                <w:u w:val="none"/>
                <w:lang w:val="en-US" w:eastAsia="zh-CN"/>
              </w:rPr>
              <w:t>t/a</w:t>
            </w:r>
          </w:p>
        </w:tc>
        <w:tc>
          <w:tcPr>
            <w:tcW w:w="1185" w:type="dxa"/>
            <w:noWrap w:val="0"/>
            <w:vAlign w:val="center"/>
          </w:tcPr>
          <w:p>
            <w:pPr>
              <w:spacing w:before="0" w:beforeLines="0" w:afterLines="0" w:line="240" w:lineRule="auto"/>
              <w:ind w:right="0" w:firstLine="0" w:firstLineChars="0"/>
              <w:jc w:val="center"/>
              <w:rPr>
                <w:rFonts w:hint="default" w:ascii="Times New Roman"/>
                <w:snapToGrid w:val="0"/>
                <w:color w:val="auto"/>
                <w:kern w:val="21"/>
                <w:sz w:val="24"/>
                <w:szCs w:val="24"/>
                <w:highlight w:val="none"/>
                <w:u w:val="none"/>
                <w:lang w:val="en-US" w:eastAsia="zh-CN"/>
              </w:rPr>
            </w:pPr>
            <w:r>
              <w:rPr>
                <w:rFonts w:hint="eastAsia"/>
                <w:snapToGrid w:val="0"/>
                <w:color w:val="auto"/>
                <w:kern w:val="21"/>
                <w:sz w:val="24"/>
                <w:szCs w:val="24"/>
                <w:highlight w:val="none"/>
                <w:u w:val="none"/>
                <w:lang w:val="en-US" w:eastAsia="zh-CN"/>
              </w:rPr>
              <w:t>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continue"/>
            <w:noWrap w:val="0"/>
            <w:vAlign w:val="center"/>
          </w:tcPr>
          <w:p>
            <w:pPr>
              <w:pStyle w:val="48"/>
              <w:spacing w:before="0" w:beforeLines="0" w:afterLines="0" w:line="240" w:lineRule="auto"/>
              <w:ind w:right="0" w:firstLine="0" w:firstLineChars="0"/>
              <w:rPr>
                <w:rFonts w:hint="eastAsia" w:hAnsi="宋体" w:cs="宋体"/>
                <w:snapToGrid w:val="0"/>
                <w:color w:val="auto"/>
                <w:kern w:val="21"/>
                <w:sz w:val="24"/>
                <w:szCs w:val="24"/>
                <w:highlight w:val="none"/>
                <w:u w:val="none"/>
                <w:lang w:val="en-US" w:eastAsia="zh-CN"/>
              </w:rPr>
            </w:pP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olor w:val="auto"/>
                <w:sz w:val="28"/>
                <w:szCs w:val="28"/>
                <w:highlight w:val="none"/>
                <w:u w:val="none"/>
              </w:rPr>
            </w:pPr>
            <w:r>
              <w:rPr>
                <w:rFonts w:hint="eastAsia" w:ascii="Times New Roman" w:hAnsi="Times New Roman" w:eastAsia="宋体" w:cs="Times New Roman"/>
                <w:color w:val="auto"/>
                <w:sz w:val="28"/>
                <w:szCs w:val="28"/>
                <w:highlight w:val="none"/>
              </w:rPr>
              <w:t>NO</w:t>
            </w:r>
            <w:r>
              <w:rPr>
                <w:rFonts w:hint="eastAsia" w:ascii="Times New Roman" w:hAnsi="Times New Roman" w:eastAsia="宋体" w:cs="Times New Roman"/>
                <w:color w:val="auto"/>
                <w:sz w:val="28"/>
                <w:szCs w:val="28"/>
                <w:highlight w:val="none"/>
                <w:vertAlign w:val="subscript"/>
              </w:rPr>
              <w:t>X</w:t>
            </w:r>
          </w:p>
        </w:tc>
        <w:tc>
          <w:tcPr>
            <w:tcW w:w="1701"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0.31</w:t>
            </w:r>
            <w:r>
              <w:rPr>
                <w:rFonts w:ascii="Times New Roman"/>
                <w:snapToGrid w:val="0"/>
                <w:color w:val="auto"/>
                <w:kern w:val="21"/>
                <w:sz w:val="24"/>
                <w:szCs w:val="24"/>
                <w:highlight w:val="none"/>
                <w:u w:val="none"/>
                <w:lang w:val="en-US" w:eastAsia="zh-CN"/>
              </w:rPr>
              <w:t>t/a</w:t>
            </w:r>
          </w:p>
        </w:tc>
        <w:tc>
          <w:tcPr>
            <w:tcW w:w="1761"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rightChars="0" w:firstLine="0" w:firstLineChars="0"/>
              <w:rPr>
                <w:rFonts w:hint="eastAsia"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0.31</w:t>
            </w:r>
            <w:r>
              <w:rPr>
                <w:rFonts w:ascii="Times New Roman"/>
                <w:snapToGrid w:val="0"/>
                <w:color w:val="auto"/>
                <w:kern w:val="21"/>
                <w:sz w:val="24"/>
                <w:szCs w:val="24"/>
                <w:highlight w:val="none"/>
                <w:u w:val="none"/>
                <w:lang w:val="en-US" w:eastAsia="zh-CN"/>
              </w:rPr>
              <w:t>t/a</w:t>
            </w:r>
          </w:p>
        </w:tc>
        <w:tc>
          <w:tcPr>
            <w:tcW w:w="1185" w:type="dxa"/>
            <w:noWrap w:val="0"/>
            <w:vAlign w:val="center"/>
          </w:tcPr>
          <w:p>
            <w:pPr>
              <w:spacing w:before="0" w:beforeLines="0" w:afterLines="0" w:line="240" w:lineRule="auto"/>
              <w:ind w:right="0" w:firstLine="0" w:firstLineChars="0"/>
              <w:jc w:val="center"/>
              <w:rPr>
                <w:rFonts w:hint="default" w:ascii="Times New Roman"/>
                <w:snapToGrid w:val="0"/>
                <w:color w:val="auto"/>
                <w:kern w:val="21"/>
                <w:sz w:val="24"/>
                <w:szCs w:val="24"/>
                <w:highlight w:val="none"/>
                <w:u w:val="none"/>
                <w:lang w:val="en-US" w:eastAsia="zh-CN"/>
              </w:rPr>
            </w:pPr>
            <w:r>
              <w:rPr>
                <w:rFonts w:hint="eastAsia"/>
                <w:snapToGrid w:val="0"/>
                <w:color w:val="auto"/>
                <w:kern w:val="21"/>
                <w:sz w:val="24"/>
                <w:szCs w:val="24"/>
                <w:highlight w:val="none"/>
                <w:u w:val="none"/>
                <w:lang w:val="en-US" w:eastAsia="zh-CN"/>
              </w:rPr>
              <w:t>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restart"/>
            <w:noWrap w:val="0"/>
            <w:vAlign w:val="center"/>
          </w:tcPr>
          <w:p>
            <w:pPr>
              <w:pStyle w:val="48"/>
              <w:spacing w:before="0" w:beforeLines="0" w:afterLines="0" w:line="240" w:lineRule="auto"/>
              <w:ind w:right="0" w:firstLine="0" w:firstLineChars="0"/>
              <w:rPr>
                <w:rFonts w:hint="eastAsia" w:hAnsi="宋体" w:cs="宋体"/>
                <w:snapToGrid w:val="0"/>
                <w:color w:val="auto"/>
                <w:kern w:val="21"/>
                <w:sz w:val="24"/>
                <w:szCs w:val="24"/>
                <w:highlight w:val="none"/>
                <w:u w:val="none"/>
                <w:lang w:val="en-US" w:eastAsia="zh-CN"/>
              </w:rPr>
            </w:pPr>
            <w:r>
              <w:rPr>
                <w:rFonts w:hint="eastAsia" w:hAnsi="宋体" w:cs="宋体"/>
                <w:snapToGrid w:val="0"/>
                <w:color w:val="auto"/>
                <w:kern w:val="21"/>
                <w:sz w:val="24"/>
                <w:szCs w:val="24"/>
                <w:highlight w:val="none"/>
                <w:u w:val="none"/>
                <w:lang w:val="en-US" w:eastAsia="zh-CN"/>
              </w:rPr>
              <w:t>废水</w:t>
            </w:r>
          </w:p>
        </w:tc>
        <w:tc>
          <w:tcPr>
            <w:tcW w:w="1568" w:type="dxa"/>
            <w:noWrap w:val="0"/>
            <w:vAlign w:val="center"/>
          </w:tcPr>
          <w:p>
            <w:pPr>
              <w:jc w:val="center"/>
              <w:rPr>
                <w:color w:val="auto"/>
                <w:sz w:val="24"/>
                <w:highlight w:val="none"/>
                <w:u w:val="none"/>
              </w:rPr>
            </w:pPr>
            <w:r>
              <w:rPr>
                <w:rFonts w:hint="eastAsia"/>
                <w:color w:val="auto"/>
                <w:sz w:val="24"/>
                <w:highlight w:val="none"/>
                <w:u w:val="none"/>
              </w:rPr>
              <w:t>COD</w:t>
            </w:r>
            <w:r>
              <w:rPr>
                <w:rFonts w:hint="eastAsia"/>
                <w:color w:val="auto"/>
                <w:sz w:val="24"/>
                <w:highlight w:val="none"/>
                <w:u w:val="none"/>
                <w:vertAlign w:val="subscript"/>
              </w:rPr>
              <w:t>Gr</w:t>
            </w:r>
          </w:p>
        </w:tc>
        <w:tc>
          <w:tcPr>
            <w:tcW w:w="170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c>
          <w:tcPr>
            <w:tcW w:w="176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c>
          <w:tcPr>
            <w:tcW w:w="1185" w:type="dxa"/>
            <w:noWrap w:val="0"/>
            <w:vAlign w:val="center"/>
          </w:tcPr>
          <w:p>
            <w:pPr>
              <w:spacing w:before="0" w:beforeLines="0" w:afterLines="0" w:line="240" w:lineRule="auto"/>
              <w:ind w:right="0" w:firstLine="0" w:firstLineChars="0"/>
              <w:jc w:val="center"/>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continue"/>
            <w:noWrap w:val="0"/>
            <w:vAlign w:val="center"/>
          </w:tcPr>
          <w:p>
            <w:pPr>
              <w:pStyle w:val="48"/>
              <w:spacing w:before="0" w:beforeLines="0" w:afterLines="0" w:line="240" w:lineRule="auto"/>
              <w:ind w:right="0" w:firstLine="0" w:firstLineChars="0"/>
              <w:rPr>
                <w:rFonts w:hint="eastAsia" w:hAnsi="宋体" w:cs="宋体"/>
                <w:snapToGrid w:val="0"/>
                <w:color w:val="auto"/>
                <w:kern w:val="21"/>
                <w:sz w:val="24"/>
                <w:szCs w:val="24"/>
                <w:highlight w:val="none"/>
                <w:u w:val="none"/>
                <w:lang w:val="en-US" w:eastAsia="zh-CN"/>
              </w:rPr>
            </w:pPr>
          </w:p>
        </w:tc>
        <w:tc>
          <w:tcPr>
            <w:tcW w:w="1568" w:type="dxa"/>
            <w:noWrap w:val="0"/>
            <w:vAlign w:val="center"/>
          </w:tcPr>
          <w:p>
            <w:pPr>
              <w:jc w:val="center"/>
              <w:rPr>
                <w:rFonts w:hint="eastAsia"/>
                <w:color w:val="auto"/>
                <w:sz w:val="24"/>
                <w:highlight w:val="none"/>
                <w:u w:val="none"/>
              </w:rPr>
            </w:pPr>
            <w:r>
              <w:rPr>
                <w:rFonts w:hint="eastAsia"/>
                <w:color w:val="auto"/>
                <w:sz w:val="24"/>
                <w:highlight w:val="none"/>
                <w:u w:val="none"/>
              </w:rPr>
              <w:t>NH</w:t>
            </w:r>
            <w:r>
              <w:rPr>
                <w:rFonts w:hint="eastAsia"/>
                <w:color w:val="auto"/>
                <w:sz w:val="24"/>
                <w:highlight w:val="none"/>
                <w:u w:val="none"/>
                <w:vertAlign w:val="subscript"/>
              </w:rPr>
              <w:t>3</w:t>
            </w:r>
            <w:r>
              <w:rPr>
                <w:rFonts w:hint="eastAsia"/>
                <w:color w:val="auto"/>
                <w:sz w:val="24"/>
                <w:highlight w:val="none"/>
                <w:u w:val="none"/>
              </w:rPr>
              <w:t>-N</w:t>
            </w:r>
          </w:p>
        </w:tc>
        <w:tc>
          <w:tcPr>
            <w:tcW w:w="170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c>
          <w:tcPr>
            <w:tcW w:w="176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c>
          <w:tcPr>
            <w:tcW w:w="1185" w:type="dxa"/>
            <w:noWrap w:val="0"/>
            <w:vAlign w:val="center"/>
          </w:tcPr>
          <w:p>
            <w:pPr>
              <w:spacing w:before="0" w:beforeLines="0" w:afterLines="0" w:line="240" w:lineRule="auto"/>
              <w:ind w:right="0" w:firstLine="0" w:firstLineChars="0"/>
              <w:jc w:val="center"/>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restart"/>
            <w:noWrap w:val="0"/>
            <w:vAlign w:val="center"/>
          </w:tcPr>
          <w:p>
            <w:pPr>
              <w:pStyle w:val="48"/>
              <w:spacing w:before="0" w:beforeLines="0" w:afterLines="0" w:line="240" w:lineRule="auto"/>
              <w:ind w:right="0" w:firstLine="0" w:firstLineChars="0"/>
              <w:rPr>
                <w:rFonts w:hAnsi="宋体" w:cs="宋体"/>
                <w:snapToGrid w:val="0"/>
                <w:color w:val="auto"/>
                <w:kern w:val="21"/>
                <w:sz w:val="24"/>
                <w:szCs w:val="24"/>
                <w:highlight w:val="none"/>
                <w:u w:val="none"/>
                <w:lang w:val="en-US" w:eastAsia="zh-CN"/>
              </w:rPr>
            </w:pPr>
            <w:r>
              <w:rPr>
                <w:rFonts w:hint="eastAsia" w:hAnsi="宋体" w:cs="宋体"/>
                <w:snapToGrid w:val="0"/>
                <w:color w:val="auto"/>
                <w:kern w:val="21"/>
                <w:sz w:val="24"/>
                <w:szCs w:val="24"/>
                <w:highlight w:val="none"/>
                <w:u w:val="none"/>
                <w:lang w:val="en-US" w:eastAsia="zh-CN"/>
              </w:rPr>
              <w:t>一般工业</w:t>
            </w:r>
          </w:p>
          <w:p>
            <w:pPr>
              <w:pStyle w:val="48"/>
              <w:spacing w:before="0" w:beforeLines="0" w:afterLines="0" w:line="240" w:lineRule="auto"/>
              <w:ind w:right="0" w:firstLine="0" w:firstLineChars="0"/>
              <w:rPr>
                <w:rFonts w:hint="eastAsia" w:hAnsi="宋体" w:cs="宋体"/>
                <w:snapToGrid w:val="0"/>
                <w:color w:val="auto"/>
                <w:kern w:val="21"/>
                <w:sz w:val="24"/>
                <w:szCs w:val="24"/>
                <w:highlight w:val="none"/>
                <w:u w:val="none"/>
                <w:lang w:val="en-US" w:eastAsia="zh-CN"/>
              </w:rPr>
            </w:pPr>
            <w:r>
              <w:rPr>
                <w:rFonts w:hint="eastAsia" w:hAnsi="宋体" w:cs="宋体"/>
                <w:snapToGrid w:val="0"/>
                <w:color w:val="auto"/>
                <w:kern w:val="21"/>
                <w:sz w:val="24"/>
                <w:szCs w:val="24"/>
                <w:highlight w:val="none"/>
                <w:u w:val="none"/>
                <w:lang w:val="en-US" w:eastAsia="zh-CN"/>
              </w:rPr>
              <w:t>固体废物</w:t>
            </w:r>
          </w:p>
        </w:tc>
        <w:tc>
          <w:tcPr>
            <w:tcW w:w="1568" w:type="dxa"/>
            <w:noWrap w:val="0"/>
            <w:vAlign w:val="center"/>
          </w:tcPr>
          <w:p>
            <w:pPr>
              <w:adjustRightInd w:val="0"/>
              <w:snapToGrid w:val="0"/>
              <w:jc w:val="center"/>
              <w:rPr>
                <w:rFonts w:hint="default" w:eastAsia="宋体"/>
                <w:bCs/>
                <w:color w:val="auto"/>
                <w:sz w:val="24"/>
                <w:szCs w:val="24"/>
                <w:highlight w:val="none"/>
                <w:u w:val="none"/>
                <w:lang w:val="en-US" w:eastAsia="zh-CN"/>
              </w:rPr>
            </w:pPr>
            <w:r>
              <w:rPr>
                <w:rFonts w:hint="eastAsia"/>
                <w:bCs/>
                <w:color w:val="auto"/>
                <w:sz w:val="24"/>
                <w:szCs w:val="24"/>
                <w:highlight w:val="none"/>
                <w:u w:val="none"/>
                <w:lang w:val="en-US" w:eastAsia="zh-CN"/>
              </w:rPr>
              <w:t>收集粉尘</w:t>
            </w:r>
          </w:p>
        </w:tc>
        <w:tc>
          <w:tcPr>
            <w:tcW w:w="170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137.26</w:t>
            </w:r>
            <w:r>
              <w:rPr>
                <w:rFonts w:ascii="Times New Roman"/>
                <w:snapToGrid w:val="0"/>
                <w:color w:val="auto"/>
                <w:kern w:val="21"/>
                <w:sz w:val="24"/>
                <w:szCs w:val="24"/>
                <w:highlight w:val="none"/>
                <w:u w:val="none"/>
                <w:lang w:val="en-US" w:eastAsia="zh-CN"/>
              </w:rPr>
              <w:t>t/a</w:t>
            </w:r>
          </w:p>
        </w:tc>
        <w:tc>
          <w:tcPr>
            <w:tcW w:w="176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137.26</w:t>
            </w:r>
            <w:r>
              <w:rPr>
                <w:rFonts w:ascii="Times New Roman"/>
                <w:snapToGrid w:val="0"/>
                <w:color w:val="auto"/>
                <w:kern w:val="21"/>
                <w:sz w:val="24"/>
                <w:szCs w:val="24"/>
                <w:highlight w:val="none"/>
                <w:u w:val="none"/>
                <w:lang w:val="en-US" w:eastAsia="zh-CN"/>
              </w:rPr>
              <w:t>t/a</w:t>
            </w:r>
          </w:p>
        </w:tc>
        <w:tc>
          <w:tcPr>
            <w:tcW w:w="1185" w:type="dxa"/>
            <w:noWrap w:val="0"/>
            <w:vAlign w:val="center"/>
          </w:tcPr>
          <w:p>
            <w:pPr>
              <w:spacing w:before="0" w:beforeLines="0" w:afterLines="0" w:line="240" w:lineRule="auto"/>
              <w:ind w:right="0" w:rightChars="0" w:firstLine="0" w:firstLineChars="0"/>
              <w:jc w:val="center"/>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continue"/>
            <w:noWrap w:val="0"/>
            <w:vAlign w:val="center"/>
          </w:tcPr>
          <w:p>
            <w:pPr>
              <w:pStyle w:val="48"/>
              <w:spacing w:before="0" w:beforeLines="0" w:afterLines="0" w:line="240" w:lineRule="auto"/>
              <w:ind w:right="0" w:firstLine="0" w:firstLineChars="0"/>
              <w:rPr>
                <w:rFonts w:hAnsi="宋体" w:cs="宋体"/>
                <w:snapToGrid w:val="0"/>
                <w:color w:val="auto"/>
                <w:kern w:val="21"/>
                <w:sz w:val="24"/>
                <w:szCs w:val="24"/>
                <w:highlight w:val="none"/>
                <w:u w:val="none"/>
                <w:lang w:val="en-US" w:eastAsia="zh-CN"/>
              </w:rPr>
            </w:pPr>
          </w:p>
        </w:tc>
        <w:tc>
          <w:tcPr>
            <w:tcW w:w="1568" w:type="dxa"/>
            <w:noWrap w:val="0"/>
            <w:vAlign w:val="center"/>
          </w:tcPr>
          <w:p>
            <w:pPr>
              <w:adjustRightInd w:val="0"/>
              <w:snapToGrid w:val="0"/>
              <w:jc w:val="center"/>
              <w:rPr>
                <w:rFonts w:hint="eastAsia" w:eastAsia="宋体"/>
                <w:bCs/>
                <w:color w:val="auto"/>
                <w:sz w:val="24"/>
                <w:szCs w:val="24"/>
                <w:highlight w:val="none"/>
                <w:u w:val="none"/>
                <w:lang w:eastAsia="zh-CN"/>
              </w:rPr>
            </w:pPr>
            <w:r>
              <w:rPr>
                <w:rFonts w:hint="eastAsia" w:ascii="Times New Roman" w:hAnsi="Times New Roman" w:cs="Times New Roman"/>
                <w:color w:val="auto"/>
                <w:sz w:val="24"/>
                <w:szCs w:val="24"/>
                <w:highlight w:val="none"/>
                <w:lang w:val="en-US" w:eastAsia="zh-CN"/>
              </w:rPr>
              <w:t>生物质灰渣</w:t>
            </w:r>
          </w:p>
        </w:tc>
        <w:tc>
          <w:tcPr>
            <w:tcW w:w="170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60</w:t>
            </w:r>
            <w:r>
              <w:rPr>
                <w:rFonts w:ascii="Times New Roman"/>
                <w:snapToGrid w:val="0"/>
                <w:color w:val="auto"/>
                <w:kern w:val="21"/>
                <w:sz w:val="24"/>
                <w:szCs w:val="24"/>
                <w:highlight w:val="none"/>
                <w:u w:val="none"/>
                <w:lang w:val="en-US" w:eastAsia="zh-CN"/>
              </w:rPr>
              <w:t>t/a</w:t>
            </w:r>
          </w:p>
        </w:tc>
        <w:tc>
          <w:tcPr>
            <w:tcW w:w="176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60</w:t>
            </w:r>
            <w:r>
              <w:rPr>
                <w:rFonts w:ascii="Times New Roman"/>
                <w:snapToGrid w:val="0"/>
                <w:color w:val="auto"/>
                <w:kern w:val="21"/>
                <w:sz w:val="24"/>
                <w:szCs w:val="24"/>
                <w:highlight w:val="none"/>
                <w:u w:val="none"/>
                <w:lang w:val="en-US" w:eastAsia="zh-CN"/>
              </w:rPr>
              <w:t>t/a</w:t>
            </w:r>
          </w:p>
        </w:tc>
        <w:tc>
          <w:tcPr>
            <w:tcW w:w="1185" w:type="dxa"/>
            <w:noWrap w:val="0"/>
            <w:vAlign w:val="center"/>
          </w:tcPr>
          <w:p>
            <w:pPr>
              <w:spacing w:before="0" w:beforeLines="0" w:afterLines="0" w:line="240" w:lineRule="auto"/>
              <w:ind w:right="0" w:rightChars="0" w:firstLine="0" w:firstLineChars="0"/>
              <w:jc w:val="center"/>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vMerge w:val="continue"/>
            <w:noWrap w:val="0"/>
            <w:vAlign w:val="center"/>
          </w:tcPr>
          <w:p>
            <w:pPr>
              <w:pStyle w:val="48"/>
              <w:spacing w:before="0" w:beforeLines="0" w:afterLines="0" w:line="240" w:lineRule="auto"/>
              <w:ind w:right="0" w:firstLine="0" w:firstLineChars="0"/>
              <w:rPr>
                <w:rFonts w:hAnsi="宋体" w:cs="宋体"/>
                <w:snapToGrid w:val="0"/>
                <w:color w:val="auto"/>
                <w:kern w:val="21"/>
                <w:sz w:val="24"/>
                <w:szCs w:val="24"/>
                <w:highlight w:val="none"/>
                <w:u w:val="none"/>
                <w:lang w:val="en-US" w:eastAsia="zh-CN"/>
              </w:rPr>
            </w:pPr>
          </w:p>
        </w:tc>
        <w:tc>
          <w:tcPr>
            <w:tcW w:w="1568" w:type="dxa"/>
            <w:noWrap w:val="0"/>
            <w:vAlign w:val="center"/>
          </w:tcPr>
          <w:p>
            <w:pPr>
              <w:adjustRightInd w:val="0"/>
              <w:snapToGrid w:val="0"/>
              <w:jc w:val="center"/>
              <w:rPr>
                <w:rFonts w:hint="eastAsia" w:eastAsia="宋体"/>
                <w:bCs/>
                <w:color w:val="auto"/>
                <w:sz w:val="24"/>
                <w:highlight w:val="none"/>
                <w:u w:val="none"/>
                <w:lang w:eastAsia="zh-CN"/>
              </w:rPr>
            </w:pPr>
            <w:r>
              <w:rPr>
                <w:rFonts w:hint="eastAsia"/>
                <w:bCs/>
                <w:color w:val="auto"/>
                <w:sz w:val="24"/>
                <w:highlight w:val="none"/>
                <w:u w:val="none"/>
                <w:lang w:val="en-US" w:eastAsia="zh-CN"/>
              </w:rPr>
              <w:t>生活垃圾</w:t>
            </w:r>
          </w:p>
        </w:tc>
        <w:tc>
          <w:tcPr>
            <w:tcW w:w="170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0.9</w:t>
            </w:r>
            <w:r>
              <w:rPr>
                <w:rFonts w:ascii="Times New Roman"/>
                <w:snapToGrid w:val="0"/>
                <w:color w:val="auto"/>
                <w:kern w:val="21"/>
                <w:sz w:val="24"/>
                <w:szCs w:val="24"/>
                <w:highlight w:val="none"/>
                <w:u w:val="none"/>
                <w:lang w:val="en-US" w:eastAsia="zh-CN"/>
              </w:rPr>
              <w:t>t/a</w:t>
            </w:r>
          </w:p>
        </w:tc>
        <w:tc>
          <w:tcPr>
            <w:tcW w:w="176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0.9</w:t>
            </w:r>
            <w:r>
              <w:rPr>
                <w:rFonts w:ascii="Times New Roman"/>
                <w:snapToGrid w:val="0"/>
                <w:color w:val="auto"/>
                <w:kern w:val="21"/>
                <w:sz w:val="24"/>
                <w:szCs w:val="24"/>
                <w:highlight w:val="none"/>
                <w:u w:val="none"/>
                <w:lang w:val="en-US" w:eastAsia="zh-CN"/>
              </w:rPr>
              <w:t>t/a</w:t>
            </w:r>
          </w:p>
        </w:tc>
        <w:tc>
          <w:tcPr>
            <w:tcW w:w="1185" w:type="dxa"/>
            <w:noWrap w:val="0"/>
            <w:vAlign w:val="center"/>
          </w:tcPr>
          <w:p>
            <w:pPr>
              <w:spacing w:before="0" w:beforeLines="0" w:afterLines="0" w:line="240" w:lineRule="auto"/>
              <w:ind w:right="0" w:rightChars="0" w:firstLine="0" w:firstLineChars="0"/>
              <w:jc w:val="center"/>
              <w:rPr>
                <w:rFonts w:ascii="Times New Roman"/>
                <w:snapToGrid w:val="0"/>
                <w:color w:val="auto"/>
                <w:kern w:val="21"/>
                <w:sz w:val="24"/>
                <w:szCs w:val="24"/>
                <w:highlight w:val="none"/>
                <w:u w:val="none"/>
                <w:lang w:val="en-US" w:eastAsia="zh-CN"/>
              </w:rPr>
            </w:pPr>
            <w:r>
              <w:rPr>
                <w:rFonts w:ascii="Times New Roman"/>
                <w:snapToGrid w:val="0"/>
                <w:color w:val="auto"/>
                <w:kern w:val="21"/>
                <w:sz w:val="24"/>
                <w:szCs w:val="24"/>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noWrap w:val="0"/>
            <w:vAlign w:val="center"/>
          </w:tcPr>
          <w:p>
            <w:pPr>
              <w:pStyle w:val="48"/>
              <w:spacing w:before="0" w:beforeLines="0" w:afterLines="0" w:line="240" w:lineRule="auto"/>
              <w:ind w:right="0" w:firstLine="0" w:firstLineChars="0"/>
              <w:rPr>
                <w:rFonts w:hint="eastAsia" w:hAnsi="宋体" w:cs="宋体"/>
                <w:snapToGrid w:val="0"/>
                <w:color w:val="auto"/>
                <w:kern w:val="21"/>
                <w:sz w:val="24"/>
                <w:szCs w:val="24"/>
                <w:highlight w:val="none"/>
                <w:u w:val="none"/>
                <w:lang w:val="en-US" w:eastAsia="zh-CN"/>
              </w:rPr>
            </w:pPr>
            <w:r>
              <w:rPr>
                <w:rFonts w:hint="eastAsia" w:hAnsi="宋体" w:cs="宋体"/>
                <w:snapToGrid w:val="0"/>
                <w:color w:val="auto"/>
                <w:kern w:val="21"/>
                <w:sz w:val="24"/>
                <w:szCs w:val="24"/>
                <w:highlight w:val="none"/>
                <w:u w:val="none"/>
                <w:lang w:val="en-US" w:eastAsia="zh-CN"/>
              </w:rPr>
              <w:t>危险废物</w:t>
            </w:r>
          </w:p>
        </w:tc>
        <w:tc>
          <w:tcPr>
            <w:tcW w:w="1568" w:type="dxa"/>
            <w:noWrap w:val="0"/>
            <w:vAlign w:val="center"/>
          </w:tcPr>
          <w:p>
            <w:pPr>
              <w:adjustRightInd w:val="0"/>
              <w:snapToGrid w:val="0"/>
              <w:jc w:val="center"/>
              <w:rPr>
                <w:rFonts w:hint="default" w:eastAsia="宋体"/>
                <w:bCs/>
                <w:color w:val="auto"/>
                <w:sz w:val="24"/>
                <w:highlight w:val="none"/>
                <w:u w:val="none"/>
                <w:lang w:val="en-US" w:eastAsia="zh-CN"/>
              </w:rPr>
            </w:pPr>
            <w:r>
              <w:rPr>
                <w:rFonts w:hint="eastAsia"/>
                <w:bCs/>
                <w:color w:val="auto"/>
                <w:sz w:val="24"/>
                <w:highlight w:val="none"/>
                <w:u w:val="none"/>
                <w:lang w:val="en-US" w:eastAsia="zh-CN"/>
              </w:rPr>
              <w:t>废机油</w:t>
            </w:r>
          </w:p>
        </w:tc>
        <w:tc>
          <w:tcPr>
            <w:tcW w:w="1701" w:type="dxa"/>
            <w:noWrap w:val="0"/>
            <w:vAlign w:val="center"/>
          </w:tcPr>
          <w:p>
            <w:pPr>
              <w:pStyle w:val="48"/>
              <w:spacing w:before="0" w:beforeLines="0" w:afterLines="0" w:line="240" w:lineRule="auto"/>
              <w:ind w:right="0" w:rightChars="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276"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559"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0.04</w:t>
            </w:r>
            <w:r>
              <w:rPr>
                <w:rFonts w:ascii="Times New Roman"/>
                <w:snapToGrid w:val="0"/>
                <w:color w:val="auto"/>
                <w:kern w:val="21"/>
                <w:sz w:val="24"/>
                <w:szCs w:val="24"/>
                <w:highlight w:val="none"/>
                <w:u w:val="none"/>
                <w:lang w:val="en-US" w:eastAsia="zh-CN"/>
              </w:rPr>
              <w:t>t/a</w:t>
            </w:r>
          </w:p>
        </w:tc>
        <w:tc>
          <w:tcPr>
            <w:tcW w:w="1761" w:type="dxa"/>
            <w:noWrap w:val="0"/>
            <w:vAlign w:val="center"/>
          </w:tcPr>
          <w:p>
            <w:pPr>
              <w:pStyle w:val="48"/>
              <w:spacing w:before="0" w:beforeLines="0" w:afterLines="0" w:line="240" w:lineRule="auto"/>
              <w:ind w:right="0" w:rightChars="0" w:firstLine="0" w:firstLineChars="0"/>
              <w:rPr>
                <w:rFonts w:hAnsi="宋体" w:cs="宋体"/>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w:t>
            </w:r>
          </w:p>
        </w:tc>
        <w:tc>
          <w:tcPr>
            <w:tcW w:w="1705" w:type="dxa"/>
            <w:noWrap w:val="0"/>
            <w:vAlign w:val="center"/>
          </w:tcPr>
          <w:p>
            <w:pPr>
              <w:pStyle w:val="48"/>
              <w:spacing w:before="0" w:beforeLines="0" w:afterLines="0" w:line="240" w:lineRule="auto"/>
              <w:ind w:right="0" w:firstLine="0" w:firstLineChars="0"/>
              <w:rPr>
                <w:rFonts w:hint="default"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0.04</w:t>
            </w:r>
            <w:r>
              <w:rPr>
                <w:rFonts w:ascii="Times New Roman"/>
                <w:snapToGrid w:val="0"/>
                <w:color w:val="auto"/>
                <w:kern w:val="21"/>
                <w:sz w:val="24"/>
                <w:szCs w:val="24"/>
                <w:highlight w:val="none"/>
                <w:u w:val="none"/>
                <w:lang w:val="en-US" w:eastAsia="zh-CN"/>
              </w:rPr>
              <w:t>t/a</w:t>
            </w:r>
          </w:p>
        </w:tc>
        <w:tc>
          <w:tcPr>
            <w:tcW w:w="1185" w:type="dxa"/>
            <w:noWrap w:val="0"/>
            <w:vAlign w:val="center"/>
          </w:tcPr>
          <w:p>
            <w:pPr>
              <w:pStyle w:val="48"/>
              <w:spacing w:before="0" w:beforeLines="0" w:afterLines="0" w:line="240" w:lineRule="auto"/>
              <w:ind w:right="0" w:firstLine="0" w:firstLineChars="0"/>
              <w:rPr>
                <w:rFonts w:ascii="Times New Roman"/>
                <w:snapToGrid w:val="0"/>
                <w:color w:val="auto"/>
                <w:kern w:val="21"/>
                <w:sz w:val="24"/>
                <w:szCs w:val="24"/>
                <w:highlight w:val="none"/>
                <w:u w:val="none"/>
                <w:lang w:val="en-US" w:eastAsia="zh-CN"/>
              </w:rPr>
            </w:pPr>
            <w:r>
              <w:rPr>
                <w:rFonts w:hint="eastAsia" w:ascii="Times New Roman"/>
                <w:snapToGrid w:val="0"/>
                <w:color w:val="auto"/>
                <w:kern w:val="21"/>
                <w:sz w:val="24"/>
                <w:szCs w:val="24"/>
                <w:highlight w:val="none"/>
                <w:u w:val="none"/>
                <w:lang w:val="en-US" w:eastAsia="zh-CN"/>
              </w:rPr>
              <w:t>0</w:t>
            </w:r>
          </w:p>
        </w:tc>
      </w:tr>
    </w:tbl>
    <w:p>
      <w:pPr>
        <w:pStyle w:val="48"/>
        <w:spacing w:before="192" w:beforeLines="80" w:after="24"/>
        <w:ind w:firstLine="480"/>
        <w:jc w:val="left"/>
        <w:rPr>
          <w:rFonts w:hint="eastAsia"/>
          <w:snapToGrid w:val="0"/>
          <w:color w:val="auto"/>
          <w:spacing w:val="-6"/>
          <w:kern w:val="21"/>
          <w:szCs w:val="21"/>
          <w:highlight w:val="none"/>
        </w:rPr>
      </w:pPr>
      <w:r>
        <w:rPr>
          <w:snapToGrid w:val="0"/>
          <w:color w:val="auto"/>
          <w:kern w:val="21"/>
          <w:szCs w:val="21"/>
          <w:highlight w:val="none"/>
        </w:rPr>
        <w:t>注：</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rFonts w:hint="eastAsia"/>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rFonts w:hint="eastAsia"/>
          <w:color w:val="auto"/>
          <w:szCs w:val="21"/>
          <w:highlight w:val="none"/>
        </w:rPr>
        <w:t>①</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3 \* GB3 \* MERGEFORMAT </w:instrText>
      </w:r>
      <w:r>
        <w:rPr>
          <w:snapToGrid w:val="0"/>
          <w:color w:val="auto"/>
          <w:spacing w:val="-6"/>
          <w:kern w:val="21"/>
          <w:szCs w:val="21"/>
          <w:highlight w:val="none"/>
        </w:rPr>
        <w:fldChar w:fldCharType="separate"/>
      </w:r>
      <w:r>
        <w:rPr>
          <w:rFonts w:hint="eastAsia"/>
          <w:color w:val="auto"/>
          <w:szCs w:val="21"/>
          <w:highlight w:val="none"/>
        </w:rPr>
        <w:t>③</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4 \* GB3 \* MERGEFORMAT </w:instrText>
      </w:r>
      <w:r>
        <w:rPr>
          <w:snapToGrid w:val="0"/>
          <w:color w:val="auto"/>
          <w:spacing w:val="-6"/>
          <w:kern w:val="21"/>
          <w:szCs w:val="21"/>
          <w:highlight w:val="none"/>
        </w:rPr>
        <w:fldChar w:fldCharType="separate"/>
      </w:r>
      <w:r>
        <w:rPr>
          <w:rFonts w:hint="eastAsia"/>
          <w:color w:val="auto"/>
          <w:szCs w:val="21"/>
          <w:highlight w:val="none"/>
        </w:rPr>
        <w:t>④</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5 \* GB3 \* MERGEFORMAT </w:instrText>
      </w:r>
      <w:r>
        <w:rPr>
          <w:snapToGrid w:val="0"/>
          <w:color w:val="auto"/>
          <w:spacing w:val="-16"/>
          <w:kern w:val="21"/>
          <w:szCs w:val="21"/>
          <w:highlight w:val="none"/>
        </w:rPr>
        <w:fldChar w:fldCharType="separate"/>
      </w:r>
      <w:r>
        <w:rPr>
          <w:rFonts w:hint="eastAsia"/>
          <w:color w:val="auto"/>
          <w:szCs w:val="21"/>
          <w:highlight w:val="none"/>
        </w:rPr>
        <w:t>⑤</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7 \* GB3 \* MERGEFORMAT </w:instrText>
      </w:r>
      <w:r>
        <w:rPr>
          <w:snapToGrid w:val="0"/>
          <w:color w:val="auto"/>
          <w:spacing w:val="-6"/>
          <w:kern w:val="21"/>
          <w:szCs w:val="21"/>
          <w:highlight w:val="none"/>
        </w:rPr>
        <w:fldChar w:fldCharType="separate"/>
      </w:r>
      <w:r>
        <w:rPr>
          <w:rFonts w:hint="eastAsia"/>
          <w:color w:val="auto"/>
          <w:szCs w:val="21"/>
          <w:highlight w:val="none"/>
        </w:rPr>
        <w:t>⑦</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rFonts w:hint="eastAsia"/>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rFonts w:hint="eastAsia"/>
          <w:color w:val="auto"/>
          <w:szCs w:val="21"/>
          <w:highlight w:val="none"/>
        </w:rPr>
        <w:t>①</w:t>
      </w:r>
      <w:r>
        <w:rPr>
          <w:snapToGrid w:val="0"/>
          <w:color w:val="auto"/>
          <w:spacing w:val="-6"/>
          <w:kern w:val="21"/>
          <w:szCs w:val="21"/>
          <w:highlight w:val="none"/>
        </w:rPr>
        <w:fldChar w:fldCharType="end"/>
      </w:r>
    </w:p>
    <w:p>
      <w:pPr>
        <w:adjustRightInd w:val="0"/>
        <w:snapToGrid w:val="0"/>
        <w:spacing w:before="192" w:beforeLines="80"/>
        <w:rPr>
          <w:rFonts w:ascii="宋体" w:cs="宋体"/>
          <w:color w:val="auto"/>
          <w:szCs w:val="21"/>
          <w:highlight w:val="none"/>
        </w:rPr>
      </w:pPr>
    </w:p>
    <w:p>
      <w:pPr>
        <w:rPr>
          <w:rFonts w:ascii="宋体" w:hAnsi="宋体" w:eastAsia="黑体"/>
          <w:color w:val="auto"/>
          <w:highlight w:val="none"/>
        </w:rPr>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2"/>
        <w:rPr>
          <w:rFonts w:hint="default"/>
          <w:color w:val="auto"/>
          <w:highlight w:val="none"/>
          <w:lang w:val="en-US" w:eastAsia="zh-CN"/>
        </w:rPr>
      </w:pPr>
    </w:p>
    <w:sectPr>
      <w:headerReference r:id="rId8" w:type="default"/>
      <w:footerReference r:id="rId9" w:type="default"/>
      <w:pgSz w:w="11906" w:h="16838"/>
      <w:pgMar w:top="1083" w:right="1440" w:bottom="1083" w:left="1440" w:header="851" w:footer="992" w:gutter="0"/>
      <w:pgBorders>
        <w:top w:val="none" w:sz="0" w:space="0"/>
        <w:left w:val="none" w:sz="0" w:space="0"/>
        <w:bottom w:val="none" w:sz="0" w:space="0"/>
        <w:right w:val="none" w:sz="0" w:space="0"/>
      </w:pgBorders>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3BzMwBAACdAwAADgAAAGRycy9lMm9Eb2MueG1srVPNjtMwEL4j8Q6W&#10;79TZskIl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LShy3OPHz92/nH7/OP7+S&#10;ZXX9OkvUB6gx8y5gbhre+gEXZ/YDOjPzQUWbv8iJYBwFPl0ElkMiIj9aLVerCkMCY/MF8dnD8xAh&#10;vZPekmw0NOIEi7D8+AHSmDqn5GrO32pjyhSN+8uBmNnDcu9jj9lKw26YCO18e0I+PQ6/oQ53nRLz&#10;3qG2eU9mI87GbjYOIep9VxYp14Pw5pCwidJbrjDCToVxaoXdtGF5Lf68l6yH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aPcHMzAEAAJ0DAAAOAAAAAAAAAAEAIAAAAB4BAABkcnMvZTJv&#10;RG9jLnhtbFBLBQYAAAAABgAGAFkBAABc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DclssBAACd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bmhxHGLE798/3b58evy8ytZ&#10;VS+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A3JbLAQAAnQMAAA4AAAAAAAAAAQAgAAAAHgEAAGRycy9lMm9E&#10;b2MueG1sUEsFBgAAAAAGAAYAWQEAAFs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24347"/>
    <w:multiLevelType w:val="singleLevel"/>
    <w:tmpl w:val="87724347"/>
    <w:lvl w:ilvl="0" w:tentative="0">
      <w:start w:val="1"/>
      <w:numFmt w:val="decimal"/>
      <w:suff w:val="nothing"/>
      <w:lvlText w:val="%1）"/>
      <w:lvlJc w:val="left"/>
    </w:lvl>
  </w:abstractNum>
  <w:abstractNum w:abstractNumId="1">
    <w:nsid w:val="C0386553"/>
    <w:multiLevelType w:val="singleLevel"/>
    <w:tmpl w:val="C0386553"/>
    <w:lvl w:ilvl="0" w:tentative="0">
      <w:start w:val="1"/>
      <w:numFmt w:val="decimal"/>
      <w:suff w:val="nothing"/>
      <w:lvlText w:val="（%1）"/>
      <w:lvlJc w:val="left"/>
    </w:lvl>
  </w:abstractNum>
  <w:abstractNum w:abstractNumId="2">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32"/>
        <w:szCs w:val="32"/>
      </w:rPr>
    </w:lvl>
    <w:lvl w:ilvl="2" w:tentative="0">
      <w:start w:val="1"/>
      <w:numFmt w:val="decimal"/>
      <w:pStyle w:val="42"/>
      <w:suff w:val="nothing"/>
      <w:lvlText w:val="%1%2.%3　"/>
      <w:lvlJc w:val="left"/>
      <w:pPr>
        <w:ind w:left="426" w:firstLine="0"/>
      </w:pPr>
      <w:rPr>
        <w:rFonts w:hint="eastAsia" w:ascii="黑体" w:hAnsi="Times New Roman" w:eastAsia="黑体"/>
        <w:b w:val="0"/>
        <w:i w:val="0"/>
        <w:sz w:val="28"/>
        <w:szCs w:val="28"/>
      </w:rPr>
    </w:lvl>
    <w:lvl w:ilvl="3" w:tentative="0">
      <w:start w:val="1"/>
      <w:numFmt w:val="decimal"/>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F1EDDAD"/>
    <w:multiLevelType w:val="singleLevel"/>
    <w:tmpl w:val="0F1EDDAD"/>
    <w:lvl w:ilvl="0" w:tentative="0">
      <w:start w:val="1"/>
      <w:numFmt w:val="chineseCounting"/>
      <w:suff w:val="nothing"/>
      <w:lvlText w:val="%1、"/>
      <w:lvlJc w:val="left"/>
      <w:rPr>
        <w:rFonts w:hint="eastAsia"/>
      </w:rPr>
    </w:lvl>
  </w:abstractNum>
  <w:abstractNum w:abstractNumId="4">
    <w:nsid w:val="45B1F8D2"/>
    <w:multiLevelType w:val="singleLevel"/>
    <w:tmpl w:val="45B1F8D2"/>
    <w:lvl w:ilvl="0" w:tentative="0">
      <w:start w:val="1"/>
      <w:numFmt w:val="chineseCounting"/>
      <w:suff w:val="nothing"/>
      <w:lvlText w:val="%1、"/>
      <w:lvlJc w:val="left"/>
      <w:rPr>
        <w:rFonts w:hint="eastAsia"/>
      </w:rPr>
    </w:lvl>
  </w:abstractNum>
  <w:abstractNum w:abstractNumId="5">
    <w:nsid w:val="5154E465"/>
    <w:multiLevelType w:val="singleLevel"/>
    <w:tmpl w:val="5154E465"/>
    <w:lvl w:ilvl="0" w:tentative="0">
      <w:start w:val="1"/>
      <w:numFmt w:val="decimal"/>
      <w:suff w:val="nothing"/>
      <w:lvlText w:val="%1、"/>
      <w:lvlJc w:val="left"/>
    </w:lvl>
  </w:abstractNum>
  <w:abstractNum w:abstractNumId="6">
    <w:nsid w:val="5E5C42FA"/>
    <w:multiLevelType w:val="multilevel"/>
    <w:tmpl w:val="5E5C42FA"/>
    <w:lvl w:ilvl="0" w:tentative="0">
      <w:start w:val="1"/>
      <w:numFmt w:val="decimal"/>
      <w:lvlText w:val="第%1章  "/>
      <w:lvlJc w:val="center"/>
      <w:pPr>
        <w:ind w:left="0" w:firstLine="0"/>
      </w:pPr>
      <w:rPr>
        <w:rFonts w:hint="eastAsia" w:eastAsia="宋体"/>
        <w:b/>
        <w:i w:val="0"/>
        <w:sz w:val="36"/>
      </w:rPr>
    </w:lvl>
    <w:lvl w:ilvl="1" w:tentative="0">
      <w:start w:val="1"/>
      <w:numFmt w:val="decimal"/>
      <w:pStyle w:val="4"/>
      <w:isLgl/>
      <w:lvlText w:val="%1.%2"/>
      <w:lvlJc w:val="left"/>
      <w:pPr>
        <w:tabs>
          <w:tab w:val="left" w:pos="397"/>
        </w:tabs>
        <w:ind w:left="0" w:firstLine="0"/>
      </w:pPr>
      <w:rPr>
        <w:rFonts w:hint="default" w:ascii="Times New Roman" w:hAnsi="Times New Roman" w:eastAsia="宋体"/>
        <w:b/>
        <w:i w:val="0"/>
        <w:sz w:val="30"/>
      </w:rPr>
    </w:lvl>
    <w:lvl w:ilvl="2" w:tentative="0">
      <w:start w:val="1"/>
      <w:numFmt w:val="decimal"/>
      <w:isLgl/>
      <w:lvlText w:val="%1.%2.%3"/>
      <w:lvlJc w:val="left"/>
      <w:pPr>
        <w:tabs>
          <w:tab w:val="left" w:pos="340"/>
        </w:tabs>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val="0"/>
        <w:i w:val="0"/>
        <w:sz w:val="28"/>
      </w:rPr>
    </w:lvl>
    <w:lvl w:ilvl="4" w:tentative="0">
      <w:start w:val="1"/>
      <w:numFmt w:val="decimal"/>
      <w:isLgl/>
      <w:lvlText w:val="%1.%2.%3.%4.%5"/>
      <w:lvlJc w:val="left"/>
      <w:pPr>
        <w:ind w:left="0" w:firstLine="0"/>
      </w:pPr>
      <w:rPr>
        <w:rFonts w:hint="default" w:ascii="Times New Roman" w:hAnsi="Times New Roman" w:eastAsia="宋体"/>
        <w:b w:val="0"/>
        <w:i w:val="0"/>
        <w:sz w:val="28"/>
      </w:rPr>
    </w:lvl>
    <w:lvl w:ilvl="5" w:tentative="0">
      <w:start w:val="1"/>
      <w:numFmt w:val="decimal"/>
      <w:isLgl/>
      <w:lvlText w:val="%1.%2.%3.%4.%5.%6"/>
      <w:lvlJc w:val="left"/>
      <w:pPr>
        <w:ind w:left="0" w:firstLine="0"/>
      </w:pPr>
      <w:rPr>
        <w:rFonts w:hint="default" w:ascii="Times New Roman" w:hAnsi="Times New Roman" w:eastAsia="宋体"/>
        <w:b w:val="0"/>
        <w:i w:val="0"/>
        <w:sz w:val="28"/>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6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jRjY2EwOTMwZTNhZDdjNzExOTY4Yzg1MGNmYWQ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0CE6"/>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2E47F1"/>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3448"/>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2431"/>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21E89"/>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C6241"/>
    <w:rsid w:val="007E4BD2"/>
    <w:rsid w:val="00801393"/>
    <w:rsid w:val="00802F88"/>
    <w:rsid w:val="0081293E"/>
    <w:rsid w:val="00815465"/>
    <w:rsid w:val="00817E9A"/>
    <w:rsid w:val="008306BD"/>
    <w:rsid w:val="00831A80"/>
    <w:rsid w:val="00833743"/>
    <w:rsid w:val="008340A4"/>
    <w:rsid w:val="0087135F"/>
    <w:rsid w:val="00872D94"/>
    <w:rsid w:val="00880364"/>
    <w:rsid w:val="008828D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E4BD3"/>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34B"/>
    <w:rsid w:val="00C704E9"/>
    <w:rsid w:val="00C763C9"/>
    <w:rsid w:val="00C80057"/>
    <w:rsid w:val="00C82232"/>
    <w:rsid w:val="00C82913"/>
    <w:rsid w:val="00C972B1"/>
    <w:rsid w:val="00CA2CCE"/>
    <w:rsid w:val="00CA43FD"/>
    <w:rsid w:val="00CA7EF8"/>
    <w:rsid w:val="00CC489B"/>
    <w:rsid w:val="00CD2BCD"/>
    <w:rsid w:val="00CD3A4C"/>
    <w:rsid w:val="00CD7D55"/>
    <w:rsid w:val="00CE10E9"/>
    <w:rsid w:val="00CE2910"/>
    <w:rsid w:val="00CE5393"/>
    <w:rsid w:val="00CF36BE"/>
    <w:rsid w:val="00CF6000"/>
    <w:rsid w:val="00D003F3"/>
    <w:rsid w:val="00D0364F"/>
    <w:rsid w:val="00D06834"/>
    <w:rsid w:val="00D1114E"/>
    <w:rsid w:val="00D11C85"/>
    <w:rsid w:val="00D308ED"/>
    <w:rsid w:val="00D34DB0"/>
    <w:rsid w:val="00D36D86"/>
    <w:rsid w:val="00D428AA"/>
    <w:rsid w:val="00D50A34"/>
    <w:rsid w:val="00D53EFA"/>
    <w:rsid w:val="00D55966"/>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751BA"/>
    <w:rsid w:val="00E9242D"/>
    <w:rsid w:val="00EB5255"/>
    <w:rsid w:val="00EB5C47"/>
    <w:rsid w:val="00ED0639"/>
    <w:rsid w:val="00EF4755"/>
    <w:rsid w:val="00EF7135"/>
    <w:rsid w:val="00F027DB"/>
    <w:rsid w:val="00F14A7A"/>
    <w:rsid w:val="00F22985"/>
    <w:rsid w:val="00F244A0"/>
    <w:rsid w:val="00F26B9E"/>
    <w:rsid w:val="00F3383E"/>
    <w:rsid w:val="00F465A7"/>
    <w:rsid w:val="00F50B7C"/>
    <w:rsid w:val="00F550E6"/>
    <w:rsid w:val="00F67BFB"/>
    <w:rsid w:val="00F74345"/>
    <w:rsid w:val="00F80A0A"/>
    <w:rsid w:val="00F82B19"/>
    <w:rsid w:val="00F9212D"/>
    <w:rsid w:val="00F965DA"/>
    <w:rsid w:val="00FA406A"/>
    <w:rsid w:val="00FB503A"/>
    <w:rsid w:val="00FB516C"/>
    <w:rsid w:val="00FD0236"/>
    <w:rsid w:val="00FD18F4"/>
    <w:rsid w:val="00FD54DB"/>
    <w:rsid w:val="00FD619F"/>
    <w:rsid w:val="01290F7E"/>
    <w:rsid w:val="015D1E09"/>
    <w:rsid w:val="019E175F"/>
    <w:rsid w:val="01C21BD8"/>
    <w:rsid w:val="02300A11"/>
    <w:rsid w:val="02697903"/>
    <w:rsid w:val="02B6365A"/>
    <w:rsid w:val="02F96569"/>
    <w:rsid w:val="038E6B36"/>
    <w:rsid w:val="03EA58E6"/>
    <w:rsid w:val="03EA7B21"/>
    <w:rsid w:val="056A1C9B"/>
    <w:rsid w:val="05F833AB"/>
    <w:rsid w:val="05F83EAE"/>
    <w:rsid w:val="063E7D85"/>
    <w:rsid w:val="06FD7370"/>
    <w:rsid w:val="07293586"/>
    <w:rsid w:val="07295285"/>
    <w:rsid w:val="07636392"/>
    <w:rsid w:val="07770C56"/>
    <w:rsid w:val="08E45565"/>
    <w:rsid w:val="092217DD"/>
    <w:rsid w:val="093A7294"/>
    <w:rsid w:val="0943620D"/>
    <w:rsid w:val="098D652B"/>
    <w:rsid w:val="0A263993"/>
    <w:rsid w:val="0A2D3AC2"/>
    <w:rsid w:val="0AA755DF"/>
    <w:rsid w:val="0AC97464"/>
    <w:rsid w:val="0ACA52EB"/>
    <w:rsid w:val="0B1038EC"/>
    <w:rsid w:val="0B120D44"/>
    <w:rsid w:val="0BD27BF6"/>
    <w:rsid w:val="0C3B3C7D"/>
    <w:rsid w:val="0CAB2EAE"/>
    <w:rsid w:val="0D621C7D"/>
    <w:rsid w:val="0D676DEC"/>
    <w:rsid w:val="0D7B5B95"/>
    <w:rsid w:val="0E73034D"/>
    <w:rsid w:val="0F13775A"/>
    <w:rsid w:val="0F587DCB"/>
    <w:rsid w:val="0F5F45FE"/>
    <w:rsid w:val="0F9A112B"/>
    <w:rsid w:val="10467B9C"/>
    <w:rsid w:val="105F1319"/>
    <w:rsid w:val="106D2F64"/>
    <w:rsid w:val="10B63710"/>
    <w:rsid w:val="10B72C1B"/>
    <w:rsid w:val="10F10820"/>
    <w:rsid w:val="111C2F7A"/>
    <w:rsid w:val="11665CA1"/>
    <w:rsid w:val="11E72010"/>
    <w:rsid w:val="12BD50B4"/>
    <w:rsid w:val="12C14A42"/>
    <w:rsid w:val="13951726"/>
    <w:rsid w:val="13CB1888"/>
    <w:rsid w:val="142554A7"/>
    <w:rsid w:val="14396509"/>
    <w:rsid w:val="14DD2C3C"/>
    <w:rsid w:val="1505553D"/>
    <w:rsid w:val="16087E1D"/>
    <w:rsid w:val="16BD0CD7"/>
    <w:rsid w:val="16E83A00"/>
    <w:rsid w:val="17701D14"/>
    <w:rsid w:val="17735226"/>
    <w:rsid w:val="182134C1"/>
    <w:rsid w:val="189F624C"/>
    <w:rsid w:val="1A1C66C0"/>
    <w:rsid w:val="1A42393B"/>
    <w:rsid w:val="1AAD45DE"/>
    <w:rsid w:val="1B046F80"/>
    <w:rsid w:val="1B1A60FC"/>
    <w:rsid w:val="1B3267B5"/>
    <w:rsid w:val="1B40161D"/>
    <w:rsid w:val="1B441859"/>
    <w:rsid w:val="1B6606B1"/>
    <w:rsid w:val="1BA45AE6"/>
    <w:rsid w:val="1BB67591"/>
    <w:rsid w:val="1BD4075E"/>
    <w:rsid w:val="1C5E7925"/>
    <w:rsid w:val="1CE26A57"/>
    <w:rsid w:val="1CFD070F"/>
    <w:rsid w:val="1D1204EE"/>
    <w:rsid w:val="1D5F6196"/>
    <w:rsid w:val="1D6132A5"/>
    <w:rsid w:val="1D8E56D5"/>
    <w:rsid w:val="1E217F5E"/>
    <w:rsid w:val="1E7A43DA"/>
    <w:rsid w:val="1E9276D8"/>
    <w:rsid w:val="1F7C703B"/>
    <w:rsid w:val="1FE7539E"/>
    <w:rsid w:val="20454564"/>
    <w:rsid w:val="204F5A43"/>
    <w:rsid w:val="20671BE0"/>
    <w:rsid w:val="20963CB8"/>
    <w:rsid w:val="20A81A1B"/>
    <w:rsid w:val="20B07FB6"/>
    <w:rsid w:val="20B646FB"/>
    <w:rsid w:val="213B74B1"/>
    <w:rsid w:val="215A2310"/>
    <w:rsid w:val="218F22E9"/>
    <w:rsid w:val="21BC29C9"/>
    <w:rsid w:val="21DE318A"/>
    <w:rsid w:val="21EF5B80"/>
    <w:rsid w:val="221D5237"/>
    <w:rsid w:val="22576990"/>
    <w:rsid w:val="22F47480"/>
    <w:rsid w:val="23141A33"/>
    <w:rsid w:val="232C0139"/>
    <w:rsid w:val="23DE1C48"/>
    <w:rsid w:val="240210CD"/>
    <w:rsid w:val="24BF09F7"/>
    <w:rsid w:val="252D53FE"/>
    <w:rsid w:val="25EC2D81"/>
    <w:rsid w:val="26273226"/>
    <w:rsid w:val="268D71A1"/>
    <w:rsid w:val="27673767"/>
    <w:rsid w:val="277057A2"/>
    <w:rsid w:val="27FC174F"/>
    <w:rsid w:val="281A4A03"/>
    <w:rsid w:val="286B6D1D"/>
    <w:rsid w:val="286E5955"/>
    <w:rsid w:val="28C21749"/>
    <w:rsid w:val="291B130B"/>
    <w:rsid w:val="29206EB8"/>
    <w:rsid w:val="29595666"/>
    <w:rsid w:val="29874881"/>
    <w:rsid w:val="29E325E0"/>
    <w:rsid w:val="2A452503"/>
    <w:rsid w:val="2A783C63"/>
    <w:rsid w:val="2BA936A8"/>
    <w:rsid w:val="2BC113B8"/>
    <w:rsid w:val="2C0E1FB8"/>
    <w:rsid w:val="2C315A5A"/>
    <w:rsid w:val="2C4B1C25"/>
    <w:rsid w:val="2D8B401F"/>
    <w:rsid w:val="2D9E56F5"/>
    <w:rsid w:val="2E092B42"/>
    <w:rsid w:val="2E667F96"/>
    <w:rsid w:val="2E775E3B"/>
    <w:rsid w:val="2E8226AB"/>
    <w:rsid w:val="2EBF3988"/>
    <w:rsid w:val="2F30027A"/>
    <w:rsid w:val="2FD065E6"/>
    <w:rsid w:val="2FD53B1A"/>
    <w:rsid w:val="2FD96870"/>
    <w:rsid w:val="30580BC9"/>
    <w:rsid w:val="30D34ADE"/>
    <w:rsid w:val="31021A88"/>
    <w:rsid w:val="311E2ED7"/>
    <w:rsid w:val="312A7CA4"/>
    <w:rsid w:val="315619EE"/>
    <w:rsid w:val="315C449C"/>
    <w:rsid w:val="31B82709"/>
    <w:rsid w:val="31D05482"/>
    <w:rsid w:val="32400B34"/>
    <w:rsid w:val="32796BC7"/>
    <w:rsid w:val="328079B6"/>
    <w:rsid w:val="329E6876"/>
    <w:rsid w:val="333015F2"/>
    <w:rsid w:val="334407F8"/>
    <w:rsid w:val="334B6320"/>
    <w:rsid w:val="33D934D4"/>
    <w:rsid w:val="33F91ED9"/>
    <w:rsid w:val="33FE2F6A"/>
    <w:rsid w:val="340E07E5"/>
    <w:rsid w:val="34181F9A"/>
    <w:rsid w:val="34235BF7"/>
    <w:rsid w:val="349A4AA4"/>
    <w:rsid w:val="34E52C37"/>
    <w:rsid w:val="34E909A5"/>
    <w:rsid w:val="355F439E"/>
    <w:rsid w:val="358C5FA8"/>
    <w:rsid w:val="35C15DF1"/>
    <w:rsid w:val="36020802"/>
    <w:rsid w:val="36074A7F"/>
    <w:rsid w:val="36923549"/>
    <w:rsid w:val="36B75FBF"/>
    <w:rsid w:val="36BD0C45"/>
    <w:rsid w:val="372A07DD"/>
    <w:rsid w:val="373A3708"/>
    <w:rsid w:val="374A2ADA"/>
    <w:rsid w:val="37E00298"/>
    <w:rsid w:val="38B302F9"/>
    <w:rsid w:val="38F12CD3"/>
    <w:rsid w:val="38F45072"/>
    <w:rsid w:val="38F94775"/>
    <w:rsid w:val="392971ED"/>
    <w:rsid w:val="39325651"/>
    <w:rsid w:val="39C12782"/>
    <w:rsid w:val="39F23A32"/>
    <w:rsid w:val="3A872856"/>
    <w:rsid w:val="3AF709F9"/>
    <w:rsid w:val="3B0D0726"/>
    <w:rsid w:val="3B3763D1"/>
    <w:rsid w:val="3C2F6E1E"/>
    <w:rsid w:val="3C4F64BA"/>
    <w:rsid w:val="3CA4627E"/>
    <w:rsid w:val="3CA92F61"/>
    <w:rsid w:val="3CDA245A"/>
    <w:rsid w:val="3D1E06B7"/>
    <w:rsid w:val="3E5325C6"/>
    <w:rsid w:val="3EDA0523"/>
    <w:rsid w:val="3F1E1705"/>
    <w:rsid w:val="3F6B161E"/>
    <w:rsid w:val="3FED5635"/>
    <w:rsid w:val="407A6407"/>
    <w:rsid w:val="40F40707"/>
    <w:rsid w:val="40F50D97"/>
    <w:rsid w:val="4200449D"/>
    <w:rsid w:val="423A3BCC"/>
    <w:rsid w:val="424E57D2"/>
    <w:rsid w:val="42B26C49"/>
    <w:rsid w:val="42E7494D"/>
    <w:rsid w:val="433A6FE6"/>
    <w:rsid w:val="4342237B"/>
    <w:rsid w:val="43480868"/>
    <w:rsid w:val="4350713C"/>
    <w:rsid w:val="436653E0"/>
    <w:rsid w:val="43C4431A"/>
    <w:rsid w:val="43FF367D"/>
    <w:rsid w:val="44602E7F"/>
    <w:rsid w:val="446775F4"/>
    <w:rsid w:val="44B951CC"/>
    <w:rsid w:val="44CD14E0"/>
    <w:rsid w:val="44D6062D"/>
    <w:rsid w:val="44F20B0B"/>
    <w:rsid w:val="452E5F4C"/>
    <w:rsid w:val="45612018"/>
    <w:rsid w:val="458946E9"/>
    <w:rsid w:val="45A47C0E"/>
    <w:rsid w:val="462E614B"/>
    <w:rsid w:val="46577FD6"/>
    <w:rsid w:val="465D5E91"/>
    <w:rsid w:val="46976833"/>
    <w:rsid w:val="46D955A7"/>
    <w:rsid w:val="47133957"/>
    <w:rsid w:val="47A07E0C"/>
    <w:rsid w:val="4870272E"/>
    <w:rsid w:val="48C24A3A"/>
    <w:rsid w:val="4931445C"/>
    <w:rsid w:val="49BB5BEF"/>
    <w:rsid w:val="49DC7715"/>
    <w:rsid w:val="4A023139"/>
    <w:rsid w:val="4A7B576F"/>
    <w:rsid w:val="4A977553"/>
    <w:rsid w:val="4AF561A9"/>
    <w:rsid w:val="4BB21261"/>
    <w:rsid w:val="4C4A0649"/>
    <w:rsid w:val="4C7E5ECA"/>
    <w:rsid w:val="4C876AA5"/>
    <w:rsid w:val="4C8B53F7"/>
    <w:rsid w:val="4D0E00FB"/>
    <w:rsid w:val="4D176606"/>
    <w:rsid w:val="4D4B6694"/>
    <w:rsid w:val="4D79531F"/>
    <w:rsid w:val="4D844825"/>
    <w:rsid w:val="4DEC4FB0"/>
    <w:rsid w:val="4E075D8A"/>
    <w:rsid w:val="4E80437D"/>
    <w:rsid w:val="4E8C6E93"/>
    <w:rsid w:val="4EC00FAD"/>
    <w:rsid w:val="4F9843DC"/>
    <w:rsid w:val="4FA95D81"/>
    <w:rsid w:val="4FC62A8C"/>
    <w:rsid w:val="4FE20F0D"/>
    <w:rsid w:val="4FE51552"/>
    <w:rsid w:val="4FEE1770"/>
    <w:rsid w:val="501F49FD"/>
    <w:rsid w:val="50504C4B"/>
    <w:rsid w:val="509C6E7C"/>
    <w:rsid w:val="509E38D2"/>
    <w:rsid w:val="512B60FD"/>
    <w:rsid w:val="5162104E"/>
    <w:rsid w:val="518E6718"/>
    <w:rsid w:val="51AB479B"/>
    <w:rsid w:val="52197C53"/>
    <w:rsid w:val="525E561B"/>
    <w:rsid w:val="52FB705C"/>
    <w:rsid w:val="53A039CC"/>
    <w:rsid w:val="53A1505A"/>
    <w:rsid w:val="54063E08"/>
    <w:rsid w:val="543437E8"/>
    <w:rsid w:val="54F73313"/>
    <w:rsid w:val="54F80955"/>
    <w:rsid w:val="555170A7"/>
    <w:rsid w:val="5587536D"/>
    <w:rsid w:val="559B174B"/>
    <w:rsid w:val="55C820C3"/>
    <w:rsid w:val="55CE0CF4"/>
    <w:rsid w:val="56B22A9C"/>
    <w:rsid w:val="579A73E8"/>
    <w:rsid w:val="57B72A76"/>
    <w:rsid w:val="57C3426C"/>
    <w:rsid w:val="57CE1F93"/>
    <w:rsid w:val="588743D1"/>
    <w:rsid w:val="5887701A"/>
    <w:rsid w:val="597152D9"/>
    <w:rsid w:val="59A90BFD"/>
    <w:rsid w:val="59C0439F"/>
    <w:rsid w:val="5ABE2233"/>
    <w:rsid w:val="5BDF5D95"/>
    <w:rsid w:val="5BFE7528"/>
    <w:rsid w:val="5CCA0D08"/>
    <w:rsid w:val="5E2467F1"/>
    <w:rsid w:val="5E7D5134"/>
    <w:rsid w:val="5F1A2B43"/>
    <w:rsid w:val="5F9702DC"/>
    <w:rsid w:val="5FB837BB"/>
    <w:rsid w:val="60CC405A"/>
    <w:rsid w:val="618122FF"/>
    <w:rsid w:val="61E215D8"/>
    <w:rsid w:val="621B3775"/>
    <w:rsid w:val="62364782"/>
    <w:rsid w:val="6394356A"/>
    <w:rsid w:val="63A15577"/>
    <w:rsid w:val="63C61B2C"/>
    <w:rsid w:val="63D40BE9"/>
    <w:rsid w:val="64102431"/>
    <w:rsid w:val="64622E98"/>
    <w:rsid w:val="64857682"/>
    <w:rsid w:val="64A5243A"/>
    <w:rsid w:val="64F531DE"/>
    <w:rsid w:val="65373578"/>
    <w:rsid w:val="65BC2D8F"/>
    <w:rsid w:val="65C23EE5"/>
    <w:rsid w:val="67071628"/>
    <w:rsid w:val="671F124A"/>
    <w:rsid w:val="677A33C6"/>
    <w:rsid w:val="681F6961"/>
    <w:rsid w:val="68610A2F"/>
    <w:rsid w:val="68805514"/>
    <w:rsid w:val="68CF2AD3"/>
    <w:rsid w:val="69316E2F"/>
    <w:rsid w:val="694E2071"/>
    <w:rsid w:val="69766163"/>
    <w:rsid w:val="697A3B33"/>
    <w:rsid w:val="69D44760"/>
    <w:rsid w:val="69DA6EA2"/>
    <w:rsid w:val="6A520EC7"/>
    <w:rsid w:val="6AF87E20"/>
    <w:rsid w:val="6B322639"/>
    <w:rsid w:val="6B6B127E"/>
    <w:rsid w:val="6C3F77E1"/>
    <w:rsid w:val="6C636C38"/>
    <w:rsid w:val="6DB34098"/>
    <w:rsid w:val="6DB36BB9"/>
    <w:rsid w:val="6DB545B6"/>
    <w:rsid w:val="6DE02FB4"/>
    <w:rsid w:val="6E514CED"/>
    <w:rsid w:val="6EB563D5"/>
    <w:rsid w:val="6ED92677"/>
    <w:rsid w:val="6EDB070C"/>
    <w:rsid w:val="6F225983"/>
    <w:rsid w:val="6FC42A36"/>
    <w:rsid w:val="6FC82C87"/>
    <w:rsid w:val="6FDA1311"/>
    <w:rsid w:val="6FFC5590"/>
    <w:rsid w:val="706D1DD0"/>
    <w:rsid w:val="70856B87"/>
    <w:rsid w:val="70AE3508"/>
    <w:rsid w:val="70D527EE"/>
    <w:rsid w:val="715B5300"/>
    <w:rsid w:val="71D27F8A"/>
    <w:rsid w:val="724C1AB8"/>
    <w:rsid w:val="72553024"/>
    <w:rsid w:val="72EB45EE"/>
    <w:rsid w:val="73122968"/>
    <w:rsid w:val="731F5D5E"/>
    <w:rsid w:val="734F5AEC"/>
    <w:rsid w:val="73711050"/>
    <w:rsid w:val="73C51AD5"/>
    <w:rsid w:val="741E793C"/>
    <w:rsid w:val="745E3944"/>
    <w:rsid w:val="75897A1E"/>
    <w:rsid w:val="76314A47"/>
    <w:rsid w:val="7635099D"/>
    <w:rsid w:val="7644531F"/>
    <w:rsid w:val="764903EC"/>
    <w:rsid w:val="769945D9"/>
    <w:rsid w:val="77762421"/>
    <w:rsid w:val="77B56B1F"/>
    <w:rsid w:val="77E42856"/>
    <w:rsid w:val="780F09F4"/>
    <w:rsid w:val="782C352A"/>
    <w:rsid w:val="788B5B3C"/>
    <w:rsid w:val="78A14F7E"/>
    <w:rsid w:val="78A90480"/>
    <w:rsid w:val="7A364017"/>
    <w:rsid w:val="7A8265E1"/>
    <w:rsid w:val="7AEB51CD"/>
    <w:rsid w:val="7B686D42"/>
    <w:rsid w:val="7B841746"/>
    <w:rsid w:val="7C6C5AC7"/>
    <w:rsid w:val="7CB31ABE"/>
    <w:rsid w:val="7CC6544B"/>
    <w:rsid w:val="7CDB073F"/>
    <w:rsid w:val="7D0239FF"/>
    <w:rsid w:val="7D3354C1"/>
    <w:rsid w:val="7D5E40CD"/>
    <w:rsid w:val="7D773576"/>
    <w:rsid w:val="7DCD56F2"/>
    <w:rsid w:val="7EEA7E01"/>
    <w:rsid w:val="7F001CE7"/>
    <w:rsid w:val="7FE47E50"/>
    <w:rsid w:val="7FE70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numPr>
        <w:ilvl w:val="1"/>
        <w:numId w:val="1"/>
      </w:numPr>
      <w:tabs>
        <w:tab w:val="left" w:pos="567"/>
        <w:tab w:val="clear" w:pos="397"/>
      </w:tabs>
      <w:spacing w:line="560" w:lineRule="exact"/>
      <w:jc w:val="left"/>
      <w:outlineLvl w:val="1"/>
    </w:pPr>
    <w:rPr>
      <w:rFonts w:ascii="Cambria" w:hAnsi="Cambria"/>
      <w:b/>
      <w:bCs/>
      <w:sz w:val="30"/>
      <w:szCs w:val="32"/>
    </w:rPr>
  </w:style>
  <w:style w:type="paragraph" w:styleId="5">
    <w:name w:val="heading 3"/>
    <w:basedOn w:val="1"/>
    <w:next w:val="1"/>
    <w:qFormat/>
    <w:locked/>
    <w:uiPriority w:val="9"/>
    <w:pPr>
      <w:keepNext/>
      <w:keepLines/>
      <w:spacing w:before="260" w:after="260" w:line="416" w:lineRule="auto"/>
      <w:outlineLvl w:val="2"/>
    </w:pPr>
    <w:rPr>
      <w:b/>
      <w:bCs/>
      <w:sz w:val="32"/>
      <w:szCs w:val="32"/>
    </w:rPr>
  </w:style>
  <w:style w:type="paragraph" w:styleId="6">
    <w:name w:val="heading 4"/>
    <w:basedOn w:val="5"/>
    <w:next w:val="1"/>
    <w:unhideWhenUsed/>
    <w:qFormat/>
    <w:locked/>
    <w:uiPriority w:val="0"/>
    <w:pPr>
      <w:keepNext/>
      <w:keepLines/>
      <w:spacing w:line="360" w:lineRule="auto"/>
      <w:ind w:firstLine="0" w:firstLineChars="0"/>
      <w:outlineLvl w:val="3"/>
    </w:pPr>
    <w:rPr>
      <w:rFonts w:ascii="Times New Roman" w:hAnsi="Times New Roman" w:cs="宋体"/>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9"/>
    <w:qFormat/>
    <w:uiPriority w:val="0"/>
    <w:pPr>
      <w:widowControl/>
      <w:snapToGrid w:val="0"/>
      <w:spacing w:before="60" w:after="160" w:line="259" w:lineRule="auto"/>
      <w:ind w:right="113"/>
    </w:pPr>
    <w:rPr>
      <w:kern w:val="0"/>
      <w:sz w:val="18"/>
      <w:szCs w:val="20"/>
    </w:rPr>
  </w:style>
  <w:style w:type="paragraph" w:styleId="7">
    <w:name w:val="table of authorities"/>
    <w:basedOn w:val="1"/>
    <w:next w:val="1"/>
    <w:qFormat/>
    <w:locked/>
    <w:uiPriority w:val="0"/>
    <w:pPr>
      <w:ind w:left="420" w:leftChars="200"/>
    </w:pPr>
  </w:style>
  <w:style w:type="paragraph" w:styleId="8">
    <w:name w:val="Normal Indent"/>
    <w:basedOn w:val="1"/>
    <w:qFormat/>
    <w:locked/>
    <w:uiPriority w:val="0"/>
    <w:pPr>
      <w:ind w:firstLine="420" w:firstLineChars="200"/>
    </w:pPr>
    <w:rPr>
      <w:rFonts w:ascii="宋体" w:hAnsi="宋体"/>
    </w:rPr>
  </w:style>
  <w:style w:type="paragraph" w:styleId="9">
    <w:name w:val="caption"/>
    <w:basedOn w:val="1"/>
    <w:next w:val="10"/>
    <w:qFormat/>
    <w:locked/>
    <w:uiPriority w:val="0"/>
    <w:pPr>
      <w:spacing w:line="360" w:lineRule="auto"/>
      <w:ind w:firstLine="200" w:firstLineChars="200"/>
    </w:pPr>
    <w:rPr>
      <w:rFonts w:ascii="Arial" w:hAnsi="Arial" w:eastAsia="黑体" w:cs="Arial"/>
      <w:sz w:val="20"/>
      <w:szCs w:val="20"/>
    </w:rPr>
  </w:style>
  <w:style w:type="paragraph" w:styleId="10">
    <w:name w:val="Body Text First Indent"/>
    <w:basedOn w:val="2"/>
    <w:next w:val="1"/>
    <w:qFormat/>
    <w:locked/>
    <w:uiPriority w:val="0"/>
    <w:pPr>
      <w:spacing w:after="0" w:line="360" w:lineRule="auto"/>
      <w:ind w:firstLine="1440" w:firstLineChars="200"/>
    </w:pPr>
    <w:rPr>
      <w:sz w:val="24"/>
    </w:rPr>
  </w:style>
  <w:style w:type="paragraph" w:styleId="11">
    <w:name w:val="annotation text"/>
    <w:basedOn w:val="1"/>
    <w:link w:val="30"/>
    <w:semiHidden/>
    <w:qFormat/>
    <w:uiPriority w:val="0"/>
    <w:pPr>
      <w:jc w:val="left"/>
    </w:pPr>
    <w:rPr>
      <w:kern w:val="0"/>
      <w:sz w:val="24"/>
      <w:szCs w:val="20"/>
    </w:rPr>
  </w:style>
  <w:style w:type="paragraph" w:styleId="12">
    <w:name w:val="Body Text Indent"/>
    <w:basedOn w:val="1"/>
    <w:link w:val="31"/>
    <w:qFormat/>
    <w:uiPriority w:val="0"/>
    <w:pPr>
      <w:spacing w:after="120"/>
      <w:ind w:left="420" w:leftChars="200"/>
    </w:pPr>
    <w:rPr>
      <w:kern w:val="0"/>
      <w:sz w:val="24"/>
      <w:szCs w:val="20"/>
    </w:rPr>
  </w:style>
  <w:style w:type="paragraph" w:styleId="13">
    <w:name w:val="Date"/>
    <w:basedOn w:val="1"/>
    <w:next w:val="1"/>
    <w:link w:val="32"/>
    <w:qFormat/>
    <w:uiPriority w:val="0"/>
    <w:pPr>
      <w:ind w:left="100" w:leftChars="2500"/>
    </w:pPr>
    <w:rPr>
      <w:kern w:val="0"/>
      <w:sz w:val="24"/>
      <w:szCs w:val="20"/>
    </w:rPr>
  </w:style>
  <w:style w:type="paragraph" w:styleId="14">
    <w:name w:val="Body Text Indent 2"/>
    <w:basedOn w:val="1"/>
    <w:qFormat/>
    <w:locked/>
    <w:uiPriority w:val="0"/>
    <w:pPr>
      <w:spacing w:after="120" w:line="480" w:lineRule="auto"/>
      <w:ind w:left="420" w:leftChars="200"/>
    </w:pPr>
  </w:style>
  <w:style w:type="paragraph" w:styleId="15">
    <w:name w:val="Balloon Text"/>
    <w:basedOn w:val="1"/>
    <w:link w:val="33"/>
    <w:semiHidden/>
    <w:qFormat/>
    <w:uiPriority w:val="0"/>
    <w:rPr>
      <w:kern w:val="0"/>
      <w:sz w:val="18"/>
      <w:szCs w:val="20"/>
    </w:rPr>
  </w:style>
  <w:style w:type="paragraph" w:styleId="16">
    <w:name w:val="footer"/>
    <w:basedOn w:val="1"/>
    <w:link w:val="34"/>
    <w:qFormat/>
    <w:uiPriority w:val="99"/>
    <w:pPr>
      <w:tabs>
        <w:tab w:val="center" w:pos="4153"/>
        <w:tab w:val="right" w:pos="8306"/>
      </w:tabs>
      <w:snapToGrid w:val="0"/>
      <w:jc w:val="left"/>
    </w:pPr>
    <w:rPr>
      <w:kern w:val="0"/>
      <w:sz w:val="18"/>
      <w:szCs w:val="20"/>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index heading"/>
    <w:basedOn w:val="1"/>
    <w:next w:val="19"/>
    <w:qFormat/>
    <w:locked/>
    <w:uiPriority w:val="99"/>
    <w:rPr>
      <w:szCs w:val="20"/>
    </w:rPr>
  </w:style>
  <w:style w:type="paragraph" w:styleId="19">
    <w:name w:val="index 1"/>
    <w:basedOn w:val="1"/>
    <w:next w:val="1"/>
    <w:unhideWhenUsed/>
    <w:qFormat/>
    <w:locked/>
    <w:uiPriority w:val="0"/>
  </w:style>
  <w:style w:type="paragraph" w:styleId="20">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11"/>
    <w:next w:val="11"/>
    <w:link w:val="37"/>
    <w:semiHidden/>
    <w:qFormat/>
    <w:uiPriority w:val="0"/>
    <w:rPr>
      <w:b/>
      <w:kern w:val="2"/>
    </w:rPr>
  </w:style>
  <w:style w:type="paragraph" w:styleId="22">
    <w:name w:val="Body Text First Indent 2"/>
    <w:basedOn w:val="12"/>
    <w:next w:val="1"/>
    <w:qFormat/>
    <w:locked/>
    <w:uiPriority w:val="0"/>
    <w:pPr>
      <w:spacing w:line="240" w:lineRule="auto"/>
      <w:ind w:firstLine="420"/>
    </w:pPr>
    <w:rPr>
      <w:sz w:val="21"/>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locked/>
    <w:uiPriority w:val="0"/>
  </w:style>
  <w:style w:type="character" w:styleId="27">
    <w:name w:val="Hyperlink"/>
    <w:basedOn w:val="25"/>
    <w:qFormat/>
    <w:locked/>
    <w:uiPriority w:val="0"/>
    <w:rPr>
      <w:color w:val="0000FF"/>
      <w:u w:val="single"/>
    </w:rPr>
  </w:style>
  <w:style w:type="character" w:styleId="28">
    <w:name w:val="annotation reference"/>
    <w:semiHidden/>
    <w:qFormat/>
    <w:uiPriority w:val="0"/>
    <w:rPr>
      <w:sz w:val="21"/>
    </w:rPr>
  </w:style>
  <w:style w:type="character" w:customStyle="1" w:styleId="29">
    <w:name w:val="正文文本 字符"/>
    <w:link w:val="2"/>
    <w:qFormat/>
    <w:locked/>
    <w:uiPriority w:val="0"/>
    <w:rPr>
      <w:sz w:val="18"/>
    </w:rPr>
  </w:style>
  <w:style w:type="character" w:customStyle="1" w:styleId="30">
    <w:name w:val="批注文字 字符"/>
    <w:link w:val="11"/>
    <w:qFormat/>
    <w:locked/>
    <w:uiPriority w:val="0"/>
    <w:rPr>
      <w:rFonts w:ascii="Times New Roman" w:hAnsi="Times New Roman" w:eastAsia="宋体"/>
      <w:sz w:val="24"/>
    </w:rPr>
  </w:style>
  <w:style w:type="character" w:customStyle="1" w:styleId="31">
    <w:name w:val="正文文本缩进 字符"/>
    <w:link w:val="12"/>
    <w:semiHidden/>
    <w:qFormat/>
    <w:locked/>
    <w:uiPriority w:val="0"/>
    <w:rPr>
      <w:rFonts w:ascii="Times New Roman" w:hAnsi="Times New Roman" w:eastAsia="宋体"/>
      <w:sz w:val="24"/>
    </w:rPr>
  </w:style>
  <w:style w:type="character" w:customStyle="1" w:styleId="32">
    <w:name w:val="日期 字符1"/>
    <w:link w:val="13"/>
    <w:qFormat/>
    <w:locked/>
    <w:uiPriority w:val="0"/>
    <w:rPr>
      <w:rFonts w:ascii="Times New Roman" w:hAnsi="Times New Roman" w:eastAsia="宋体"/>
      <w:sz w:val="24"/>
    </w:rPr>
  </w:style>
  <w:style w:type="character" w:customStyle="1" w:styleId="33">
    <w:name w:val="批注框文本 字符"/>
    <w:link w:val="15"/>
    <w:semiHidden/>
    <w:qFormat/>
    <w:locked/>
    <w:uiPriority w:val="0"/>
    <w:rPr>
      <w:rFonts w:ascii="Times New Roman" w:hAnsi="Times New Roman" w:eastAsia="宋体"/>
      <w:sz w:val="18"/>
    </w:rPr>
  </w:style>
  <w:style w:type="character" w:customStyle="1" w:styleId="34">
    <w:name w:val="页脚 字符1"/>
    <w:link w:val="16"/>
    <w:qFormat/>
    <w:locked/>
    <w:uiPriority w:val="99"/>
    <w:rPr>
      <w:sz w:val="18"/>
    </w:rPr>
  </w:style>
  <w:style w:type="character" w:customStyle="1" w:styleId="35">
    <w:name w:val="页眉 字符"/>
    <w:link w:val="17"/>
    <w:qFormat/>
    <w:locked/>
    <w:uiPriority w:val="0"/>
    <w:rPr>
      <w:sz w:val="18"/>
    </w:rPr>
  </w:style>
  <w:style w:type="character" w:customStyle="1" w:styleId="36">
    <w:name w:val="普通(网站) 字符"/>
    <w:link w:val="20"/>
    <w:qFormat/>
    <w:locked/>
    <w:uiPriority w:val="0"/>
    <w:rPr>
      <w:rFonts w:ascii="宋体" w:hAnsi="宋体" w:eastAsia="宋体"/>
      <w:sz w:val="24"/>
    </w:rPr>
  </w:style>
  <w:style w:type="character" w:customStyle="1" w:styleId="37">
    <w:name w:val="批注主题 字符"/>
    <w:link w:val="21"/>
    <w:semiHidden/>
    <w:qFormat/>
    <w:locked/>
    <w:uiPriority w:val="0"/>
    <w:rPr>
      <w:rFonts w:ascii="Times New Roman" w:hAnsi="Times New Roman" w:eastAsia="宋体"/>
      <w:b/>
      <w:kern w:val="2"/>
      <w:sz w:val="24"/>
    </w:rPr>
  </w:style>
  <w:style w:type="paragraph" w:customStyle="1" w:styleId="38">
    <w:name w:val="xl27"/>
    <w:basedOn w:val="7"/>
    <w:qFormat/>
    <w:uiPriority w:val="0"/>
    <w:pPr>
      <w:widowControl/>
      <w:pBdr>
        <w:bottom w:val="single" w:color="auto" w:sz="12" w:space="0"/>
      </w:pBdr>
      <w:spacing w:before="100" w:after="100"/>
      <w:jc w:val="center"/>
    </w:pPr>
    <w:rPr>
      <w:rFonts w:ascii="宋体" w:hAnsi="宋体" w:eastAsia="宋体" w:cs="Times New Roman"/>
      <w:kern w:val="0"/>
      <w:szCs w:val="20"/>
    </w:rPr>
  </w:style>
  <w:style w:type="paragraph" w:customStyle="1" w:styleId="39">
    <w:name w:val="四级条标题"/>
    <w:basedOn w:val="40"/>
    <w:next w:val="44"/>
    <w:qFormat/>
    <w:uiPriority w:val="0"/>
    <w:pPr>
      <w:outlineLvl w:val="5"/>
    </w:pPr>
    <w:rPr>
      <w:szCs w:val="20"/>
    </w:rPr>
  </w:style>
  <w:style w:type="paragraph" w:customStyle="1" w:styleId="40">
    <w:name w:val="三级条标题"/>
    <w:basedOn w:val="41"/>
    <w:next w:val="44"/>
    <w:qFormat/>
    <w:uiPriority w:val="0"/>
    <w:pPr>
      <w:outlineLvl w:val="4"/>
    </w:pPr>
  </w:style>
  <w:style w:type="paragraph" w:customStyle="1" w:styleId="41">
    <w:name w:val="二级条标题"/>
    <w:basedOn w:val="42"/>
    <w:next w:val="44"/>
    <w:qFormat/>
    <w:uiPriority w:val="0"/>
    <w:pPr>
      <w:outlineLvl w:val="3"/>
    </w:pPr>
    <w:rPr>
      <w:rFonts w:ascii="Times New Roman" w:hAnsi="Times New Roman" w:eastAsia="宋体" w:cs="Times New Roman"/>
      <w:lang w:val="en-US" w:eastAsia="zh-CN" w:bidi="ar-SA"/>
    </w:rPr>
  </w:style>
  <w:style w:type="paragraph" w:customStyle="1" w:styleId="42">
    <w:name w:val="一级条标题"/>
    <w:basedOn w:val="43"/>
    <w:next w:val="44"/>
    <w:qFormat/>
    <w:uiPriority w:val="0"/>
    <w:pPr>
      <w:numPr>
        <w:ilvl w:val="2"/>
        <w:numId w:val="2"/>
      </w:numPr>
      <w:spacing w:before="0" w:beforeLines="0" w:after="0" w:afterLines="0"/>
      <w:outlineLvl w:val="2"/>
    </w:pPr>
  </w:style>
  <w:style w:type="paragraph" w:customStyle="1" w:styleId="43">
    <w:name w:val="章标题"/>
    <w:next w:val="44"/>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5">
    <w:name w:val="页脚 字符"/>
    <w:qFormat/>
    <w:uiPriority w:val="99"/>
  </w:style>
  <w:style w:type="character" w:customStyle="1" w:styleId="46">
    <w:name w:val="正文文本 字符1"/>
    <w:semiHidden/>
    <w:qFormat/>
    <w:uiPriority w:val="0"/>
    <w:rPr>
      <w:rFonts w:ascii="Times New Roman" w:hAnsi="Times New Roman" w:eastAsia="宋体"/>
      <w:sz w:val="24"/>
    </w:rPr>
  </w:style>
  <w:style w:type="character" w:customStyle="1" w:styleId="47">
    <w:name w:val="表格 Char"/>
    <w:link w:val="48"/>
    <w:qFormat/>
    <w:locked/>
    <w:uiPriority w:val="0"/>
    <w:rPr>
      <w:rFonts w:ascii="宋体"/>
      <w:sz w:val="21"/>
    </w:rPr>
  </w:style>
  <w:style w:type="paragraph" w:customStyle="1" w:styleId="48">
    <w:name w:val="表格"/>
    <w:basedOn w:val="49"/>
    <w:next w:val="1"/>
    <w:link w:val="47"/>
    <w:qFormat/>
    <w:uiPriority w:val="0"/>
    <w:pPr>
      <w:adjustRightInd w:val="0"/>
      <w:snapToGrid w:val="0"/>
      <w:spacing w:beforeLines="10" w:afterLines="10" w:line="259" w:lineRule="auto"/>
      <w:jc w:val="center"/>
    </w:pPr>
    <w:rPr>
      <w:rFonts w:hAnsi="Times New Roman"/>
      <w:sz w:val="21"/>
    </w:rPr>
  </w:style>
  <w:style w:type="paragraph" w:customStyle="1" w:styleId="49">
    <w:name w:val="表格文字"/>
    <w:basedOn w:val="10"/>
    <w:next w:val="1"/>
    <w:qFormat/>
    <w:uiPriority w:val="0"/>
    <w:pPr>
      <w:adjustRightInd w:val="0"/>
      <w:jc w:val="center"/>
    </w:pPr>
    <w:rPr>
      <w:rFonts w:ascii="宋体" w:hAnsi="宋体"/>
    </w:rPr>
  </w:style>
  <w:style w:type="character" w:customStyle="1" w:styleId="50">
    <w:name w:val="日期 字符"/>
    <w:semiHidden/>
    <w:qFormat/>
    <w:uiPriority w:val="0"/>
    <w:rPr>
      <w:rFonts w:ascii="Times New Roman" w:hAnsi="Times New Roman" w:eastAsia="宋体"/>
      <w:sz w:val="24"/>
    </w:rPr>
  </w:style>
  <w:style w:type="character" w:customStyle="1" w:styleId="51">
    <w:name w:val="批注文字 字符1"/>
    <w:semiHidden/>
    <w:qFormat/>
    <w:uiPriority w:val="0"/>
    <w:rPr>
      <w:rFonts w:ascii="Times New Roman" w:hAnsi="Times New Roman" w:eastAsia="宋体"/>
      <w:sz w:val="24"/>
    </w:rPr>
  </w:style>
  <w:style w:type="paragraph" w:customStyle="1" w:styleId="5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4">
    <w:name w:val="表格内容"/>
    <w:basedOn w:val="55"/>
    <w:next w:val="1"/>
    <w:qFormat/>
    <w:uiPriority w:val="0"/>
    <w:pPr>
      <w:spacing w:before="10" w:after="10" w:line="240" w:lineRule="auto"/>
      <w:ind w:firstLine="0" w:firstLineChars="0"/>
      <w:jc w:val="center"/>
    </w:pPr>
    <w:rPr>
      <w:rFonts w:ascii="Times New Roman" w:hAnsi="Times New Roman"/>
      <w:sz w:val="21"/>
      <w:szCs w:val="21"/>
    </w:rPr>
  </w:style>
  <w:style w:type="paragraph" w:customStyle="1" w:styleId="55">
    <w:name w:val="表格文本"/>
    <w:basedOn w:val="1"/>
    <w:qFormat/>
    <w:uiPriority w:val="0"/>
    <w:pPr>
      <w:spacing w:line="360" w:lineRule="auto"/>
    </w:pPr>
    <w:rPr>
      <w:rFonts w:ascii="Times New Roman" w:hAnsi="Times New Roman"/>
      <w:szCs w:val="21"/>
    </w:rPr>
  </w:style>
  <w:style w:type="paragraph" w:customStyle="1" w:styleId="56">
    <w:name w:val="表格文字2"/>
    <w:basedOn w:val="1"/>
    <w:qFormat/>
    <w:uiPriority w:val="99"/>
    <w:pPr>
      <w:widowControl w:val="0"/>
      <w:tabs>
        <w:tab w:val="left" w:pos="277"/>
        <w:tab w:val="left" w:pos="600"/>
        <w:tab w:val="left" w:pos="780"/>
        <w:tab w:val="left" w:pos="2517"/>
      </w:tabs>
      <w:spacing w:line="0" w:lineRule="atLeast"/>
      <w:ind w:firstLine="0" w:firstLineChars="0"/>
      <w:jc w:val="center"/>
    </w:pPr>
    <w:rPr>
      <w:rFonts w:cs="Times New Roman"/>
      <w:spacing w:val="5"/>
      <w:kern w:val="44"/>
      <w:sz w:val="21"/>
      <w:szCs w:val="20"/>
    </w:rPr>
  </w:style>
  <w:style w:type="paragraph" w:customStyle="1" w:styleId="57">
    <w:name w:val="正文文本3"/>
    <w:basedOn w:val="1"/>
    <w:qFormat/>
    <w:uiPriority w:val="0"/>
    <w:pPr>
      <w:shd w:val="clear" w:color="auto" w:fill="FFFFFF"/>
      <w:adjustRightInd/>
      <w:spacing w:before="240" w:line="518" w:lineRule="exact"/>
      <w:ind w:hanging="620"/>
      <w:jc w:val="distribute"/>
      <w:textAlignment w:val="auto"/>
    </w:pPr>
    <w:rPr>
      <w:rFonts w:ascii="Arial Unicode MS" w:hAnsi="Arial Unicode MS" w:eastAsia="Arial Unicode MS"/>
      <w:spacing w:val="10"/>
      <w:kern w:val="0"/>
      <w:sz w:val="20"/>
      <w:szCs w:val="21"/>
    </w:rPr>
  </w:style>
  <w:style w:type="paragraph" w:customStyle="1" w:styleId="58">
    <w:name w:val="Default"/>
    <w:basedOn w:val="59"/>
    <w:next w:val="60"/>
    <w:unhideWhenUsed/>
    <w:qFormat/>
    <w:uiPriority w:val="99"/>
    <w:pPr>
      <w:widowControl w:val="0"/>
      <w:autoSpaceDE w:val="0"/>
      <w:autoSpaceDN w:val="0"/>
      <w:adjustRightInd w:val="0"/>
      <w:spacing w:beforeLines="0" w:afterLines="0"/>
    </w:pPr>
    <w:rPr>
      <w:rFonts w:hint="eastAsia" w:ascii="宋体" w:hAnsi="宋体" w:eastAsia="宋体"/>
      <w:color w:val="000000"/>
      <w:sz w:val="24"/>
      <w:szCs w:val="24"/>
    </w:rPr>
  </w:style>
  <w:style w:type="paragraph" w:customStyle="1" w:styleId="59">
    <w:name w:val="纯文本1"/>
    <w:basedOn w:val="1"/>
    <w:qFormat/>
    <w:uiPriority w:val="0"/>
    <w:pPr>
      <w:adjustRightInd w:val="0"/>
    </w:pPr>
    <w:rPr>
      <w:rFonts w:ascii="宋体" w:hAnsi="Courier New"/>
      <w:szCs w:val="20"/>
    </w:rPr>
  </w:style>
  <w:style w:type="paragraph" w:customStyle="1" w:styleId="60">
    <w:name w:val="样式1"/>
    <w:basedOn w:val="18"/>
    <w:next w:val="1"/>
    <w:qFormat/>
    <w:uiPriority w:val="0"/>
    <w:pPr>
      <w:spacing w:beforeLines="50" w:line="440" w:lineRule="exact"/>
      <w:ind w:left="100" w:leftChars="100"/>
    </w:pPr>
    <w:rPr>
      <w:rFonts w:ascii="宋体" w:hAnsi="宋体"/>
    </w:rPr>
  </w:style>
  <w:style w:type="paragraph" w:customStyle="1" w:styleId="61">
    <w:name w:val="1-表格"/>
    <w:basedOn w:val="1"/>
    <w:qFormat/>
    <w:uiPriority w:val="0"/>
    <w:pPr>
      <w:adjustRightInd w:val="0"/>
      <w:snapToGrid w:val="0"/>
      <w:spacing w:line="360" w:lineRule="auto"/>
      <w:jc w:val="center"/>
    </w:pPr>
  </w:style>
  <w:style w:type="paragraph" w:customStyle="1" w:styleId="62">
    <w:name w:val="表标题"/>
    <w:qFormat/>
    <w:uiPriority w:val="0"/>
    <w:pPr>
      <w:spacing w:line="240" w:lineRule="atLeast"/>
      <w:jc w:val="center"/>
    </w:pPr>
    <w:rPr>
      <w:rFonts w:ascii="Times New Roman" w:hAnsi="Times New Roman" w:eastAsia="宋体" w:cs="Times New Roman"/>
      <w:b/>
      <w:bCs/>
      <w:color w:val="000000"/>
      <w:kern w:val="2"/>
      <w:sz w:val="24"/>
      <w:szCs w:val="32"/>
      <w:lang w:val="en-US" w:eastAsia="zh-CN" w:bidi="ar-SA"/>
    </w:rPr>
  </w:style>
  <w:style w:type="paragraph" w:customStyle="1" w:styleId="63">
    <w:name w:val="Table Paragraph"/>
    <w:basedOn w:val="1"/>
    <w:qFormat/>
    <w:uiPriority w:val="0"/>
    <w:pPr>
      <w:autoSpaceDE w:val="0"/>
      <w:autoSpaceDN w:val="0"/>
      <w:adjustRightInd w:val="0"/>
      <w:jc w:val="left"/>
    </w:pPr>
    <w:rPr>
      <w:kern w:val="0"/>
      <w:sz w:val="24"/>
    </w:rPr>
  </w:style>
  <w:style w:type="paragraph" w:customStyle="1" w:styleId="64">
    <w:name w:val="Default1"/>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65">
    <w:name w:val="表格的字"/>
    <w:basedOn w:val="1"/>
    <w:qFormat/>
    <w:uiPriority w:val="0"/>
    <w:pPr>
      <w:spacing w:line="240" w:lineRule="auto"/>
      <w:ind w:firstLine="0" w:firstLineChars="0"/>
      <w:jc w:val="center"/>
    </w:pPr>
    <w:rPr>
      <w:sz w:val="21"/>
    </w:rPr>
  </w:style>
  <w:style w:type="paragraph" w:customStyle="1" w:styleId="66">
    <w:name w:val="Date1"/>
    <w:basedOn w:val="1"/>
    <w:next w:val="1"/>
    <w:qFormat/>
    <w:uiPriority w:val="0"/>
    <w:pPr>
      <w:adjustRightInd w:val="0"/>
      <w:textAlignment w:val="baseline"/>
    </w:pPr>
    <w:rPr>
      <w:szCs w:val="20"/>
    </w:rPr>
  </w:style>
  <w:style w:type="paragraph" w:customStyle="1" w:styleId="67">
    <w:name w:val="报告表正文"/>
    <w:basedOn w:val="1"/>
    <w:qFormat/>
    <w:uiPriority w:val="0"/>
    <w:pPr>
      <w:spacing w:line="360" w:lineRule="auto"/>
      <w:ind w:firstLine="720" w:firstLineChars="200"/>
      <w:jc w:val="left"/>
    </w:pPr>
    <w:rPr>
      <w:sz w:val="24"/>
    </w:rPr>
  </w:style>
  <w:style w:type="paragraph" w:customStyle="1" w:styleId="68">
    <w:name w:val="表格标题"/>
    <w:basedOn w:val="10"/>
    <w:qFormat/>
    <w:uiPriority w:val="0"/>
    <w:pPr>
      <w:adjustRightInd w:val="0"/>
      <w:snapToGrid w:val="0"/>
      <w:spacing w:after="0" w:line="360" w:lineRule="auto"/>
      <w:ind w:firstLine="0" w:firstLineChars="0"/>
      <w:jc w:val="center"/>
    </w:pPr>
    <w:rPr>
      <w:rFonts w:eastAsia="黑体"/>
      <w:sz w:val="24"/>
    </w:rPr>
  </w:style>
  <w:style w:type="paragraph" w:customStyle="1" w:styleId="69">
    <w:name w:val="表格5号"/>
    <w:basedOn w:val="1"/>
    <w:qFormat/>
    <w:uiPriority w:val="0"/>
    <w:pPr>
      <w:spacing w:line="240" w:lineRule="auto"/>
      <w:ind w:firstLine="0" w:firstLineChars="0"/>
      <w:jc w:val="center"/>
    </w:pPr>
    <w:rPr>
      <w:rFonts w:ascii="Times New Roman" w:hAnsi="Times New Roman" w:eastAsia="宋体"/>
      <w:sz w:val="21"/>
    </w:rPr>
  </w:style>
  <w:style w:type="paragraph" w:customStyle="1" w:styleId="70">
    <w:name w:val="reader-word-layer reader-word-s46-2"/>
    <w:basedOn w:val="1"/>
    <w:next w:val="71"/>
    <w:qFormat/>
    <w:uiPriority w:val="0"/>
    <w:pPr>
      <w:widowControl/>
      <w:spacing w:before="280" w:after="280" w:line="240" w:lineRule="auto"/>
      <w:jc w:val="both"/>
    </w:pPr>
    <w:rPr>
      <w:rFonts w:ascii="宋体"/>
      <w:sz w:val="24"/>
    </w:rPr>
  </w:style>
  <w:style w:type="paragraph" w:customStyle="1" w:styleId="71">
    <w:name w:val="xl35"/>
    <w:basedOn w:val="1"/>
    <w:next w:val="1"/>
    <w:qFormat/>
    <w:uiPriority w:val="0"/>
    <w:pPr>
      <w:widowControl/>
      <w:shd w:val="clear" w:color="FFFFFF" w:fill="FFFFFF"/>
      <w:spacing w:before="280" w:after="280" w:line="240" w:lineRule="auto"/>
      <w:jc w:val="both"/>
    </w:pPr>
    <w:rPr>
      <w:rFonts w:ascii="Arial Unicode MS" w:eastAsia="Arial Unicode MS"/>
      <w:sz w:val="24"/>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报告"/>
    <w:basedOn w:val="1"/>
    <w:qFormat/>
    <w:uiPriority w:val="0"/>
    <w:pPr>
      <w:spacing w:beforeLines="30" w:afterLines="30" w:line="400" w:lineRule="atLeast"/>
      <w:ind w:left="400" w:leftChars="400" w:firstLine="200" w:firstLineChars="200"/>
    </w:pPr>
    <w:rPr>
      <w:sz w:val="24"/>
    </w:rPr>
  </w:style>
  <w:style w:type="paragraph" w:customStyle="1" w:styleId="7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表文"/>
    <w:basedOn w:val="1"/>
    <w:qFormat/>
    <w:uiPriority w:val="0"/>
    <w:pPr>
      <w:spacing w:line="240" w:lineRule="auto"/>
      <w:ind w:firstLine="0" w:firstLineChars="0"/>
      <w:jc w:val="center"/>
    </w:pPr>
    <w:rPr>
      <w:spacing w:val="-2"/>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31760</Words>
  <Characters>34726</Characters>
  <Lines>236</Lines>
  <Paragraphs>66</Paragraphs>
  <TotalTime>6</TotalTime>
  <ScaleCrop>false</ScaleCrop>
  <LinksUpToDate>false</LinksUpToDate>
  <CharactersWithSpaces>34968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闾勇军</cp:lastModifiedBy>
  <cp:lastPrinted>2022-03-22T02:57:00Z</cp:lastPrinted>
  <dcterms:modified xsi:type="dcterms:W3CDTF">2024-07-03T05:59:06Z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1D53EFBE181C465D8697AFE54273F307_13</vt:lpwstr>
  </property>
</Properties>
</file>