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岳临环评[202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]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湖南省临湘市牛崖山矿区开采200万吨/年建筑用花岗岩矿项目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环境影响报告表的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湖南振湘矿业有限公司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: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你公司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报送的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湖南省临湘市牛崖山矿区开采200万吨/年建筑用花岗岩矿项目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环境影响报告表》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u w:val="none" w:color="auto"/>
          <w:lang w:val="en-US" w:eastAsia="zh-CN"/>
        </w:rPr>
        <w:t>临湘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u w:val="none" w:color="auto"/>
        </w:rPr>
        <w:t>生态环境事务中心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u w:val="none" w:color="auto"/>
          <w:lang w:eastAsia="zh-CN"/>
        </w:rPr>
        <w:t>出具的技术评估报告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highlight w:val="none"/>
          <w:u w:val="none" w:color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环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评估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[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4]19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号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）及申请批复的报告等相关材料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收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经研究，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批复如下: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8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为缓解临湘市砂石资源供不应求现状，加快推进砂石资源开发整顿整合，根据矿山开采相关规划，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你公司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拟投资25000万元在临湘市长塘镇、白羊田镇牛崖山矿区建设开采200万吨/年建筑用花岗岩矿项目。项目主要由露天采场区、排土场、新建矿山道路及配套的公用、环保工程等组成，外运出厂道路依托现有乡村道路，其中，露天采场区（经纬度：E113.393299144°，N29.262162698°）,由11个拐点坐标圈定，可采资源量为全风化花岗岩(控制资源量)60.2万m3（119.2万t)；半风化花岗岩矿(控制资源量)110.3万m3(244.9万t)；建筑用花岗岩矿(控制资源量)797.1万m3（2096.4万t)，拟开采建筑用采花岗岩矿200万吨/年，开采标高为+240～+94m，开采面积为0.1537k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，设计回采率98%，采用折返式公路汽车运输开拓方式，中深孔爆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8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破、台阶式开采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矿山不设置炸药库和加油区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；排土场拟设于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none" w:color="auto"/>
          <w:vertAlign w:val="baseline"/>
          <w:lang w:val="en-US" w:eastAsia="zh-CN"/>
        </w:rPr>
        <w:t>矿山西侧100m处低洼地带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eastAsia="zh-CN"/>
        </w:rPr>
        <w:t>经度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</w:rPr>
        <w:t>113.389173906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°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～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</w:rPr>
        <w:t>113.389839094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°，纬度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</w:rPr>
        <w:t>29.260805500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°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～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</w:rPr>
        <w:t>29.263466252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°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），总占地面积1.5569hm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none" w:color="auto"/>
          <w:vertAlign w:val="baseline"/>
          <w:lang w:val="en-US" w:eastAsia="zh-CN"/>
        </w:rPr>
        <w:t>其标高为+76.6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～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none" w:color="auto"/>
          <w:vertAlign w:val="baseline"/>
          <w:lang w:val="en-US" w:eastAsia="zh-CN"/>
        </w:rPr>
        <w:t>+100.54m左右，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u w:val="none" w:color="auto"/>
          <w:lang w:val="en-US" w:eastAsia="zh-CN"/>
        </w:rPr>
        <w:t>体积为10.7万m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u w:val="none" w:color="auto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u w:val="none" w:color="auto"/>
          <w:lang w:val="en-US" w:eastAsia="zh-CN"/>
        </w:rPr>
        <w:t>，排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土场前缘砌建浆砌石挡土墙；露天采场与排土场间新建矿山公路，作业矿石内部运输使用，矿山道路按三级道路标准设计，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0"/>
          <w:szCs w:val="30"/>
          <w:u w:val="none" w:color="auto"/>
          <w:lang w:val="en-US" w:eastAsia="zh-CN"/>
        </w:rPr>
        <w:t>占地面积5.4787hm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0"/>
          <w:szCs w:val="30"/>
          <w:u w:val="none" w:color="auto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，上山道路路线长1.834km，接排土场道路0.251km，路基宽度9米，路面宽度7.5米，采用水泥混凝土路面，设置错车点。主要开采工艺为：剥离表土→凿岩穿孔→爆破→二次破碎→铲装→运输。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eastAsia="zh-CN"/>
        </w:rPr>
        <w:t>根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据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项目环境影响报告表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</w:rPr>
        <w:t>的内容、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结论和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技术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评估、专家评审意见，从环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境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保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护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角度考虑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，我局原则同意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你公司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环境影响报告表所列性质、地点、规模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和环境保护对策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二、项目在建设和运营中，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必须全面落实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《报告表》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提出的各项污染防治措施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和环境风险防范措施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</w:rPr>
        <w:t>严格执行环保“三同时”制度，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并着重做好以下几方面的工作：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0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en-US" w:eastAsia="zh-CN"/>
        </w:rPr>
        <w:t>1、严格落实绿色矿山要求。实行清洁生产，采用先进的工艺和设备、装备，加强对资源、固废、废水的综合利用，减少污染物的排放。落实矿山智能化建设要求，做好环保、安全实时监控。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、生态环境保护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措施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en-US" w:eastAsia="zh-CN"/>
        </w:rPr>
        <w:t>严格按相关职能部门批准的开发利用方案、范围、方式及生态保护修复方案实施科学开采和复垦复绿，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采取边开采、边治理、边恢复的方式,对剥离的表层土规范暂存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用于植被恢复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en-US" w:eastAsia="zh-CN"/>
        </w:rPr>
        <w:t>；加强矿区、排土场、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矿区道路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en-US" w:eastAsia="zh-CN"/>
        </w:rPr>
        <w:t>的边坡、截水沟、排水（洪）沟、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挡土墙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、护坡、沉淀池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等建设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en-US" w:eastAsia="zh-CN"/>
        </w:rPr>
        <w:t>，落实水土保持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zh-CN" w:eastAsia="zh-CN"/>
        </w:rPr>
        <w:t>及地质灾害防治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en-US" w:eastAsia="zh-CN"/>
        </w:rPr>
        <w:t>措施，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避免发生崩塌、滑坡、泥石流等地质灾害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严禁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越界开采，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en-US" w:eastAsia="zh-CN"/>
        </w:rPr>
        <w:t>不得对周边饮用水源产生影响；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zh-CN" w:eastAsia="zh-CN"/>
        </w:rPr>
        <w:t>服务期满后，须按要求及时对矿区、排土场进行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u w:val="none" w:color="auto"/>
          <w:lang w:val="en-US" w:eastAsia="zh-CN" w:bidi="ar-SA"/>
        </w:rPr>
        <w:t>设施拆除、废弃物清理和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zh-CN" w:eastAsia="zh-CN"/>
        </w:rPr>
        <w:t>植被覆盖或土地复垦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废气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污染防治工作。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加强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u w:val="none" w:color="auto"/>
          <w:lang w:val="en-US" w:eastAsia="zh-CN"/>
        </w:rPr>
        <w:t>施工期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现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场管理，采取围挡、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" w:eastAsia="zh-CN"/>
        </w:rPr>
        <w:t>覆盖、喷淋、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使用商品混凝砼、道路硬化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u w:val="none" w:color="auto"/>
          <w:lang w:val="en-US" w:eastAsia="zh-CN" w:bidi="ar-SA"/>
        </w:rPr>
        <w:t>、定时清扫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洒水等措施抑尘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u w:val="none" w:color="auto"/>
          <w:lang w:val="en-US" w:eastAsia="zh-CN" w:bidi="ar-SA"/>
        </w:rPr>
        <w:t>；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各种物料要分区、规范堆存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剥离、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爆破、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 w:color="auto"/>
          <w:lang w:val="en-US" w:eastAsia="zh-CN"/>
        </w:rPr>
        <w:t>凿岩穿孔、二次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破碎、运输、装卸等各产尘环节采取洒水或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覆盖、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封闭等有效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降尘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措施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；排土场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周边、矿区道路两侧设置自动洒水喷头设施，表土、废土石方分层堆放，及时夯实，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确保无组织排放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颗粒物达到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eastAsia="zh-CN"/>
        </w:rPr>
        <w:t>《大气污染物综合排放标准》（GB16297-1996）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none" w:color="auto"/>
        </w:rPr>
        <w:t>表 2 中无组织标准限值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。加强车辆、机械维护，非道路移动机械废气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eastAsia="zh-CN"/>
        </w:rPr>
        <w:t>应满足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《非道路移动机械用柴油机排气污染物排放限值及测量方法(中国第三、四阶段）》（GB20891-2014）中第四阶段限值、《非道路移动柴油机械排气烟度限值及测量方法》（GB36886-2018）限值要求。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8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水污染防治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工作。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按照“雨污分流、清污分流”原则，规范建设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露天采场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、排土场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新建矿山道路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区域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的排（截）水沟、沉淀池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、进出车辆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冲洗平台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及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废水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收集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回用系统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等。初期冲刷雨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水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、车辆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冲洗水、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u w:val="none" w:color="auto"/>
          <w:lang w:val="en-US" w:eastAsia="zh-CN"/>
        </w:rPr>
        <w:t>排土场淋滤水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经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沉淀后回用于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洒水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降尘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后期雨水按原排水途径排至周边水塘或工农尖山矿废弃露采坑中，不得进入铁山水库北干渠；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生活污水经化粪池处理后回用于附近农、林作物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噪声污染防治。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none" w:color="auto"/>
          <w:lang w:val="en-US" w:eastAsia="zh-CN"/>
        </w:rPr>
        <w:t>高噪声设备周边和施工场界设隔声屏障，加强设备维护，合理安排机械作业时间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及运输车辆进出时间、路线、车速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none" w:color="auto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en-US" w:eastAsia="zh-CN"/>
        </w:rPr>
        <w:t>采用先进的爆破方式、选用低噪设备并采取隔声、消声、减振等措施，减缓噪声、振动对周边居民产生的影响，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确保施工噪声、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厂界噪声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达标排放，不得扰民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u w:val="none" w:color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6、固体废物防治。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</w:rPr>
        <w:t>严格按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eastAsia="zh-CN"/>
        </w:rPr>
        <w:t>固废管理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要求建设规范的固体废物暂存场所和管理台帐。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</w:rPr>
        <w:t>剥离表土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u w:val="none" w:color="auto"/>
          <w:lang w:val="en-US" w:eastAsia="zh-CN" w:bidi="ar-SA"/>
        </w:rPr>
        <w:t>废土石方、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u w:val="none" w:color="auto"/>
          <w:lang w:val="en-US" w:eastAsia="zh-CN"/>
        </w:rPr>
        <w:t>沉淀池污泥经压滤机压滤干化后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</w:rPr>
        <w:t>及时规范暂存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eastAsia="zh-CN"/>
        </w:rPr>
        <w:t>于排土场，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none" w:color="auto"/>
          <w:lang w:val="en-US" w:eastAsia="zh-CN"/>
        </w:rPr>
        <w:t>后期用于矿山生态修复复垦和矿山公路建设；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</w:rPr>
        <w:t>废机油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</w:rPr>
        <w:t>含油废抹布等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none" w:color="auto"/>
          <w:lang w:val="en-US" w:eastAsia="zh-CN"/>
        </w:rPr>
        <w:t>暂存危废暂存间，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val="en-US" w:eastAsia="zh-CN"/>
        </w:rPr>
        <w:t>交有资质单位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</w:rPr>
        <w:t>处置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</w:rPr>
        <w:t>生活垃圾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u w:val="none" w:color="auto"/>
          <w:lang w:val="en-US" w:eastAsia="zh-CN" w:bidi="ar-SA"/>
        </w:rPr>
        <w:t>交环卫部门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eastAsia="zh-CN"/>
        </w:rPr>
        <w:t>日产日清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u w:val="none" w:color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7、环境管理。设立环保机构，建立环境管理制度，严格操作规程，落实排污许可和监测要求，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加强环保设施的运行管理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按要求落实生态保护措施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严格按相关规范及要求对爆破作业进行管理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，严格落实矿山安全生产要求，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制订环境事故应急预案，落实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各项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防范措施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，确保周边环境安全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矿山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安全防护距离范围内不得新建住宅、学校、医院等环境敏感目标。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u w:val="none" w:color="auto"/>
          <w:lang w:val="en-US" w:eastAsia="zh-CN"/>
        </w:rPr>
        <w:t>8、项目运营前应依法取得自然资源、林业、应急管理等部门的行政许可，妥善处理原工农尖山矿和柳昌采石场遗留的环境问题。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项目建成后应按规定程序实施竣工环境保护验收。由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岳阳市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临湘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生态环境保护综合行政执法大队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负责该项目的日常现场监管。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0" w:firstLineChars="200"/>
        <w:textAlignment w:val="auto"/>
        <w:rPr>
          <w:rFonts w:hint="eastAsia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岳阳市生态环境局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2024年5月27日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TQ5M2E3ZWQyZGM3YjNiMGI0MjE0Njc4ODk3ZjkifQ=="/>
  </w:docVars>
  <w:rsids>
    <w:rsidRoot w:val="00000000"/>
    <w:rsid w:val="00F034B0"/>
    <w:rsid w:val="01794726"/>
    <w:rsid w:val="02094A42"/>
    <w:rsid w:val="02201D8C"/>
    <w:rsid w:val="02B052A9"/>
    <w:rsid w:val="033C2BF5"/>
    <w:rsid w:val="040B4C02"/>
    <w:rsid w:val="04543BD9"/>
    <w:rsid w:val="05882122"/>
    <w:rsid w:val="063432E0"/>
    <w:rsid w:val="06356E85"/>
    <w:rsid w:val="064E7C69"/>
    <w:rsid w:val="07B860D2"/>
    <w:rsid w:val="088157B3"/>
    <w:rsid w:val="09372C1B"/>
    <w:rsid w:val="0B843220"/>
    <w:rsid w:val="0D783CF0"/>
    <w:rsid w:val="0E700754"/>
    <w:rsid w:val="0EA10423"/>
    <w:rsid w:val="0F2B7CF7"/>
    <w:rsid w:val="0FFB0A97"/>
    <w:rsid w:val="105B45EA"/>
    <w:rsid w:val="11145210"/>
    <w:rsid w:val="119E3C43"/>
    <w:rsid w:val="12386C7D"/>
    <w:rsid w:val="13A26AE0"/>
    <w:rsid w:val="145E1773"/>
    <w:rsid w:val="146F4846"/>
    <w:rsid w:val="15C670F1"/>
    <w:rsid w:val="16295162"/>
    <w:rsid w:val="176D58E3"/>
    <w:rsid w:val="18ED4334"/>
    <w:rsid w:val="1C2753DD"/>
    <w:rsid w:val="1CDD6D9F"/>
    <w:rsid w:val="1D885F8D"/>
    <w:rsid w:val="1DE5159F"/>
    <w:rsid w:val="1EAC29A2"/>
    <w:rsid w:val="209049BA"/>
    <w:rsid w:val="20D2125C"/>
    <w:rsid w:val="21BC716B"/>
    <w:rsid w:val="21F20C55"/>
    <w:rsid w:val="22817182"/>
    <w:rsid w:val="229323DA"/>
    <w:rsid w:val="22B32480"/>
    <w:rsid w:val="23FE1AD5"/>
    <w:rsid w:val="241166F8"/>
    <w:rsid w:val="25744C7A"/>
    <w:rsid w:val="257A162F"/>
    <w:rsid w:val="29D15E68"/>
    <w:rsid w:val="2B281665"/>
    <w:rsid w:val="2D263666"/>
    <w:rsid w:val="2D632669"/>
    <w:rsid w:val="2E7678C0"/>
    <w:rsid w:val="2ED1787F"/>
    <w:rsid w:val="2FC812C3"/>
    <w:rsid w:val="301E705B"/>
    <w:rsid w:val="308D25B3"/>
    <w:rsid w:val="31B072CE"/>
    <w:rsid w:val="32566F80"/>
    <w:rsid w:val="33315E45"/>
    <w:rsid w:val="337D00C3"/>
    <w:rsid w:val="33BA2B77"/>
    <w:rsid w:val="34F82570"/>
    <w:rsid w:val="36164A44"/>
    <w:rsid w:val="368F480F"/>
    <w:rsid w:val="36D031AF"/>
    <w:rsid w:val="377156BF"/>
    <w:rsid w:val="39137979"/>
    <w:rsid w:val="39AC1B82"/>
    <w:rsid w:val="39B7021F"/>
    <w:rsid w:val="3A6C1A43"/>
    <w:rsid w:val="3AE0324A"/>
    <w:rsid w:val="3B292898"/>
    <w:rsid w:val="3B8457E6"/>
    <w:rsid w:val="3BB43299"/>
    <w:rsid w:val="3BB9694D"/>
    <w:rsid w:val="3DED13A9"/>
    <w:rsid w:val="3E366126"/>
    <w:rsid w:val="3EC70143"/>
    <w:rsid w:val="3EFB3B6C"/>
    <w:rsid w:val="425F20D3"/>
    <w:rsid w:val="432A0BFB"/>
    <w:rsid w:val="448D37DB"/>
    <w:rsid w:val="44A302AB"/>
    <w:rsid w:val="45BB2CC5"/>
    <w:rsid w:val="4635035D"/>
    <w:rsid w:val="46550380"/>
    <w:rsid w:val="47421282"/>
    <w:rsid w:val="4A0044FF"/>
    <w:rsid w:val="4B0101DB"/>
    <w:rsid w:val="4BB91646"/>
    <w:rsid w:val="4CAC5CC3"/>
    <w:rsid w:val="4CCF2553"/>
    <w:rsid w:val="4D9C654A"/>
    <w:rsid w:val="4FB85C1B"/>
    <w:rsid w:val="501F1CD6"/>
    <w:rsid w:val="512B1415"/>
    <w:rsid w:val="525168F3"/>
    <w:rsid w:val="52724BEA"/>
    <w:rsid w:val="52B84708"/>
    <w:rsid w:val="53647824"/>
    <w:rsid w:val="53DA3115"/>
    <w:rsid w:val="5429442D"/>
    <w:rsid w:val="54CE3AA7"/>
    <w:rsid w:val="55747599"/>
    <w:rsid w:val="570D1EFB"/>
    <w:rsid w:val="57A24699"/>
    <w:rsid w:val="57C92524"/>
    <w:rsid w:val="57D460CD"/>
    <w:rsid w:val="58F540EC"/>
    <w:rsid w:val="5A225816"/>
    <w:rsid w:val="5AAD149A"/>
    <w:rsid w:val="5BC53E99"/>
    <w:rsid w:val="5DB55401"/>
    <w:rsid w:val="5EEE5C79"/>
    <w:rsid w:val="5FD215C4"/>
    <w:rsid w:val="5FFECB45"/>
    <w:rsid w:val="61377DF9"/>
    <w:rsid w:val="615838CB"/>
    <w:rsid w:val="619954AC"/>
    <w:rsid w:val="6280757E"/>
    <w:rsid w:val="628C5F22"/>
    <w:rsid w:val="632A3867"/>
    <w:rsid w:val="63533FCE"/>
    <w:rsid w:val="63BF2AC1"/>
    <w:rsid w:val="63FC0E86"/>
    <w:rsid w:val="65813BE9"/>
    <w:rsid w:val="668D2465"/>
    <w:rsid w:val="671C08F5"/>
    <w:rsid w:val="677A5ED1"/>
    <w:rsid w:val="6818677F"/>
    <w:rsid w:val="69173859"/>
    <w:rsid w:val="693D7F76"/>
    <w:rsid w:val="6A612865"/>
    <w:rsid w:val="6B8D38E9"/>
    <w:rsid w:val="6BC73521"/>
    <w:rsid w:val="6BC93D43"/>
    <w:rsid w:val="6CD81D64"/>
    <w:rsid w:val="6D547741"/>
    <w:rsid w:val="6FA348AB"/>
    <w:rsid w:val="6FD853B1"/>
    <w:rsid w:val="703260F9"/>
    <w:rsid w:val="70D82609"/>
    <w:rsid w:val="715F1F17"/>
    <w:rsid w:val="74D55507"/>
    <w:rsid w:val="75660855"/>
    <w:rsid w:val="76967FC0"/>
    <w:rsid w:val="76E00627"/>
    <w:rsid w:val="776F496F"/>
    <w:rsid w:val="790E0FE8"/>
    <w:rsid w:val="7A54790D"/>
    <w:rsid w:val="7CA73C2D"/>
    <w:rsid w:val="7CF35AE3"/>
    <w:rsid w:val="7D14361F"/>
    <w:rsid w:val="7D1735C6"/>
    <w:rsid w:val="7FF3F711"/>
    <w:rsid w:val="F3778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semiHidden/>
    <w:unhideWhenUsed/>
    <w:qFormat/>
    <w:uiPriority w:val="0"/>
    <w:pPr>
      <w:keepNext/>
      <w:spacing w:before="120" w:beforeLines="0" w:line="360" w:lineRule="auto"/>
      <w:ind w:firstLine="1285" w:firstLineChars="200"/>
      <w:outlineLvl w:val="1"/>
    </w:pPr>
    <w:rPr>
      <w:rFonts w:ascii="宋体" w:hAnsi="宋体" w:eastAsia="宋体"/>
      <w:spacing w:val="6"/>
      <w:sz w:val="28"/>
      <w:szCs w:val="20"/>
    </w:rPr>
  </w:style>
  <w:style w:type="paragraph" w:styleId="8">
    <w:name w:val="heading 3"/>
    <w:basedOn w:val="1"/>
    <w:next w:val="1"/>
    <w:qFormat/>
    <w:uiPriority w:val="0"/>
    <w:pPr>
      <w:adjustRightInd w:val="0"/>
      <w:spacing w:line="460" w:lineRule="exact"/>
      <w:jc w:val="left"/>
      <w:textAlignment w:val="baseline"/>
      <w:outlineLvl w:val="2"/>
    </w:pPr>
    <w:rPr>
      <w:kern w:val="0"/>
      <w:sz w:val="24"/>
      <w:szCs w:val="20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rPr>
      <w:rFonts w:ascii="宋体" w:hAnsi="Courier New"/>
      <w:szCs w:val="20"/>
    </w:rPr>
  </w:style>
  <w:style w:type="paragraph" w:customStyle="1" w:styleId="4">
    <w:name w:val="样式 样式 首行缩进:  2 字符 + 首行缩进:  2 字符"/>
    <w:basedOn w:val="1"/>
    <w:next w:val="5"/>
    <w:qFormat/>
    <w:uiPriority w:val="0"/>
    <w:pPr>
      <w:snapToGrid w:val="0"/>
      <w:spacing w:line="360" w:lineRule="auto"/>
      <w:ind w:firstLine="560" w:firstLineChars="200"/>
    </w:pPr>
    <w:rPr>
      <w:spacing w:val="0"/>
      <w:sz w:val="28"/>
    </w:rPr>
  </w:style>
  <w:style w:type="paragraph" w:styleId="5">
    <w:name w:val="toc 1"/>
    <w:basedOn w:val="1"/>
    <w:next w:val="1"/>
    <w:qFormat/>
    <w:uiPriority w:val="39"/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"/>
    <w:basedOn w:val="1"/>
    <w:next w:val="1"/>
    <w:unhideWhenUsed/>
    <w:qFormat/>
    <w:uiPriority w:val="0"/>
    <w:pPr>
      <w:spacing w:after="120"/>
    </w:pPr>
  </w:style>
  <w:style w:type="paragraph" w:styleId="11">
    <w:name w:val="Body Text Indent"/>
    <w:basedOn w:val="1"/>
    <w:next w:val="12"/>
    <w:qFormat/>
    <w:uiPriority w:val="0"/>
    <w:pPr>
      <w:spacing w:line="360" w:lineRule="auto"/>
      <w:ind w:firstLine="570"/>
    </w:pPr>
    <w:rPr>
      <w:rFonts w:eastAsia="仿宋_GB2312"/>
      <w:sz w:val="28"/>
      <w:szCs w:val="20"/>
    </w:rPr>
  </w:style>
  <w:style w:type="paragraph" w:styleId="12">
    <w:name w:val="Body Text First Indent"/>
    <w:basedOn w:val="10"/>
    <w:next w:val="1"/>
    <w:unhideWhenUsed/>
    <w:qFormat/>
    <w:uiPriority w:val="99"/>
    <w:pPr>
      <w:adjustRightInd w:val="0"/>
      <w:snapToGrid w:val="0"/>
      <w:spacing w:after="0"/>
    </w:pPr>
  </w:style>
  <w:style w:type="paragraph" w:styleId="13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List"/>
    <w:basedOn w:val="1"/>
    <w:qFormat/>
    <w:uiPriority w:val="0"/>
    <w:pPr>
      <w:spacing w:line="360" w:lineRule="exact"/>
      <w:ind w:firstLine="38" w:firstLineChars="18"/>
      <w:jc w:val="left"/>
    </w:pPr>
    <w:rPr>
      <w:rFonts w:ascii="宋体"/>
      <w:szCs w:val="21"/>
    </w:rPr>
  </w:style>
  <w:style w:type="paragraph" w:styleId="1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8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Arial" w:hAnsi="Arial"/>
      <w:b/>
      <w:sz w:val="32"/>
    </w:rPr>
  </w:style>
  <w:style w:type="paragraph" w:styleId="19">
    <w:name w:val="Body Text First Indent 2"/>
    <w:basedOn w:val="11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Corbel" w:hAnsi="Corbel"/>
      <w:sz w:val="21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xl27"/>
    <w:basedOn w:val="1"/>
    <w:next w:val="13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  <w:szCs w:val="24"/>
    </w:rPr>
  </w:style>
  <w:style w:type="paragraph" w:customStyle="1" w:styleId="24">
    <w:name w:val="样式 正文文本缩进 + 行距: 1.5 倍行距"/>
    <w:basedOn w:val="11"/>
    <w:qFormat/>
    <w:uiPriority w:val="0"/>
    <w:pPr>
      <w:spacing w:before="0" w:after="120"/>
      <w:ind w:left="90" w:leftChars="32" w:firstLine="560" w:firstLineChars="200"/>
    </w:pPr>
    <w:rPr>
      <w:rFonts w:ascii="Times New Roman" w:cs="宋体"/>
    </w:rPr>
  </w:style>
  <w:style w:type="paragraph" w:customStyle="1" w:styleId="25">
    <w:name w:val="文本"/>
    <w:basedOn w:val="1"/>
    <w:next w:val="1"/>
    <w:qFormat/>
    <w:uiPriority w:val="0"/>
    <w:pPr>
      <w:autoSpaceDE w:val="0"/>
      <w:autoSpaceDN w:val="0"/>
      <w:ind w:firstLine="480"/>
    </w:pPr>
    <w:rPr>
      <w:rFonts w:cs="Times New Roman"/>
      <w:szCs w:val="24"/>
      <w:lang w:val="zh-CN"/>
    </w:rPr>
  </w:style>
  <w:style w:type="character" w:customStyle="1" w:styleId="26">
    <w:name w:val="报告正文 Char Char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7">
    <w:name w:val="C正文"/>
    <w:basedOn w:val="1"/>
    <w:qFormat/>
    <w:uiPriority w:val="0"/>
    <w:pPr>
      <w:wordWrap w:val="0"/>
      <w:ind w:firstLine="480"/>
    </w:pPr>
    <w:rPr>
      <w:rFonts w:ascii="Times New Roman" w:hAnsi="Times New Roman"/>
    </w:rPr>
  </w:style>
  <w:style w:type="paragraph" w:customStyle="1" w:styleId="28">
    <w:name w:val="正文1"/>
    <w:next w:val="1"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bidi="ar-SA"/>
    </w:rPr>
  </w:style>
  <w:style w:type="paragraph" w:customStyle="1" w:styleId="29">
    <w:name w:val="正文 首行缩进"/>
    <w:basedOn w:val="1"/>
    <w:qFormat/>
    <w:uiPriority w:val="0"/>
    <w:pPr>
      <w:spacing w:line="360" w:lineRule="auto"/>
      <w:ind w:firstLine="200" w:firstLineChars="200"/>
    </w:pPr>
    <w:rPr>
      <w:rFonts w:cs="宋体"/>
      <w:kern w:val="0"/>
      <w:szCs w:val="20"/>
    </w:rPr>
  </w:style>
  <w:style w:type="paragraph" w:customStyle="1" w:styleId="30">
    <w:name w:val="表格正文"/>
    <w:basedOn w:val="1"/>
    <w:next w:val="1"/>
    <w:qFormat/>
    <w:uiPriority w:val="0"/>
    <w:pPr>
      <w:snapToGrid w:val="0"/>
      <w:spacing w:line="240" w:lineRule="auto"/>
      <w:ind w:firstLine="0" w:firstLineChars="0"/>
      <w:jc w:val="center"/>
    </w:pPr>
    <w:rPr>
      <w:rFonts w:ascii="Times New Roman" w:hAnsi="Times New Roman" w:eastAsia="宋体"/>
      <w:color w:val="000000"/>
      <w:sz w:val="21"/>
    </w:rPr>
  </w:style>
  <w:style w:type="paragraph" w:customStyle="1" w:styleId="31">
    <w:name w:val="表格文字"/>
    <w:basedOn w:val="1"/>
    <w:qFormat/>
    <w:uiPriority w:val="0"/>
    <w:pPr>
      <w:adjustRightInd w:val="0"/>
      <w:snapToGrid w:val="0"/>
      <w:jc w:val="center"/>
    </w:pPr>
    <w:rPr>
      <w:rFonts w:ascii="宋体" w:hAnsi="宋体"/>
      <w:szCs w:val="20"/>
    </w:rPr>
  </w:style>
  <w:style w:type="paragraph" w:customStyle="1" w:styleId="32">
    <w:name w:val="Default2"/>
    <w:next w:val="3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Times New Roman" w:cs="黑体"/>
      <w:color w:val="000000"/>
      <w:kern w:val="0"/>
      <w:sz w:val="24"/>
      <w:szCs w:val="24"/>
      <w:lang w:val="en-US" w:eastAsia="zh-TW" w:bidi="ar-SA"/>
    </w:rPr>
  </w:style>
  <w:style w:type="paragraph" w:customStyle="1" w:styleId="33">
    <w:name w:val="目录 91662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4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2149</Words>
  <Characters>2383</Characters>
  <Lines>0</Lines>
  <Paragraphs>0</Paragraphs>
  <TotalTime>0</TotalTime>
  <ScaleCrop>false</ScaleCrop>
  <LinksUpToDate>false</LinksUpToDate>
  <CharactersWithSpaces>2387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2022-01-28T08:36:00Z</dcterms:created>
  <dc:creator>lenovo</dc:creator>
  <cp:lastModifiedBy>闾勇军</cp:lastModifiedBy>
  <cp:lastPrinted>2023-11-09T15:10:00Z</cp:lastPrinted>
  <dcterms:modified xsi:type="dcterms:W3CDTF">2024-05-20T09:10:03Z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A3BE4E80826E4E448D22C89DCB3E70FD</vt:lpwstr>
  </property>
</Properties>
</file>