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000000" w:themeColor="text1"/>
          <w:sz w:val="36"/>
          <w:szCs w:val="36"/>
          <w14:textFill>
            <w14:solidFill>
              <w14:schemeClr w14:val="tx1"/>
            </w14:solidFill>
          </w14:textFill>
        </w:rPr>
      </w:pPr>
    </w:p>
    <w:p>
      <w:pPr>
        <w:rPr>
          <w:rFonts w:ascii="仿宋_GB2312" w:hAnsi="仿宋_GB2312" w:eastAsia="仿宋_GB2312" w:cs="仿宋_GB2312"/>
          <w:color w:val="000000" w:themeColor="text1"/>
          <w:sz w:val="36"/>
          <w:szCs w:val="36"/>
          <w14:textFill>
            <w14:solidFill>
              <w14:schemeClr w14:val="tx1"/>
            </w14:solidFill>
          </w14:textFill>
        </w:rPr>
      </w:pPr>
    </w:p>
    <w:p>
      <w:pPr>
        <w:jc w:val="center"/>
        <w:rPr>
          <w:rFonts w:ascii="仿宋" w:hAnsi="仿宋" w:eastAsia="仿宋" w:cs="仿宋"/>
          <w:b/>
          <w:bCs/>
          <w:color w:val="000000" w:themeColor="text1"/>
          <w:sz w:val="72"/>
          <w:szCs w:val="72"/>
          <w14:textFill>
            <w14:solidFill>
              <w14:schemeClr w14:val="tx1"/>
            </w14:solidFill>
          </w14:textFill>
        </w:rPr>
      </w:pPr>
      <w:bookmarkStart w:id="0" w:name="_Toc12607"/>
      <w:r>
        <w:rPr>
          <w:rFonts w:hint="eastAsia" w:ascii="仿宋" w:hAnsi="仿宋" w:eastAsia="仿宋" w:cs="仿宋"/>
          <w:b/>
          <w:bCs/>
          <w:color w:val="000000" w:themeColor="text1"/>
          <w:sz w:val="72"/>
          <w:szCs w:val="72"/>
          <w14:textFill>
            <w14:solidFill>
              <w14:schemeClr w14:val="tx1"/>
            </w14:solidFill>
          </w14:textFill>
        </w:rPr>
        <w:t>建设项目环境影响报告表</w:t>
      </w:r>
      <w:bookmarkEnd w:id="0"/>
    </w:p>
    <w:p>
      <w:pPr>
        <w:adjustRightInd w:val="0"/>
        <w:snapToGrid w:val="0"/>
        <w:spacing w:beforeLines="80"/>
        <w:jc w:val="center"/>
        <w:rPr>
          <w:rFonts w:ascii="楷体_GB2312" w:eastAsia="楷体_GB2312"/>
          <w:bCs/>
          <w:color w:val="000000" w:themeColor="text1"/>
          <w:sz w:val="48"/>
          <w:szCs w:val="48"/>
          <w14:textFill>
            <w14:solidFill>
              <w14:schemeClr w14:val="tx1"/>
            </w14:solidFill>
          </w14:textFill>
        </w:rPr>
      </w:pPr>
      <w:r>
        <w:rPr>
          <w:rFonts w:hint="eastAsia" w:ascii="楷体_GB2312" w:eastAsia="楷体_GB2312"/>
          <w:bCs/>
          <w:color w:val="000000" w:themeColor="text1"/>
          <w:sz w:val="48"/>
          <w:szCs w:val="48"/>
          <w14:textFill>
            <w14:solidFill>
              <w14:schemeClr w14:val="tx1"/>
            </w14:solidFill>
          </w14:textFill>
        </w:rPr>
        <w:t>（污染影响类）</w:t>
      </w:r>
    </w:p>
    <w:p>
      <w:pPr>
        <w:rPr>
          <w:color w:val="000000" w:themeColor="text1"/>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adjustRightInd w:val="0"/>
        <w:snapToGrid w:val="0"/>
        <w:ind w:firstLine="723" w:firstLineChars="200"/>
        <w:jc w:val="both"/>
        <w:rPr>
          <w:rFonts w:ascii="仿宋_GB2312" w:eastAsia="仿宋_GB2312"/>
          <w:b/>
          <w:bCs/>
          <w:color w:val="000000" w:themeColor="text1"/>
          <w:sz w:val="36"/>
          <w:szCs w:val="36"/>
          <w:u w:val="single"/>
          <w14:textFill>
            <w14:solidFill>
              <w14:schemeClr w14:val="tx1"/>
            </w14:solidFill>
          </w14:textFill>
        </w:rPr>
      </w:pPr>
      <w:r>
        <w:rPr>
          <w:rFonts w:hint="eastAsia" w:ascii="仿宋_GB2312" w:eastAsia="仿宋_GB2312"/>
          <w:b/>
          <w:bCs/>
          <w:color w:val="000000" w:themeColor="text1"/>
          <w:sz w:val="36"/>
          <w:szCs w:val="36"/>
          <w14:textFill>
            <w14:solidFill>
              <w14:schemeClr w14:val="tx1"/>
            </w14:solidFill>
          </w14:textFill>
        </w:rPr>
        <w:t>项目名称：</w:t>
      </w:r>
      <w:r>
        <w:rPr>
          <w:rFonts w:hint="eastAsia" w:ascii="仿宋_GB2312" w:eastAsia="仿宋_GB2312"/>
          <w:b/>
          <w:bCs/>
          <w:color w:val="000000" w:themeColor="text1"/>
          <w:sz w:val="36"/>
          <w:szCs w:val="36"/>
          <w:u w:val="single"/>
          <w:lang w:eastAsia="zh-CN"/>
          <w14:textFill>
            <w14:solidFill>
              <w14:schemeClr w14:val="tx1"/>
            </w14:solidFill>
          </w14:textFill>
        </w:rPr>
        <w:t>临湘市桃林镇中心卫生院(临湘市桃林镇中心妇幼保健计划生育服务站）</w:t>
      </w:r>
      <w:r>
        <w:rPr>
          <w:rFonts w:hint="eastAsia" w:ascii="仿宋_GB2312" w:eastAsia="仿宋_GB2312"/>
          <w:b/>
          <w:bCs/>
          <w:color w:val="000000" w:themeColor="text1"/>
          <w:sz w:val="36"/>
          <w:szCs w:val="36"/>
          <w:u w:val="single"/>
          <w14:textFill>
            <w14:solidFill>
              <w14:schemeClr w14:val="tx1"/>
            </w14:solidFill>
          </w14:textFill>
        </w:rPr>
        <w:t>建设项目</w:t>
      </w:r>
    </w:p>
    <w:p>
      <w:pPr>
        <w:adjustRightInd w:val="0"/>
        <w:snapToGrid w:val="0"/>
        <w:ind w:firstLine="723" w:firstLineChars="200"/>
        <w:jc w:val="both"/>
        <w:rPr>
          <w:rFonts w:hint="eastAsia" w:ascii="仿宋_GB2312" w:eastAsia="仿宋_GB2312"/>
          <w:b/>
          <w:bCs/>
          <w:color w:val="000000" w:themeColor="text1"/>
          <w:sz w:val="36"/>
          <w:szCs w:val="36"/>
          <w:lang w:eastAsia="zh-CN"/>
          <w14:textFill>
            <w14:solidFill>
              <w14:schemeClr w14:val="tx1"/>
            </w14:solidFill>
          </w14:textFill>
        </w:rPr>
      </w:pPr>
      <w:r>
        <w:rPr>
          <w:rFonts w:hint="eastAsia" w:ascii="仿宋_GB2312" w:eastAsia="仿宋_GB2312"/>
          <w:b/>
          <w:bCs/>
          <w:color w:val="000000" w:themeColor="text1"/>
          <w:sz w:val="36"/>
          <w:szCs w:val="36"/>
          <w14:textFill>
            <w14:solidFill>
              <w14:schemeClr w14:val="tx1"/>
            </w14:solidFill>
          </w14:textFill>
        </w:rPr>
        <w:t>建设单位（盖章）：</w:t>
      </w:r>
      <w:r>
        <w:rPr>
          <w:rFonts w:hint="eastAsia" w:ascii="仿宋_GB2312" w:eastAsia="仿宋_GB2312"/>
          <w:b/>
          <w:bCs/>
          <w:color w:val="000000" w:themeColor="text1"/>
          <w:sz w:val="36"/>
          <w:szCs w:val="36"/>
          <w:u w:val="single"/>
          <w:lang w:eastAsia="zh-CN"/>
          <w14:textFill>
            <w14:solidFill>
              <w14:schemeClr w14:val="tx1"/>
            </w14:solidFill>
          </w14:textFill>
        </w:rPr>
        <w:t>临湘市桃林镇中心卫生院(临湘市桃林镇中心妇幼保健计划生育服务站）</w:t>
      </w:r>
    </w:p>
    <w:p>
      <w:pPr>
        <w:adjustRightInd w:val="0"/>
        <w:snapToGrid w:val="0"/>
        <w:ind w:firstLine="1040"/>
        <w:jc w:val="center"/>
        <w:rPr>
          <w:rFonts w:ascii="仿宋_GB2312" w:eastAsia="仿宋_GB2312"/>
          <w:b/>
          <w:bCs/>
          <w:color w:val="000000" w:themeColor="text1"/>
          <w:sz w:val="36"/>
          <w:szCs w:val="36"/>
          <w14:textFill>
            <w14:solidFill>
              <w14:schemeClr w14:val="tx1"/>
            </w14:solidFill>
          </w14:textFill>
        </w:rPr>
      </w:pPr>
      <w:r>
        <w:rPr>
          <w:rFonts w:hint="eastAsia" w:ascii="仿宋_GB2312" w:eastAsia="仿宋_GB2312"/>
          <w:b/>
          <w:bCs/>
          <w:color w:val="000000" w:themeColor="text1"/>
          <w:sz w:val="36"/>
          <w:szCs w:val="36"/>
          <w14:textFill>
            <w14:solidFill>
              <w14:schemeClr w14:val="tx1"/>
            </w14:solidFill>
          </w14:textFill>
        </w:rPr>
        <w:t xml:space="preserve"> </w:t>
      </w:r>
      <w:bookmarkStart w:id="1" w:name="_Hlk57884087"/>
    </w:p>
    <w:p>
      <w:pPr>
        <w:pStyle w:val="13"/>
        <w:rPr>
          <w:rFonts w:ascii="仿宋_GB2312" w:eastAsia="仿宋_GB2312"/>
          <w:b/>
          <w:bCs/>
          <w:color w:val="000000" w:themeColor="text1"/>
          <w:sz w:val="36"/>
          <w:szCs w:val="36"/>
          <w14:textFill>
            <w14:solidFill>
              <w14:schemeClr w14:val="tx1"/>
            </w14:solidFill>
          </w14:textFill>
        </w:rPr>
      </w:pPr>
    </w:p>
    <w:p>
      <w:pPr>
        <w:pStyle w:val="30"/>
        <w:ind w:firstLine="241"/>
        <w:rPr>
          <w:b/>
          <w:bCs/>
          <w:color w:val="000000" w:themeColor="text1"/>
          <w14:textFill>
            <w14:solidFill>
              <w14:schemeClr w14:val="tx1"/>
            </w14:solidFill>
          </w14:textFill>
        </w:rPr>
      </w:pPr>
    </w:p>
    <w:bookmarkEnd w:id="1"/>
    <w:p>
      <w:pPr>
        <w:adjustRightInd w:val="0"/>
        <w:snapToGrid w:val="0"/>
        <w:spacing w:line="288" w:lineRule="auto"/>
        <w:jc w:val="center"/>
        <w:rPr>
          <w:rFonts w:ascii="楷体_GB2312" w:eastAsia="楷体_GB2312"/>
          <w:b/>
          <w:bCs/>
          <w:color w:val="000000" w:themeColor="text1"/>
          <w:sz w:val="36"/>
          <w:szCs w:val="36"/>
          <w14:textFill>
            <w14:solidFill>
              <w14:schemeClr w14:val="tx1"/>
            </w14:solidFill>
          </w14:textFill>
        </w:rPr>
      </w:pPr>
      <w:r>
        <w:rPr>
          <w:rFonts w:hint="eastAsia" w:ascii="楷体_GB2312" w:eastAsia="楷体_GB2312"/>
          <w:b/>
          <w:bCs/>
          <w:color w:val="000000" w:themeColor="text1"/>
          <w:sz w:val="36"/>
          <w:szCs w:val="36"/>
          <w14:textFill>
            <w14:solidFill>
              <w14:schemeClr w14:val="tx1"/>
            </w14:solidFill>
          </w14:textFill>
        </w:rPr>
        <w:t>中华人民共和国生态环境部制</w:t>
      </w:r>
    </w:p>
    <w:p>
      <w:pPr>
        <w:pStyle w:val="13"/>
        <w:jc w:val="center"/>
        <w:rPr>
          <w:rFonts w:ascii="仿宋_GB2312" w:eastAsia="仿宋_GB2312"/>
          <w:color w:val="000000" w:themeColor="text1"/>
          <w:sz w:val="36"/>
          <w:szCs w:val="36"/>
          <w14:textFill>
            <w14:solidFill>
              <w14:schemeClr w14:val="tx1"/>
            </w14:solidFill>
          </w14:textFill>
        </w:rPr>
      </w:pPr>
      <w:r>
        <w:rPr>
          <w:rFonts w:hint="eastAsia" w:ascii="楷体_GB2312" w:eastAsia="楷体_GB2312"/>
          <w:b/>
          <w:bCs/>
          <w:color w:val="000000" w:themeColor="text1"/>
          <w:kern w:val="2"/>
          <w:sz w:val="36"/>
          <w:szCs w:val="36"/>
          <w:lang w:eastAsia="zh-CN"/>
          <w14:textFill>
            <w14:solidFill>
              <w14:schemeClr w14:val="tx1"/>
            </w14:solidFill>
          </w14:textFill>
        </w:rPr>
        <w:t>二〇二</w:t>
      </w:r>
      <w:r>
        <w:rPr>
          <w:rFonts w:hint="eastAsia" w:ascii="楷体_GB2312" w:eastAsia="楷体_GB2312"/>
          <w:b/>
          <w:bCs/>
          <w:color w:val="000000" w:themeColor="text1"/>
          <w:kern w:val="2"/>
          <w:sz w:val="36"/>
          <w:szCs w:val="36"/>
          <w:lang w:val="en-US" w:eastAsia="zh-CN"/>
          <w14:textFill>
            <w14:solidFill>
              <w14:schemeClr w14:val="tx1"/>
            </w14:solidFill>
          </w14:textFill>
        </w:rPr>
        <w:t>四</w:t>
      </w:r>
      <w:r>
        <w:rPr>
          <w:rFonts w:hint="eastAsia" w:ascii="楷体_GB2312" w:eastAsia="楷体_GB2312"/>
          <w:b/>
          <w:bCs/>
          <w:color w:val="000000" w:themeColor="text1"/>
          <w:kern w:val="2"/>
          <w:sz w:val="36"/>
          <w:szCs w:val="36"/>
          <w:lang w:eastAsia="zh-CN"/>
          <w14:textFill>
            <w14:solidFill>
              <w14:schemeClr w14:val="tx1"/>
            </w14:solidFill>
          </w14:textFill>
        </w:rPr>
        <w:t>年</w:t>
      </w:r>
      <w:r>
        <w:rPr>
          <w:rFonts w:hint="eastAsia" w:ascii="楷体_GB2312" w:eastAsia="楷体_GB2312"/>
          <w:b/>
          <w:bCs/>
          <w:color w:val="000000" w:themeColor="text1"/>
          <w:kern w:val="2"/>
          <w:sz w:val="36"/>
          <w:szCs w:val="36"/>
          <w:lang w:val="en-US" w:eastAsia="zh-CN"/>
          <w14:textFill>
            <w14:solidFill>
              <w14:schemeClr w14:val="tx1"/>
            </w14:solidFill>
          </w14:textFill>
        </w:rPr>
        <w:t>二</w:t>
      </w:r>
      <w:r>
        <w:rPr>
          <w:rFonts w:hint="eastAsia" w:ascii="楷体_GB2312" w:eastAsia="楷体_GB2312"/>
          <w:b/>
          <w:bCs/>
          <w:color w:val="000000" w:themeColor="text1"/>
          <w:kern w:val="2"/>
          <w:sz w:val="36"/>
          <w:szCs w:val="36"/>
          <w14:textFill>
            <w14:solidFill>
              <w14:schemeClr w14:val="tx1"/>
            </w14:solidFill>
          </w14:textFill>
        </w:rPr>
        <w:t>月</w:t>
      </w:r>
    </w:p>
    <w:p>
      <w:pPr>
        <w:pStyle w:val="25"/>
        <w:ind w:left="480"/>
        <w:rPr>
          <w:rFonts w:ascii="仿宋_GB2312" w:eastAsia="仿宋_GB2312"/>
          <w:color w:val="000000" w:themeColor="text1"/>
          <w:sz w:val="36"/>
          <w:szCs w:val="36"/>
          <w14:textFill>
            <w14:solidFill>
              <w14:schemeClr w14:val="tx1"/>
            </w14:solidFill>
          </w14:textFill>
        </w:rPr>
        <w:sectPr>
          <w:footerReference r:id="rId5" w:type="default"/>
          <w:footerReference r:id="rId6" w:type="even"/>
          <w:pgSz w:w="11906" w:h="16838"/>
          <w:pgMar w:top="1701" w:right="1531" w:bottom="1701" w:left="1531" w:header="851" w:footer="1077" w:gutter="0"/>
          <w:pgNumType w:fmt="decimal" w:start="1"/>
          <w:cols w:space="720" w:num="1"/>
          <w:docGrid w:linePitch="312" w:charSpace="0"/>
        </w:sectPr>
      </w:pPr>
    </w:p>
    <w:p>
      <w:pPr>
        <w:jc w:val="center"/>
        <w:rPr>
          <w:rFonts w:hint="eastAsia"/>
          <w:b/>
          <w:bCs/>
          <w:color w:val="000000" w:themeColor="text1"/>
          <w:sz w:val="32"/>
          <w:szCs w:val="32"/>
          <w14:textFill>
            <w14:solidFill>
              <w14:schemeClr w14:val="tx1"/>
            </w14:solidFill>
          </w14:textFill>
        </w:rPr>
        <w:sectPr>
          <w:pgSz w:w="11906" w:h="16838"/>
          <w:pgMar w:top="1701" w:right="1531" w:bottom="1701" w:left="1531" w:header="851" w:footer="1077" w:gutter="0"/>
          <w:pgNumType w:fmt="decimal" w:start="1"/>
          <w:cols w:space="720" w:num="1"/>
          <w:docGrid w:linePitch="312" w:charSpace="0"/>
        </w:sectPr>
      </w:pPr>
      <w:r>
        <w:drawing>
          <wp:inline distT="0" distB="0" distL="114300" distR="114300">
            <wp:extent cx="5528945" cy="8462645"/>
            <wp:effectExtent l="0" t="0" r="14605"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528945" cy="8462645"/>
                    </a:xfrm>
                    <a:prstGeom prst="rect">
                      <a:avLst/>
                    </a:prstGeom>
                    <a:noFill/>
                    <a:ln>
                      <a:noFill/>
                    </a:ln>
                  </pic:spPr>
                </pic:pic>
              </a:graphicData>
            </a:graphic>
          </wp:inline>
        </w:drawing>
      </w:r>
      <w:r>
        <w:drawing>
          <wp:inline distT="0" distB="0" distL="114300" distR="114300">
            <wp:extent cx="5615940" cy="8403590"/>
            <wp:effectExtent l="0" t="0" r="3810" b="165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5615940" cy="8403590"/>
                    </a:xfrm>
                    <a:prstGeom prst="rect">
                      <a:avLst/>
                    </a:prstGeom>
                    <a:noFill/>
                    <a:ln>
                      <a:noFill/>
                    </a:ln>
                  </pic:spPr>
                </pic:pic>
              </a:graphicData>
            </a:graphic>
          </wp:inline>
        </w:drawing>
      </w:r>
    </w:p>
    <w:p>
      <w:pPr>
        <w:jc w:val="center"/>
        <w:rPr>
          <w:color w:val="000000" w:themeColor="text1"/>
          <w14:textFill>
            <w14:solidFill>
              <w14:schemeClr w14:val="tx1"/>
            </w14:solidFill>
          </w14:textFill>
        </w:rPr>
      </w:pPr>
      <w:r>
        <w:rPr>
          <w:rFonts w:hint="eastAsia"/>
          <w:b/>
          <w:bCs/>
          <w:color w:val="000000" w:themeColor="text1"/>
          <w:sz w:val="32"/>
          <w:szCs w:val="32"/>
          <w14:textFill>
            <w14:solidFill>
              <w14:schemeClr w14:val="tx1"/>
            </w14:solidFill>
          </w14:textFill>
        </w:rPr>
        <w:t>目录</w:t>
      </w:r>
    </w:p>
    <w:p>
      <w:pPr>
        <w:pStyle w:val="21"/>
        <w:shd w:val="clear"/>
        <w:tabs>
          <w:tab w:val="right" w:leader="dot" w:pos="8844"/>
        </w:tabs>
        <w:rPr>
          <w:sz w:val="24"/>
          <w:szCs w:val="24"/>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TOC \o "1-3" \h \u </w:instrText>
      </w:r>
      <w:r>
        <w:rPr>
          <w:color w:val="000000" w:themeColor="text1"/>
          <w:sz w:val="24"/>
          <w:szCs w:val="24"/>
          <w14:textFill>
            <w14:solidFill>
              <w14:schemeClr w14:val="tx1"/>
            </w14:solidFill>
          </w14:textFill>
        </w:rPr>
        <w:fldChar w:fldCharType="separate"/>
      </w:r>
      <w:r>
        <w:rPr>
          <w:sz w:val="24"/>
          <w:szCs w:val="24"/>
        </w:rPr>
        <w:fldChar w:fldCharType="begin"/>
      </w:r>
      <w:r>
        <w:rPr>
          <w:sz w:val="24"/>
          <w:szCs w:val="24"/>
        </w:rPr>
        <w:instrText xml:space="preserve"> HYPERLINK \l "_Toc22195" </w:instrText>
      </w:r>
      <w:r>
        <w:rPr>
          <w:sz w:val="24"/>
          <w:szCs w:val="24"/>
        </w:rPr>
        <w:fldChar w:fldCharType="separate"/>
      </w:r>
      <w:r>
        <w:rPr>
          <w:rFonts w:hint="eastAsia"/>
          <w:sz w:val="24"/>
          <w:szCs w:val="24"/>
        </w:rPr>
        <w:t>一、建设项目基本情况</w:t>
      </w:r>
      <w:r>
        <w:rPr>
          <w:sz w:val="24"/>
          <w:szCs w:val="24"/>
        </w:rPr>
        <w:tab/>
      </w:r>
      <w:r>
        <w:rPr>
          <w:sz w:val="24"/>
          <w:szCs w:val="24"/>
        </w:rPr>
        <w:fldChar w:fldCharType="begin"/>
      </w:r>
      <w:r>
        <w:rPr>
          <w:sz w:val="24"/>
          <w:szCs w:val="24"/>
        </w:rPr>
        <w:instrText xml:space="preserve"> PAGEREF _Toc22195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21"/>
        <w:shd w:val="clear"/>
        <w:tabs>
          <w:tab w:val="right" w:leader="dot" w:pos="8844"/>
        </w:tabs>
        <w:rPr>
          <w:sz w:val="24"/>
          <w:szCs w:val="24"/>
        </w:rPr>
      </w:pPr>
      <w:r>
        <w:rPr>
          <w:sz w:val="24"/>
          <w:szCs w:val="24"/>
        </w:rPr>
        <w:fldChar w:fldCharType="begin"/>
      </w:r>
      <w:r>
        <w:rPr>
          <w:sz w:val="24"/>
          <w:szCs w:val="24"/>
        </w:rPr>
        <w:instrText xml:space="preserve"> HYPERLINK \l "_Toc25066" </w:instrText>
      </w:r>
      <w:r>
        <w:rPr>
          <w:sz w:val="24"/>
          <w:szCs w:val="24"/>
        </w:rPr>
        <w:fldChar w:fldCharType="separate"/>
      </w:r>
      <w:r>
        <w:rPr>
          <w:rFonts w:hint="eastAsia"/>
          <w:sz w:val="24"/>
          <w:szCs w:val="24"/>
        </w:rPr>
        <w:t>二、建设项目工程分析</w:t>
      </w:r>
      <w:r>
        <w:rPr>
          <w:sz w:val="24"/>
          <w:szCs w:val="24"/>
        </w:rPr>
        <w:tab/>
      </w:r>
      <w:r>
        <w:rPr>
          <w:sz w:val="24"/>
          <w:szCs w:val="24"/>
        </w:rPr>
        <w:fldChar w:fldCharType="begin"/>
      </w:r>
      <w:r>
        <w:rPr>
          <w:sz w:val="24"/>
          <w:szCs w:val="24"/>
        </w:rPr>
        <w:instrText xml:space="preserve"> PAGEREF _Toc25066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21"/>
        <w:shd w:val="clear"/>
        <w:tabs>
          <w:tab w:val="right" w:leader="dot" w:pos="8844"/>
        </w:tabs>
        <w:rPr>
          <w:sz w:val="24"/>
          <w:szCs w:val="24"/>
        </w:rPr>
      </w:pPr>
      <w:r>
        <w:rPr>
          <w:sz w:val="24"/>
          <w:szCs w:val="24"/>
        </w:rPr>
        <w:fldChar w:fldCharType="begin"/>
      </w:r>
      <w:r>
        <w:rPr>
          <w:sz w:val="24"/>
          <w:szCs w:val="24"/>
        </w:rPr>
        <w:instrText xml:space="preserve"> HYPERLINK \l "_Toc6176" </w:instrText>
      </w:r>
      <w:r>
        <w:rPr>
          <w:sz w:val="24"/>
          <w:szCs w:val="24"/>
        </w:rPr>
        <w:fldChar w:fldCharType="separate"/>
      </w:r>
      <w:r>
        <w:rPr>
          <w:rFonts w:hint="eastAsia"/>
          <w:sz w:val="24"/>
          <w:szCs w:val="24"/>
        </w:rPr>
        <w:t>三、区域环境质量现状、环境保护目标及评价标准</w:t>
      </w:r>
      <w:r>
        <w:rPr>
          <w:sz w:val="24"/>
          <w:szCs w:val="24"/>
        </w:rPr>
        <w:tab/>
      </w:r>
      <w:r>
        <w:rPr>
          <w:sz w:val="24"/>
          <w:szCs w:val="24"/>
        </w:rPr>
        <w:fldChar w:fldCharType="begin"/>
      </w:r>
      <w:r>
        <w:rPr>
          <w:sz w:val="24"/>
          <w:szCs w:val="24"/>
        </w:rPr>
        <w:instrText xml:space="preserve"> PAGEREF _Toc6176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21"/>
        <w:shd w:val="clear"/>
        <w:tabs>
          <w:tab w:val="right" w:leader="dot" w:pos="8844"/>
        </w:tabs>
        <w:rPr>
          <w:sz w:val="24"/>
          <w:szCs w:val="24"/>
        </w:rPr>
      </w:pPr>
      <w:r>
        <w:rPr>
          <w:sz w:val="24"/>
          <w:szCs w:val="24"/>
        </w:rPr>
        <w:fldChar w:fldCharType="begin"/>
      </w:r>
      <w:r>
        <w:rPr>
          <w:sz w:val="24"/>
          <w:szCs w:val="24"/>
        </w:rPr>
        <w:instrText xml:space="preserve"> HYPERLINK \l "_Toc5279" </w:instrText>
      </w:r>
      <w:r>
        <w:rPr>
          <w:sz w:val="24"/>
          <w:szCs w:val="24"/>
        </w:rPr>
        <w:fldChar w:fldCharType="separate"/>
      </w:r>
      <w:r>
        <w:rPr>
          <w:rFonts w:hint="eastAsia"/>
          <w:sz w:val="24"/>
          <w:szCs w:val="24"/>
        </w:rPr>
        <w:t>四、主要环境影响和保护措施</w:t>
      </w:r>
      <w:r>
        <w:rPr>
          <w:sz w:val="24"/>
          <w:szCs w:val="24"/>
        </w:rPr>
        <w:tab/>
      </w:r>
      <w:r>
        <w:rPr>
          <w:sz w:val="24"/>
          <w:szCs w:val="24"/>
        </w:rPr>
        <w:fldChar w:fldCharType="begin"/>
      </w:r>
      <w:r>
        <w:rPr>
          <w:sz w:val="24"/>
          <w:szCs w:val="24"/>
        </w:rPr>
        <w:instrText xml:space="preserve"> PAGEREF _Toc5279 \h </w:instrText>
      </w:r>
      <w:r>
        <w:rPr>
          <w:sz w:val="24"/>
          <w:szCs w:val="24"/>
        </w:rPr>
        <w:fldChar w:fldCharType="separate"/>
      </w:r>
      <w:r>
        <w:rPr>
          <w:sz w:val="24"/>
          <w:szCs w:val="24"/>
        </w:rPr>
        <w:t>33</w:t>
      </w:r>
      <w:r>
        <w:rPr>
          <w:sz w:val="24"/>
          <w:szCs w:val="24"/>
        </w:rPr>
        <w:fldChar w:fldCharType="end"/>
      </w:r>
      <w:r>
        <w:rPr>
          <w:sz w:val="24"/>
          <w:szCs w:val="24"/>
        </w:rPr>
        <w:fldChar w:fldCharType="end"/>
      </w:r>
    </w:p>
    <w:p>
      <w:pPr>
        <w:pStyle w:val="21"/>
        <w:shd w:val="clear"/>
        <w:tabs>
          <w:tab w:val="right" w:leader="dot" w:pos="8844"/>
        </w:tabs>
        <w:rPr>
          <w:sz w:val="24"/>
          <w:szCs w:val="24"/>
        </w:rPr>
      </w:pPr>
      <w:r>
        <w:rPr>
          <w:sz w:val="24"/>
          <w:szCs w:val="24"/>
        </w:rPr>
        <w:fldChar w:fldCharType="begin"/>
      </w:r>
      <w:r>
        <w:rPr>
          <w:sz w:val="24"/>
          <w:szCs w:val="24"/>
        </w:rPr>
        <w:instrText xml:space="preserve"> HYPERLINK \l "_Toc3500" </w:instrText>
      </w:r>
      <w:r>
        <w:rPr>
          <w:sz w:val="24"/>
          <w:szCs w:val="24"/>
        </w:rPr>
        <w:fldChar w:fldCharType="separate"/>
      </w:r>
      <w:r>
        <w:rPr>
          <w:rFonts w:hint="eastAsia"/>
          <w:sz w:val="24"/>
          <w:szCs w:val="24"/>
        </w:rPr>
        <w:t>五、环境保护措施监督检查清单</w:t>
      </w:r>
      <w:r>
        <w:rPr>
          <w:sz w:val="24"/>
          <w:szCs w:val="24"/>
        </w:rPr>
        <w:tab/>
      </w:r>
      <w:r>
        <w:rPr>
          <w:sz w:val="24"/>
          <w:szCs w:val="24"/>
        </w:rPr>
        <w:fldChar w:fldCharType="begin"/>
      </w:r>
      <w:r>
        <w:rPr>
          <w:sz w:val="24"/>
          <w:szCs w:val="24"/>
        </w:rPr>
        <w:instrText xml:space="preserve"> PAGEREF _Toc3500 \h </w:instrText>
      </w:r>
      <w:r>
        <w:rPr>
          <w:sz w:val="24"/>
          <w:szCs w:val="24"/>
        </w:rPr>
        <w:fldChar w:fldCharType="separate"/>
      </w:r>
      <w:r>
        <w:rPr>
          <w:sz w:val="24"/>
          <w:szCs w:val="24"/>
        </w:rPr>
        <w:t>51</w:t>
      </w:r>
      <w:r>
        <w:rPr>
          <w:sz w:val="24"/>
          <w:szCs w:val="24"/>
        </w:rPr>
        <w:fldChar w:fldCharType="end"/>
      </w:r>
      <w:r>
        <w:rPr>
          <w:sz w:val="24"/>
          <w:szCs w:val="24"/>
        </w:rPr>
        <w:fldChar w:fldCharType="end"/>
      </w:r>
    </w:p>
    <w:p>
      <w:pPr>
        <w:pStyle w:val="21"/>
        <w:shd w:val="clear"/>
        <w:tabs>
          <w:tab w:val="right" w:leader="dot" w:pos="8844"/>
        </w:tabs>
        <w:rPr>
          <w:sz w:val="24"/>
          <w:szCs w:val="24"/>
        </w:rPr>
      </w:pPr>
      <w:r>
        <w:rPr>
          <w:sz w:val="24"/>
          <w:szCs w:val="24"/>
        </w:rPr>
        <w:fldChar w:fldCharType="begin"/>
      </w:r>
      <w:r>
        <w:rPr>
          <w:sz w:val="24"/>
          <w:szCs w:val="24"/>
        </w:rPr>
        <w:instrText xml:space="preserve"> HYPERLINK \l "_Toc13080" </w:instrText>
      </w:r>
      <w:r>
        <w:rPr>
          <w:sz w:val="24"/>
          <w:szCs w:val="24"/>
        </w:rPr>
        <w:fldChar w:fldCharType="separate"/>
      </w:r>
      <w:r>
        <w:rPr>
          <w:rFonts w:hint="eastAsia"/>
          <w:sz w:val="24"/>
          <w:szCs w:val="24"/>
        </w:rPr>
        <w:t>六、结论</w:t>
      </w:r>
      <w:r>
        <w:rPr>
          <w:sz w:val="24"/>
          <w:szCs w:val="24"/>
        </w:rPr>
        <w:tab/>
      </w:r>
      <w:r>
        <w:rPr>
          <w:sz w:val="24"/>
          <w:szCs w:val="24"/>
        </w:rPr>
        <w:fldChar w:fldCharType="begin"/>
      </w:r>
      <w:r>
        <w:rPr>
          <w:sz w:val="24"/>
          <w:szCs w:val="24"/>
        </w:rPr>
        <w:instrText xml:space="preserve"> PAGEREF _Toc13080 \h </w:instrText>
      </w:r>
      <w:r>
        <w:rPr>
          <w:sz w:val="24"/>
          <w:szCs w:val="24"/>
        </w:rPr>
        <w:fldChar w:fldCharType="separate"/>
      </w:r>
      <w:r>
        <w:rPr>
          <w:sz w:val="24"/>
          <w:szCs w:val="24"/>
        </w:rPr>
        <w:t>54</w:t>
      </w:r>
      <w:r>
        <w:rPr>
          <w:sz w:val="24"/>
          <w:szCs w:val="24"/>
        </w:rPr>
        <w:fldChar w:fldCharType="end"/>
      </w:r>
      <w:r>
        <w:rPr>
          <w:sz w:val="24"/>
          <w:szCs w:val="24"/>
        </w:rPr>
        <w:fldChar w:fldCharType="end"/>
      </w:r>
    </w:p>
    <w:p>
      <w:pPr>
        <w:pStyle w:val="25"/>
        <w:keepNext w:val="0"/>
        <w:keepLines w:val="0"/>
        <w:pageBreakBefore w:val="0"/>
        <w:widowControl w:val="0"/>
        <w:shd w:val="clear"/>
        <w:tabs>
          <w:tab w:val="right" w:leader="dot" w:pos="8844"/>
        </w:tabs>
        <w:kinsoku/>
        <w:wordWrap/>
        <w:overflowPunct/>
        <w:topLinePunct w:val="0"/>
        <w:autoSpaceDE/>
        <w:autoSpaceDN/>
        <w:bidi w:val="0"/>
        <w:adjustRightInd/>
        <w:snapToGrid/>
        <w:ind w:left="0" w:leftChars="0"/>
        <w:textAlignment w:val="auto"/>
        <w:rPr>
          <w:rFonts w:hint="eastAsia" w:eastAsia="宋体"/>
          <w:b/>
          <w:bCs/>
          <w:sz w:val="24"/>
          <w:szCs w:val="24"/>
          <w:lang w:val="en-US" w:eastAsia="zh-CN"/>
        </w:rPr>
      </w:pPr>
      <w:r>
        <w:rPr>
          <w:rFonts w:hint="eastAsia"/>
          <w:b/>
          <w:bCs/>
          <w:sz w:val="24"/>
          <w:szCs w:val="24"/>
          <w:lang w:val="en-US" w:eastAsia="zh-CN"/>
        </w:rPr>
        <w:t>附表</w:t>
      </w:r>
    </w:p>
    <w:p>
      <w:pPr>
        <w:pStyle w:val="21"/>
        <w:shd w:val="clear"/>
        <w:tabs>
          <w:tab w:val="right" w:leader="dot" w:pos="8844"/>
        </w:tabs>
        <w:rPr>
          <w:b/>
          <w:bCs/>
          <w:sz w:val="24"/>
          <w:szCs w:val="24"/>
        </w:rPr>
      </w:pPr>
      <w:r>
        <w:rPr>
          <w:b/>
          <w:bCs/>
          <w:sz w:val="24"/>
          <w:szCs w:val="24"/>
        </w:rPr>
        <w:fldChar w:fldCharType="begin"/>
      </w:r>
      <w:r>
        <w:rPr>
          <w:b/>
          <w:bCs/>
          <w:sz w:val="24"/>
          <w:szCs w:val="24"/>
        </w:rPr>
        <w:instrText xml:space="preserve"> HYPERLINK \l "_Toc28875" </w:instrText>
      </w:r>
      <w:r>
        <w:rPr>
          <w:b/>
          <w:bCs/>
          <w:sz w:val="24"/>
          <w:szCs w:val="24"/>
        </w:rPr>
        <w:fldChar w:fldCharType="separate"/>
      </w:r>
      <w:r>
        <w:rPr>
          <w:rFonts w:hint="eastAsia"/>
          <w:b/>
          <w:bCs/>
          <w:sz w:val="24"/>
          <w:szCs w:val="24"/>
        </w:rPr>
        <w:t>附件</w:t>
      </w:r>
      <w:r>
        <w:rPr>
          <w:b/>
          <w:bCs/>
          <w:sz w:val="24"/>
          <w:szCs w:val="24"/>
        </w:rPr>
        <w:fldChar w:fldCharType="end"/>
      </w:r>
    </w:p>
    <w:p>
      <w:pPr>
        <w:pStyle w:val="21"/>
        <w:shd w:val="clear"/>
        <w:tabs>
          <w:tab w:val="right" w:leader="dot" w:pos="8844"/>
        </w:tabs>
        <w:rPr>
          <w:sz w:val="24"/>
          <w:szCs w:val="24"/>
        </w:rPr>
      </w:pPr>
      <w:r>
        <w:rPr>
          <w:sz w:val="24"/>
          <w:szCs w:val="24"/>
        </w:rPr>
        <w:fldChar w:fldCharType="begin"/>
      </w:r>
      <w:r>
        <w:rPr>
          <w:sz w:val="24"/>
          <w:szCs w:val="24"/>
        </w:rPr>
        <w:instrText xml:space="preserve"> HYPERLINK \l "_Toc26933" </w:instrText>
      </w:r>
      <w:r>
        <w:rPr>
          <w:sz w:val="24"/>
          <w:szCs w:val="24"/>
        </w:rPr>
        <w:fldChar w:fldCharType="separate"/>
      </w:r>
      <w:r>
        <w:rPr>
          <w:rFonts w:hint="eastAsia" w:eastAsia="黑体"/>
          <w:snapToGrid w:val="0"/>
          <w:sz w:val="24"/>
          <w:szCs w:val="24"/>
        </w:rPr>
        <w:t>附件1：委托书</w:t>
      </w:r>
      <w:r>
        <w:rPr>
          <w:sz w:val="24"/>
          <w:szCs w:val="24"/>
        </w:rPr>
        <w:fldChar w:fldCharType="end"/>
      </w:r>
    </w:p>
    <w:p>
      <w:pPr>
        <w:pStyle w:val="21"/>
        <w:shd w:val="clear"/>
        <w:tabs>
          <w:tab w:val="right" w:leader="dot" w:pos="8844"/>
        </w:tabs>
        <w:rPr>
          <w:sz w:val="24"/>
          <w:szCs w:val="24"/>
        </w:rPr>
      </w:pPr>
      <w:r>
        <w:rPr>
          <w:sz w:val="24"/>
          <w:szCs w:val="24"/>
        </w:rPr>
        <w:fldChar w:fldCharType="begin"/>
      </w:r>
      <w:r>
        <w:rPr>
          <w:sz w:val="24"/>
          <w:szCs w:val="24"/>
        </w:rPr>
        <w:instrText xml:space="preserve"> HYPERLINK \l "_Toc27542" </w:instrText>
      </w:r>
      <w:r>
        <w:rPr>
          <w:sz w:val="24"/>
          <w:szCs w:val="24"/>
        </w:rPr>
        <w:fldChar w:fldCharType="separate"/>
      </w:r>
      <w:r>
        <w:rPr>
          <w:rFonts w:hint="eastAsia" w:eastAsia="黑体"/>
          <w:snapToGrid w:val="0"/>
          <w:sz w:val="24"/>
          <w:szCs w:val="24"/>
        </w:rPr>
        <w:t>附件2：事业单位法人证书</w:t>
      </w:r>
      <w:r>
        <w:rPr>
          <w:sz w:val="24"/>
          <w:szCs w:val="24"/>
        </w:rPr>
        <w:fldChar w:fldCharType="end"/>
      </w:r>
    </w:p>
    <w:p>
      <w:pPr>
        <w:pStyle w:val="21"/>
        <w:shd w:val="clear"/>
        <w:tabs>
          <w:tab w:val="right" w:leader="dot" w:pos="8844"/>
        </w:tabs>
        <w:rPr>
          <w:sz w:val="24"/>
          <w:szCs w:val="24"/>
        </w:rPr>
      </w:pPr>
      <w:r>
        <w:rPr>
          <w:sz w:val="24"/>
          <w:szCs w:val="24"/>
        </w:rPr>
        <w:fldChar w:fldCharType="begin"/>
      </w:r>
      <w:r>
        <w:rPr>
          <w:sz w:val="24"/>
          <w:szCs w:val="24"/>
        </w:rPr>
        <w:instrText xml:space="preserve"> HYPERLINK \l "_Toc24587" </w:instrText>
      </w:r>
      <w:r>
        <w:rPr>
          <w:sz w:val="24"/>
          <w:szCs w:val="24"/>
        </w:rPr>
        <w:fldChar w:fldCharType="separate"/>
      </w:r>
      <w:r>
        <w:rPr>
          <w:rFonts w:hint="eastAsia" w:eastAsia="黑体"/>
          <w:snapToGrid w:val="0"/>
          <w:sz w:val="24"/>
          <w:szCs w:val="24"/>
        </w:rPr>
        <w:t>附件3：</w:t>
      </w:r>
      <w:r>
        <w:rPr>
          <w:rFonts w:hint="eastAsia" w:eastAsia="黑体"/>
          <w:snapToGrid w:val="0"/>
          <w:sz w:val="24"/>
          <w:szCs w:val="24"/>
          <w:lang w:val="en-US" w:eastAsia="zh-CN"/>
        </w:rPr>
        <w:t>医疗机构许可证</w:t>
      </w:r>
      <w:r>
        <w:rPr>
          <w:sz w:val="24"/>
          <w:szCs w:val="24"/>
        </w:rPr>
        <w:fldChar w:fldCharType="end"/>
      </w:r>
    </w:p>
    <w:p>
      <w:pPr>
        <w:pStyle w:val="21"/>
        <w:shd w:val="clear"/>
        <w:tabs>
          <w:tab w:val="right" w:leader="dot" w:pos="8844"/>
        </w:tabs>
        <w:rPr>
          <w:sz w:val="24"/>
          <w:szCs w:val="24"/>
        </w:rPr>
      </w:pPr>
      <w:r>
        <w:rPr>
          <w:sz w:val="24"/>
          <w:szCs w:val="24"/>
        </w:rPr>
        <w:fldChar w:fldCharType="begin"/>
      </w:r>
      <w:r>
        <w:rPr>
          <w:sz w:val="24"/>
          <w:szCs w:val="24"/>
        </w:rPr>
        <w:instrText xml:space="preserve"> HYPERLINK \l "_Toc5263" </w:instrText>
      </w:r>
      <w:r>
        <w:rPr>
          <w:sz w:val="24"/>
          <w:szCs w:val="24"/>
        </w:rPr>
        <w:fldChar w:fldCharType="separate"/>
      </w:r>
      <w:r>
        <w:rPr>
          <w:rFonts w:hint="eastAsia" w:eastAsia="黑体"/>
          <w:snapToGrid w:val="0"/>
          <w:sz w:val="24"/>
          <w:szCs w:val="24"/>
        </w:rPr>
        <w:t>附件4：危险废物</w:t>
      </w:r>
      <w:r>
        <w:rPr>
          <w:rFonts w:hint="eastAsia" w:eastAsia="黑体"/>
          <w:snapToGrid w:val="0"/>
          <w:sz w:val="24"/>
          <w:szCs w:val="24"/>
          <w:lang w:val="en-US" w:eastAsia="zh-CN"/>
        </w:rPr>
        <w:t>处置合同</w:t>
      </w:r>
      <w:r>
        <w:rPr>
          <w:sz w:val="24"/>
          <w:szCs w:val="24"/>
        </w:rPr>
        <w:fldChar w:fldCharType="end"/>
      </w:r>
    </w:p>
    <w:p>
      <w:pPr>
        <w:pStyle w:val="21"/>
        <w:shd w:val="clear"/>
        <w:tabs>
          <w:tab w:val="right" w:leader="dot" w:pos="8844"/>
        </w:tabs>
        <w:rPr>
          <w:sz w:val="24"/>
          <w:szCs w:val="24"/>
        </w:rPr>
      </w:pPr>
      <w:r>
        <w:rPr>
          <w:sz w:val="24"/>
          <w:szCs w:val="24"/>
        </w:rPr>
        <w:fldChar w:fldCharType="begin"/>
      </w:r>
      <w:r>
        <w:rPr>
          <w:sz w:val="24"/>
          <w:szCs w:val="24"/>
        </w:rPr>
        <w:instrText xml:space="preserve"> HYPERLINK \l "_Toc29512" </w:instrText>
      </w:r>
      <w:r>
        <w:rPr>
          <w:sz w:val="24"/>
          <w:szCs w:val="24"/>
        </w:rPr>
        <w:fldChar w:fldCharType="separate"/>
      </w:r>
      <w:r>
        <w:rPr>
          <w:rFonts w:hint="eastAsia" w:eastAsia="黑体"/>
          <w:snapToGrid w:val="0"/>
          <w:sz w:val="24"/>
          <w:szCs w:val="24"/>
        </w:rPr>
        <w:t>附件5：</w:t>
      </w:r>
      <w:r>
        <w:rPr>
          <w:rFonts w:hint="eastAsia" w:eastAsia="黑体"/>
          <w:snapToGrid w:val="0"/>
          <w:sz w:val="24"/>
          <w:szCs w:val="24"/>
          <w:lang w:val="en-US" w:eastAsia="zh-CN"/>
        </w:rPr>
        <w:t>检测报告</w:t>
      </w:r>
      <w:r>
        <w:rPr>
          <w:sz w:val="24"/>
          <w:szCs w:val="24"/>
        </w:rPr>
        <w:fldChar w:fldCharType="end"/>
      </w:r>
    </w:p>
    <w:p>
      <w:pPr>
        <w:pStyle w:val="21"/>
        <w:shd w:val="clear"/>
        <w:tabs>
          <w:tab w:val="right" w:leader="dot" w:pos="8844"/>
        </w:tabs>
        <w:rPr>
          <w:sz w:val="24"/>
          <w:szCs w:val="24"/>
        </w:rPr>
      </w:pPr>
      <w:r>
        <w:rPr>
          <w:sz w:val="24"/>
          <w:szCs w:val="24"/>
        </w:rPr>
        <w:fldChar w:fldCharType="begin"/>
      </w:r>
      <w:r>
        <w:rPr>
          <w:sz w:val="24"/>
          <w:szCs w:val="24"/>
        </w:rPr>
        <w:instrText xml:space="preserve"> HYPERLINK \l "_Toc3198" </w:instrText>
      </w:r>
      <w:r>
        <w:rPr>
          <w:sz w:val="24"/>
          <w:szCs w:val="24"/>
        </w:rPr>
        <w:fldChar w:fldCharType="separate"/>
      </w:r>
      <w:r>
        <w:rPr>
          <w:rFonts w:hint="eastAsia" w:eastAsia="黑体"/>
          <w:snapToGrid w:val="0"/>
          <w:sz w:val="24"/>
          <w:szCs w:val="24"/>
        </w:rPr>
        <w:t>附件6：</w:t>
      </w:r>
      <w:r>
        <w:rPr>
          <w:rFonts w:hint="eastAsia" w:eastAsia="黑体"/>
          <w:snapToGrid w:val="0"/>
          <w:sz w:val="24"/>
          <w:szCs w:val="24"/>
          <w:lang w:val="en-US" w:eastAsia="zh-CN"/>
        </w:rPr>
        <w:t>湖南省卫生健康委、湖南省生态环境厅《关于做好一级医疗机构污水处理问题排查整治工作的通知》</w:t>
      </w:r>
      <w:r>
        <w:rPr>
          <w:sz w:val="24"/>
          <w:szCs w:val="24"/>
        </w:rPr>
        <w:fldChar w:fldCharType="end"/>
      </w:r>
    </w:p>
    <w:p>
      <w:pPr>
        <w:pStyle w:val="21"/>
        <w:shd w:val="clear"/>
        <w:tabs>
          <w:tab w:val="right" w:leader="dot" w:pos="8844"/>
        </w:tabs>
        <w:rPr>
          <w:sz w:val="24"/>
          <w:szCs w:val="24"/>
        </w:rPr>
      </w:pPr>
      <w:r>
        <w:rPr>
          <w:sz w:val="24"/>
          <w:szCs w:val="24"/>
        </w:rPr>
        <w:fldChar w:fldCharType="begin"/>
      </w:r>
      <w:r>
        <w:rPr>
          <w:sz w:val="24"/>
          <w:szCs w:val="24"/>
        </w:rPr>
        <w:instrText xml:space="preserve"> HYPERLINK \l "_Toc25128" </w:instrText>
      </w:r>
      <w:r>
        <w:rPr>
          <w:sz w:val="24"/>
          <w:szCs w:val="24"/>
        </w:rPr>
        <w:fldChar w:fldCharType="separate"/>
      </w:r>
      <w:r>
        <w:rPr>
          <w:rFonts w:hint="eastAsia" w:eastAsia="黑体"/>
          <w:snapToGrid w:val="0"/>
          <w:sz w:val="24"/>
          <w:szCs w:val="24"/>
        </w:rPr>
        <w:t>附件7：</w:t>
      </w:r>
      <w:r>
        <w:rPr>
          <w:rFonts w:hint="eastAsia" w:eastAsia="黑体"/>
          <w:snapToGrid w:val="0"/>
          <w:sz w:val="24"/>
          <w:szCs w:val="24"/>
          <w:lang w:val="en-US" w:eastAsia="zh-CN"/>
        </w:rPr>
        <w:t>《岳阳市卫生健康委、岳阳市生态环境局关于做好一级医疗机构污水处理问题排查整治工作内容的通知》</w:t>
      </w:r>
      <w:r>
        <w:rPr>
          <w:sz w:val="24"/>
          <w:szCs w:val="24"/>
        </w:rPr>
        <w:fldChar w:fldCharType="end"/>
      </w:r>
    </w:p>
    <w:p>
      <w:pPr>
        <w:pStyle w:val="21"/>
        <w:shd w:val="clear"/>
        <w:tabs>
          <w:tab w:val="right" w:leader="dot" w:pos="8844"/>
        </w:tabs>
        <w:rPr>
          <w:sz w:val="24"/>
          <w:szCs w:val="24"/>
        </w:rPr>
      </w:pPr>
      <w:r>
        <w:rPr>
          <w:sz w:val="24"/>
          <w:szCs w:val="24"/>
        </w:rPr>
        <w:fldChar w:fldCharType="begin"/>
      </w:r>
      <w:r>
        <w:rPr>
          <w:sz w:val="24"/>
          <w:szCs w:val="24"/>
        </w:rPr>
        <w:instrText xml:space="preserve"> HYPERLINK \l "_Toc30968" </w:instrText>
      </w:r>
      <w:r>
        <w:rPr>
          <w:sz w:val="24"/>
          <w:szCs w:val="24"/>
        </w:rPr>
        <w:fldChar w:fldCharType="separate"/>
      </w:r>
      <w:r>
        <w:rPr>
          <w:rFonts w:hint="eastAsia" w:eastAsia="黑体"/>
          <w:snapToGrid w:val="0"/>
          <w:sz w:val="24"/>
          <w:szCs w:val="24"/>
        </w:rPr>
        <w:t>附件8：辐射安全许可证</w:t>
      </w:r>
      <w:r>
        <w:rPr>
          <w:sz w:val="24"/>
          <w:szCs w:val="24"/>
        </w:rPr>
        <w:fldChar w:fldCharType="end"/>
      </w:r>
    </w:p>
    <w:p>
      <w:pPr>
        <w:shd w:val="clear"/>
        <w:rPr>
          <w:rFonts w:hint="eastAsia" w:ascii="Times New Roman" w:hAnsi="Times New Roman" w:eastAsia="黑体" w:cs="Times New Roman"/>
          <w:snapToGrid w:val="0"/>
          <w:kern w:val="2"/>
          <w:sz w:val="24"/>
          <w:szCs w:val="24"/>
          <w:lang w:val="en-US" w:eastAsia="zh-CN" w:bidi="ar-SA"/>
        </w:rPr>
      </w:pPr>
      <w:r>
        <w:rPr>
          <w:rFonts w:hint="eastAsia" w:ascii="Times New Roman" w:hAnsi="Times New Roman" w:eastAsia="黑体" w:cs="Times New Roman"/>
          <w:snapToGrid w:val="0"/>
          <w:kern w:val="2"/>
          <w:sz w:val="24"/>
          <w:szCs w:val="24"/>
          <w:lang w:val="en-US" w:eastAsia="zh-CN" w:bidi="ar-SA"/>
        </w:rPr>
        <w:fldChar w:fldCharType="begin"/>
      </w:r>
      <w:r>
        <w:rPr>
          <w:rFonts w:hint="eastAsia" w:ascii="Times New Roman" w:hAnsi="Times New Roman" w:eastAsia="黑体" w:cs="Times New Roman"/>
          <w:snapToGrid w:val="0"/>
          <w:kern w:val="2"/>
          <w:sz w:val="24"/>
          <w:szCs w:val="24"/>
          <w:lang w:val="en-US" w:eastAsia="zh-CN" w:bidi="ar-SA"/>
        </w:rPr>
        <w:instrText xml:space="preserve"> HYPERLINK \l "_Toc30968" </w:instrText>
      </w:r>
      <w:r>
        <w:rPr>
          <w:rFonts w:hint="eastAsia" w:ascii="Times New Roman" w:hAnsi="Times New Roman" w:eastAsia="黑体" w:cs="Times New Roman"/>
          <w:snapToGrid w:val="0"/>
          <w:kern w:val="2"/>
          <w:sz w:val="24"/>
          <w:szCs w:val="24"/>
          <w:lang w:val="en-US" w:eastAsia="zh-CN" w:bidi="ar-SA"/>
        </w:rPr>
        <w:fldChar w:fldCharType="separate"/>
      </w:r>
      <w:r>
        <w:rPr>
          <w:rFonts w:hint="eastAsia" w:ascii="Times New Roman" w:hAnsi="Times New Roman" w:eastAsia="黑体" w:cs="Times New Roman"/>
          <w:snapToGrid w:val="0"/>
          <w:kern w:val="2"/>
          <w:sz w:val="24"/>
          <w:szCs w:val="24"/>
          <w:lang w:val="en-US" w:eastAsia="zh-CN" w:bidi="ar-SA"/>
        </w:rPr>
        <w:t>附件9：2023年度临湘市一级医疗机构污水处理整治销号名单</w:t>
      </w:r>
      <w:r>
        <w:rPr>
          <w:rFonts w:hint="eastAsia" w:ascii="Times New Roman" w:hAnsi="Times New Roman" w:eastAsia="黑体" w:cs="Times New Roman"/>
          <w:snapToGrid w:val="0"/>
          <w:kern w:val="2"/>
          <w:sz w:val="24"/>
          <w:szCs w:val="24"/>
          <w:lang w:val="en-US" w:eastAsia="zh-CN" w:bidi="ar-SA"/>
        </w:rPr>
        <w:fldChar w:fldCharType="end"/>
      </w:r>
    </w:p>
    <w:p>
      <w:pPr>
        <w:pStyle w:val="21"/>
        <w:shd w:val="clear"/>
        <w:tabs>
          <w:tab w:val="right" w:leader="dot" w:pos="8844"/>
        </w:tabs>
        <w:rPr>
          <w:rFonts w:hint="eastAsia" w:ascii="Times New Roman" w:hAnsi="Times New Roman" w:eastAsia="黑体" w:cs="Times New Roman"/>
          <w:snapToGrid w:val="0"/>
          <w:kern w:val="2"/>
          <w:sz w:val="24"/>
          <w:szCs w:val="24"/>
          <w:lang w:val="en-US" w:eastAsia="zh-CN" w:bidi="ar-SA"/>
        </w:rPr>
      </w:pPr>
      <w:r>
        <w:rPr>
          <w:rFonts w:hint="eastAsia" w:eastAsia="黑体" w:cs="Times New Roman"/>
          <w:snapToGrid w:val="0"/>
          <w:kern w:val="2"/>
          <w:sz w:val="24"/>
          <w:szCs w:val="24"/>
          <w:lang w:val="en-US" w:eastAsia="zh-CN" w:bidi="ar-SA"/>
        </w:rPr>
        <w:t>附件10</w:t>
      </w:r>
      <w:r>
        <w:rPr>
          <w:rFonts w:hint="eastAsia" w:ascii="Times New Roman" w:hAnsi="Times New Roman" w:eastAsia="黑体" w:cs="Times New Roman"/>
          <w:snapToGrid w:val="0"/>
          <w:kern w:val="2"/>
          <w:sz w:val="24"/>
          <w:szCs w:val="24"/>
          <w:lang w:val="en-US" w:eastAsia="zh-CN" w:bidi="ar-SA"/>
        </w:rPr>
        <w:t>：专家签到表、审查意见</w:t>
      </w:r>
    </w:p>
    <w:p>
      <w:pPr>
        <w:shd w:val="clear"/>
        <w:rPr>
          <w:rFonts w:hint="eastAsia" w:ascii="Times New Roman" w:hAnsi="Times New Roman" w:eastAsia="黑体" w:cs="Times New Roman"/>
          <w:snapToGrid w:val="0"/>
          <w:kern w:val="2"/>
          <w:sz w:val="24"/>
          <w:szCs w:val="24"/>
          <w:lang w:val="en-US" w:eastAsia="zh-CN" w:bidi="ar-SA"/>
        </w:rPr>
      </w:pPr>
      <w:r>
        <w:rPr>
          <w:rFonts w:hint="eastAsia" w:eastAsia="黑体" w:cs="Times New Roman"/>
          <w:snapToGrid w:val="0"/>
          <w:kern w:val="2"/>
          <w:sz w:val="24"/>
          <w:szCs w:val="24"/>
          <w:lang w:val="en-US" w:eastAsia="zh-CN" w:bidi="ar-SA"/>
        </w:rPr>
        <w:t>附件11</w:t>
      </w:r>
      <w:r>
        <w:rPr>
          <w:rFonts w:hint="eastAsia" w:ascii="Times New Roman" w:hAnsi="Times New Roman" w:eastAsia="黑体" w:cs="Times New Roman"/>
          <w:snapToGrid w:val="0"/>
          <w:kern w:val="2"/>
          <w:sz w:val="24"/>
          <w:szCs w:val="24"/>
          <w:lang w:val="en-US" w:eastAsia="zh-CN" w:bidi="ar-SA"/>
        </w:rPr>
        <w:t>：</w:t>
      </w:r>
      <w:r>
        <w:rPr>
          <w:rFonts w:hint="eastAsia" w:eastAsia="黑体" w:cs="Times New Roman"/>
          <w:snapToGrid w:val="0"/>
          <w:kern w:val="2"/>
          <w:sz w:val="24"/>
          <w:szCs w:val="24"/>
          <w:lang w:val="en-US" w:eastAsia="zh-CN" w:bidi="ar-SA"/>
        </w:rPr>
        <w:t>临湘</w:t>
      </w:r>
      <w:r>
        <w:rPr>
          <w:rFonts w:hint="eastAsia" w:ascii="Times New Roman" w:hAnsi="Times New Roman" w:eastAsia="黑体" w:cs="Times New Roman"/>
          <w:snapToGrid w:val="0"/>
          <w:kern w:val="2"/>
          <w:sz w:val="24"/>
          <w:szCs w:val="24"/>
          <w:lang w:val="en-US" w:eastAsia="zh-CN" w:bidi="ar-SA"/>
        </w:rPr>
        <w:t>市桃林镇中心卫生院(临湘市桃林镇中心妇幼保健计划生育服务站)关于申请补办环评手续审批报告</w:t>
      </w:r>
    </w:p>
    <w:p>
      <w:pPr>
        <w:pStyle w:val="38"/>
        <w:shd w:val="clear"/>
        <w:rPr>
          <w:rFonts w:hint="default"/>
          <w:lang w:val="en-US"/>
        </w:rPr>
      </w:pPr>
      <w:r>
        <w:rPr>
          <w:rFonts w:hint="eastAsia" w:eastAsia="黑体" w:cs="Times New Roman"/>
          <w:snapToGrid w:val="0"/>
          <w:kern w:val="2"/>
          <w:sz w:val="24"/>
          <w:szCs w:val="24"/>
          <w:lang w:val="en-US" w:eastAsia="zh-CN" w:bidi="ar-SA"/>
        </w:rPr>
        <w:t>附件12</w:t>
      </w:r>
      <w:r>
        <w:rPr>
          <w:rFonts w:hint="eastAsia" w:ascii="Times New Roman" w:hAnsi="Times New Roman" w:eastAsia="黑体" w:cs="Times New Roman"/>
          <w:snapToGrid w:val="0"/>
          <w:kern w:val="2"/>
          <w:sz w:val="24"/>
          <w:szCs w:val="24"/>
          <w:lang w:val="en-US" w:eastAsia="zh-CN" w:bidi="ar-SA"/>
        </w:rPr>
        <w:t>：</w:t>
      </w:r>
      <w:r>
        <w:rPr>
          <w:rFonts w:hint="eastAsia" w:eastAsia="黑体" w:cs="Times New Roman"/>
          <w:snapToGrid w:val="0"/>
          <w:kern w:val="2"/>
          <w:sz w:val="24"/>
          <w:szCs w:val="24"/>
          <w:lang w:val="en-US" w:eastAsia="zh-CN" w:bidi="ar-SA"/>
        </w:rPr>
        <w:t>选址说明</w:t>
      </w:r>
    </w:p>
    <w:p>
      <w:pPr>
        <w:pStyle w:val="21"/>
        <w:shd w:val="clear"/>
        <w:tabs>
          <w:tab w:val="right" w:leader="dot" w:pos="8844"/>
        </w:tabs>
        <w:rPr>
          <w:rFonts w:hint="eastAsia"/>
          <w:b/>
          <w:bCs/>
          <w:sz w:val="24"/>
          <w:szCs w:val="24"/>
          <w:lang w:val="en-US" w:eastAsia="zh-CN"/>
        </w:rPr>
      </w:pPr>
      <w:r>
        <w:rPr>
          <w:rFonts w:hint="eastAsia"/>
          <w:b/>
          <w:bCs/>
          <w:sz w:val="24"/>
          <w:szCs w:val="24"/>
          <w:lang w:val="en-US" w:eastAsia="zh-CN"/>
        </w:rPr>
        <w:t>附图</w:t>
      </w:r>
    </w:p>
    <w:p>
      <w:pPr>
        <w:pStyle w:val="21"/>
        <w:shd w:val="clear"/>
        <w:tabs>
          <w:tab w:val="right" w:leader="dot" w:pos="8844"/>
        </w:tabs>
        <w:rPr>
          <w:sz w:val="24"/>
          <w:szCs w:val="24"/>
        </w:rPr>
      </w:pPr>
      <w:r>
        <w:rPr>
          <w:sz w:val="24"/>
          <w:szCs w:val="24"/>
        </w:rPr>
        <w:fldChar w:fldCharType="begin"/>
      </w:r>
      <w:r>
        <w:rPr>
          <w:sz w:val="24"/>
          <w:szCs w:val="24"/>
        </w:rPr>
        <w:instrText xml:space="preserve"> HYPERLINK \l "_Toc2516" </w:instrText>
      </w:r>
      <w:r>
        <w:rPr>
          <w:sz w:val="24"/>
          <w:szCs w:val="24"/>
        </w:rPr>
        <w:fldChar w:fldCharType="separate"/>
      </w:r>
      <w:r>
        <w:rPr>
          <w:rFonts w:hint="eastAsia" w:eastAsia="黑体"/>
          <w:snapToGrid w:val="0"/>
          <w:sz w:val="24"/>
          <w:szCs w:val="24"/>
        </w:rPr>
        <w:t>附图1：项目地理位置图</w:t>
      </w:r>
      <w:r>
        <w:rPr>
          <w:sz w:val="24"/>
          <w:szCs w:val="24"/>
        </w:rPr>
        <w:fldChar w:fldCharType="end"/>
      </w:r>
    </w:p>
    <w:p>
      <w:pPr>
        <w:pStyle w:val="21"/>
        <w:shd w:val="clear"/>
        <w:tabs>
          <w:tab w:val="right" w:leader="dot" w:pos="8844"/>
        </w:tabs>
        <w:rPr>
          <w:sz w:val="24"/>
          <w:szCs w:val="24"/>
        </w:rPr>
      </w:pPr>
      <w:r>
        <w:rPr>
          <w:sz w:val="24"/>
          <w:szCs w:val="24"/>
        </w:rPr>
        <w:fldChar w:fldCharType="begin"/>
      </w:r>
      <w:r>
        <w:rPr>
          <w:sz w:val="24"/>
          <w:szCs w:val="24"/>
        </w:rPr>
        <w:instrText xml:space="preserve"> HYPERLINK \l "_Toc15802" </w:instrText>
      </w:r>
      <w:r>
        <w:rPr>
          <w:sz w:val="24"/>
          <w:szCs w:val="24"/>
        </w:rPr>
        <w:fldChar w:fldCharType="separate"/>
      </w:r>
      <w:r>
        <w:rPr>
          <w:rFonts w:hint="eastAsia" w:eastAsia="黑体"/>
          <w:snapToGrid w:val="0"/>
          <w:sz w:val="24"/>
          <w:szCs w:val="24"/>
        </w:rPr>
        <w:t>附图2：项目平面布置图</w:t>
      </w:r>
      <w:r>
        <w:rPr>
          <w:sz w:val="24"/>
          <w:szCs w:val="24"/>
        </w:rPr>
        <w:fldChar w:fldCharType="end"/>
      </w:r>
    </w:p>
    <w:p>
      <w:pPr>
        <w:pStyle w:val="21"/>
        <w:shd w:val="clear"/>
        <w:tabs>
          <w:tab w:val="right" w:leader="dot" w:pos="8844"/>
        </w:tabs>
        <w:rPr>
          <w:sz w:val="24"/>
          <w:szCs w:val="24"/>
        </w:rPr>
      </w:pPr>
      <w:r>
        <w:rPr>
          <w:sz w:val="24"/>
          <w:szCs w:val="24"/>
        </w:rPr>
        <w:fldChar w:fldCharType="begin"/>
      </w:r>
      <w:r>
        <w:rPr>
          <w:sz w:val="24"/>
          <w:szCs w:val="24"/>
        </w:rPr>
        <w:instrText xml:space="preserve"> HYPERLINK \l "_Toc16567" </w:instrText>
      </w:r>
      <w:r>
        <w:rPr>
          <w:sz w:val="24"/>
          <w:szCs w:val="24"/>
        </w:rPr>
        <w:fldChar w:fldCharType="separate"/>
      </w:r>
      <w:r>
        <w:rPr>
          <w:rFonts w:hint="eastAsia" w:eastAsia="黑体"/>
          <w:snapToGrid w:val="0"/>
          <w:sz w:val="24"/>
          <w:szCs w:val="24"/>
        </w:rPr>
        <w:t>附图3：环境保护目标示意图</w:t>
      </w:r>
      <w:r>
        <w:rPr>
          <w:sz w:val="24"/>
          <w:szCs w:val="24"/>
        </w:rPr>
        <w:fldChar w:fldCharType="end"/>
      </w:r>
    </w:p>
    <w:p>
      <w:pPr>
        <w:pStyle w:val="21"/>
        <w:shd w:val="clear"/>
        <w:tabs>
          <w:tab w:val="right" w:leader="dot" w:pos="8844"/>
        </w:tabs>
        <w:rPr>
          <w:sz w:val="24"/>
          <w:szCs w:val="24"/>
        </w:rPr>
      </w:pPr>
      <w:r>
        <w:rPr>
          <w:sz w:val="24"/>
          <w:szCs w:val="24"/>
        </w:rPr>
        <w:fldChar w:fldCharType="begin"/>
      </w:r>
      <w:r>
        <w:rPr>
          <w:sz w:val="24"/>
          <w:szCs w:val="24"/>
        </w:rPr>
        <w:instrText xml:space="preserve"> HYPERLINK \l "_Toc5088" </w:instrText>
      </w:r>
      <w:r>
        <w:rPr>
          <w:sz w:val="24"/>
          <w:szCs w:val="24"/>
        </w:rPr>
        <w:fldChar w:fldCharType="separate"/>
      </w:r>
      <w:r>
        <w:rPr>
          <w:rFonts w:hint="eastAsia" w:eastAsia="黑体"/>
          <w:snapToGrid w:val="0"/>
          <w:sz w:val="24"/>
          <w:szCs w:val="24"/>
        </w:rPr>
        <w:t>附图4：项目</w:t>
      </w:r>
      <w:r>
        <w:rPr>
          <w:rFonts w:hint="eastAsia" w:eastAsia="黑体"/>
          <w:snapToGrid w:val="0"/>
          <w:sz w:val="24"/>
          <w:szCs w:val="24"/>
          <w:lang w:val="en-US" w:eastAsia="zh-CN"/>
        </w:rPr>
        <w:t>监测</w:t>
      </w:r>
      <w:r>
        <w:rPr>
          <w:rFonts w:hint="eastAsia" w:eastAsia="黑体"/>
          <w:snapToGrid w:val="0"/>
          <w:sz w:val="24"/>
          <w:szCs w:val="24"/>
        </w:rPr>
        <w:t>布点示意图</w:t>
      </w:r>
      <w:r>
        <w:rPr>
          <w:sz w:val="24"/>
          <w:szCs w:val="24"/>
        </w:rPr>
        <w:fldChar w:fldCharType="end"/>
      </w:r>
    </w:p>
    <w:p>
      <w:pPr>
        <w:pStyle w:val="21"/>
        <w:shd w:val="clear"/>
        <w:tabs>
          <w:tab w:val="right" w:leader="dot" w:pos="8844"/>
        </w:tabs>
        <w:rPr>
          <w:sz w:val="24"/>
          <w:szCs w:val="24"/>
        </w:rPr>
      </w:pPr>
      <w:r>
        <w:rPr>
          <w:sz w:val="24"/>
          <w:szCs w:val="24"/>
        </w:rPr>
        <w:fldChar w:fldCharType="begin"/>
      </w:r>
      <w:r>
        <w:rPr>
          <w:sz w:val="24"/>
          <w:szCs w:val="24"/>
        </w:rPr>
        <w:instrText xml:space="preserve"> HYPERLINK \l "_Toc7545" </w:instrText>
      </w:r>
      <w:r>
        <w:rPr>
          <w:sz w:val="24"/>
          <w:szCs w:val="24"/>
        </w:rPr>
        <w:fldChar w:fldCharType="separate"/>
      </w:r>
      <w:r>
        <w:rPr>
          <w:rFonts w:hint="eastAsia" w:eastAsia="黑体"/>
          <w:snapToGrid w:val="0"/>
          <w:sz w:val="24"/>
          <w:szCs w:val="24"/>
        </w:rPr>
        <w:t>附图5：项目现状图</w:t>
      </w:r>
      <w:r>
        <w:rPr>
          <w:sz w:val="24"/>
          <w:szCs w:val="24"/>
        </w:rPr>
        <w:fldChar w:fldCharType="end"/>
      </w:r>
    </w:p>
    <w:p>
      <w:pPr>
        <w:pStyle w:val="21"/>
        <w:tabs>
          <w:tab w:val="right" w:leader="dot" w:pos="8844"/>
        </w:tabs>
        <w:rPr>
          <w:rFonts w:hint="default" w:eastAsia="黑体"/>
          <w:snapToGrid w:val="0"/>
          <w:sz w:val="24"/>
          <w:szCs w:val="24"/>
          <w:u w:val="single"/>
          <w:lang w:val="en-US" w:eastAsia="zh-CN"/>
        </w:rPr>
      </w:pPr>
      <w:r>
        <w:rPr>
          <w:rFonts w:hint="eastAsia" w:eastAsia="黑体"/>
          <w:snapToGrid w:val="0"/>
          <w:sz w:val="24"/>
          <w:szCs w:val="24"/>
          <w:u w:val="single"/>
          <w:lang w:val="en-US" w:eastAsia="zh-CN"/>
        </w:rPr>
        <w:t>附图6：污水管网图</w:t>
      </w:r>
    </w:p>
    <w:p>
      <w:pPr>
        <w:pStyle w:val="21"/>
        <w:tabs>
          <w:tab w:val="right" w:leader="dot" w:pos="8844"/>
        </w:tabs>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end"/>
      </w:r>
      <w:r>
        <w:rPr>
          <w:rFonts w:hint="eastAsia" w:eastAsia="黑体"/>
          <w:snapToGrid w:val="0"/>
          <w:sz w:val="24"/>
          <w:szCs w:val="24"/>
          <w:lang w:val="en-US" w:eastAsia="zh-CN"/>
        </w:rPr>
        <w:t>附图7：工程师现场勘探图</w:t>
      </w:r>
    </w:p>
    <w:p>
      <w:pPr>
        <w:pStyle w:val="30"/>
        <w:spacing w:line="360" w:lineRule="auto"/>
        <w:ind w:firstLine="240"/>
        <w:rPr>
          <w:color w:val="000000" w:themeColor="text1"/>
          <w14:textFill>
            <w14:solidFill>
              <w14:schemeClr w14:val="tx1"/>
            </w14:solidFill>
          </w14:textFill>
        </w:rPr>
        <w:sectPr>
          <w:pgSz w:w="11906" w:h="16838"/>
          <w:pgMar w:top="1701" w:right="1531" w:bottom="1701" w:left="1531" w:header="851" w:footer="1077" w:gutter="0"/>
          <w:pgNumType w:fmt="decimal" w:start="1"/>
          <w:cols w:space="720" w:num="1"/>
          <w:docGrid w:linePitch="312" w:charSpace="0"/>
        </w:sectPr>
      </w:pPr>
    </w:p>
    <w:p>
      <w:pPr>
        <w:pStyle w:val="2"/>
        <w:rPr>
          <w:color w:val="000000" w:themeColor="text1"/>
          <w14:textFill>
            <w14:solidFill>
              <w14:schemeClr w14:val="tx1"/>
            </w14:solidFill>
          </w14:textFill>
        </w:rPr>
      </w:pPr>
      <w:bookmarkStart w:id="2" w:name="_Toc16553"/>
      <w:bookmarkStart w:id="3" w:name="_Toc2005"/>
      <w:bookmarkStart w:id="4" w:name="_Toc11215"/>
      <w:bookmarkStart w:id="5" w:name="_Toc9278"/>
      <w:bookmarkStart w:id="6" w:name="_Toc22195"/>
      <w:bookmarkStart w:id="7" w:name="_Toc3076"/>
      <w:bookmarkStart w:id="8" w:name="_Toc6224"/>
      <w:bookmarkStart w:id="9" w:name="_Toc24905"/>
      <w:bookmarkStart w:id="10" w:name="_Toc31226"/>
      <w:bookmarkStart w:id="11" w:name="_Toc7515"/>
      <w:bookmarkStart w:id="12" w:name="_Toc14919"/>
      <w:bookmarkStart w:id="13" w:name="_Toc1767"/>
      <w:bookmarkStart w:id="14" w:name="_Toc27553"/>
      <w:bookmarkStart w:id="15" w:name="_Toc4694"/>
      <w:r>
        <w:rPr>
          <w:rFonts w:hint="eastAsia"/>
          <w:color w:val="000000" w:themeColor="text1"/>
          <w14:textFill>
            <w14:solidFill>
              <w14:schemeClr w14:val="tx1"/>
            </w14:solidFill>
          </w14:textFill>
        </w:rPr>
        <w:t>一、建设项目基本情况</w:t>
      </w:r>
      <w:bookmarkEnd w:id="2"/>
      <w:bookmarkEnd w:id="3"/>
      <w:bookmarkEnd w:id="4"/>
      <w:bookmarkEnd w:id="5"/>
      <w:bookmarkEnd w:id="6"/>
      <w:bookmarkEnd w:id="7"/>
      <w:bookmarkEnd w:id="8"/>
      <w:bookmarkEnd w:id="9"/>
      <w:bookmarkEnd w:id="10"/>
      <w:bookmarkEnd w:id="11"/>
      <w:bookmarkEnd w:id="12"/>
      <w:bookmarkEnd w:id="13"/>
      <w:bookmarkEnd w:id="14"/>
      <w:bookmarkEnd w:id="15"/>
    </w:p>
    <w:tbl>
      <w:tblPr>
        <w:tblStyle w:val="31"/>
        <w:tblW w:w="82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60"/>
        <w:gridCol w:w="2022"/>
        <w:gridCol w:w="1556"/>
        <w:gridCol w:w="29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1760" w:type="dxa"/>
            <w:noWrap/>
            <w:tcMar>
              <w:top w:w="16" w:type="dxa"/>
              <w:left w:w="16" w:type="dxa"/>
              <w:right w:w="16" w:type="dxa"/>
            </w:tcMar>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建设项目名称</w:t>
            </w:r>
          </w:p>
        </w:tc>
        <w:tc>
          <w:tcPr>
            <w:tcW w:w="6523" w:type="dxa"/>
            <w:gridSpan w:val="3"/>
            <w:noWrap/>
            <w:vAlign w:val="center"/>
          </w:tcPr>
          <w:p>
            <w:pPr>
              <w:jc w:val="center"/>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临湘市桃林镇中心卫生院(临湘市桃林镇中心妇幼保健计划生育服务站）</w:t>
            </w:r>
            <w:r>
              <w:rPr>
                <w:rFonts w:hint="eastAsia"/>
                <w:color w:val="000000" w:themeColor="text1"/>
                <w14:textFill>
                  <w14:solidFill>
                    <w14:schemeClr w14:val="tx1"/>
                  </w14:solidFill>
                </w14:textFill>
              </w:rPr>
              <w:t>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项目代码</w:t>
            </w:r>
          </w:p>
        </w:tc>
        <w:tc>
          <w:tcPr>
            <w:tcW w:w="6523" w:type="dxa"/>
            <w:gridSpan w:val="3"/>
            <w:noWrap/>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建设单位联系人</w:t>
            </w:r>
          </w:p>
        </w:tc>
        <w:tc>
          <w:tcPr>
            <w:tcW w:w="2022" w:type="dxa"/>
            <w:noWrap/>
            <w:vAlign w:val="center"/>
          </w:tcPr>
          <w:p>
            <w:pPr>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陈玉兰</w:t>
            </w:r>
          </w:p>
        </w:tc>
        <w:tc>
          <w:tcPr>
            <w:tcW w:w="1556" w:type="dxa"/>
            <w:noWrap/>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联系方式</w:t>
            </w:r>
          </w:p>
        </w:tc>
        <w:tc>
          <w:tcPr>
            <w:tcW w:w="2945" w:type="dxa"/>
            <w:noWrap/>
            <w:vAlign w:val="center"/>
          </w:tcPr>
          <w:p>
            <w:pPr>
              <w:jc w:val="center"/>
              <w:rPr>
                <w:color w:val="000000" w:themeColor="text1"/>
                <w14:textFill>
                  <w14:solidFill>
                    <w14:schemeClr w14:val="tx1"/>
                  </w14:solidFill>
                </w14:textFill>
              </w:rPr>
            </w:pPr>
            <w:r>
              <w:rPr>
                <w:rFonts w:hint="eastAsia"/>
                <w:sz w:val="24"/>
                <w:lang w:val="en-US" w:eastAsia="zh-CN"/>
              </w:rPr>
              <w:t>15274030726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建设地点</w:t>
            </w:r>
          </w:p>
        </w:tc>
        <w:tc>
          <w:tcPr>
            <w:tcW w:w="6523" w:type="dxa"/>
            <w:gridSpan w:val="3"/>
            <w:noWrap/>
            <w:vAlign w:val="center"/>
          </w:tcPr>
          <w:p>
            <w:pPr>
              <w:jc w:val="center"/>
              <w:rPr>
                <w:rFonts w:hint="default"/>
                <w:color w:val="000000" w:themeColor="text1"/>
                <w:lang w:val="en-US"/>
                <w14:textFill>
                  <w14:solidFill>
                    <w14:schemeClr w14:val="tx1"/>
                  </w14:solidFill>
                </w14:textFill>
              </w:rPr>
            </w:pPr>
            <w:r>
              <w:rPr>
                <w:rFonts w:hint="eastAsia"/>
                <w:color w:val="000000" w:themeColor="text1"/>
                <w:lang w:eastAsia="zh-CN"/>
                <w14:textFill>
                  <w14:solidFill>
                    <w14:schemeClr w14:val="tx1"/>
                  </w14:solidFill>
                </w14:textFill>
              </w:rPr>
              <w:t>临湘市桃林镇</w:t>
            </w:r>
            <w:r>
              <w:rPr>
                <w:rFonts w:hint="eastAsia"/>
                <w:color w:val="000000" w:themeColor="text1"/>
                <w:lang w:val="en-US" w:eastAsia="zh-CN"/>
                <w14:textFill>
                  <w14:solidFill>
                    <w14:schemeClr w14:val="tx1"/>
                  </w14:solidFill>
                </w14:textFill>
              </w:rPr>
              <w:t>万安路12号附近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地理坐标</w:t>
            </w:r>
          </w:p>
        </w:tc>
        <w:tc>
          <w:tcPr>
            <w:tcW w:w="6523" w:type="dxa"/>
            <w:gridSpan w:val="3"/>
            <w:noWrap/>
            <w:vAlign w:val="center"/>
          </w:tcPr>
          <w:p>
            <w:pPr>
              <w:jc w:val="center"/>
              <w:rPr>
                <w:rFonts w:hint="default" w:eastAsia="宋体"/>
                <w:color w:val="000000" w:themeColor="text1"/>
                <w:lang w:val="en-US" w:eastAsia="zh-CN"/>
                <w14:textFill>
                  <w14:solidFill>
                    <w14:schemeClr w14:val="tx1"/>
                  </w14:solidFill>
                </w14:textFill>
              </w:rPr>
            </w:pPr>
            <w:r>
              <w:rPr>
                <w:color w:val="auto"/>
                <w:u w:val="single"/>
                <w:shd w:val="clear"/>
              </w:rPr>
              <w:t>（</w:t>
            </w:r>
            <w:r>
              <w:rPr>
                <w:rFonts w:hint="eastAsia"/>
                <w:color w:val="auto"/>
                <w:sz w:val="24"/>
                <w:szCs w:val="20"/>
                <w:u w:val="single"/>
                <w:shd w:val="clear"/>
                <w:lang w:eastAsia="zh-CN"/>
              </w:rPr>
              <w:t>经度：</w:t>
            </w:r>
            <w:r>
              <w:rPr>
                <w:rFonts w:hint="eastAsia"/>
                <w:color w:val="auto"/>
                <w:u w:val="single"/>
                <w:shd w:val="clear"/>
                <w:lang w:val="en-US" w:eastAsia="zh-CN"/>
              </w:rPr>
              <w:t>113°24′37.199</w:t>
            </w:r>
            <w:r>
              <w:rPr>
                <w:rFonts w:hint="eastAsia"/>
                <w:color w:val="auto"/>
                <w:sz w:val="24"/>
                <w:szCs w:val="20"/>
                <w:u w:val="single"/>
                <w:shd w:val="clear"/>
                <w:lang w:val="en-US" w:eastAsia="zh-CN"/>
              </w:rPr>
              <w:t>″纬度：29°20′35.745″</w:t>
            </w:r>
            <w:r>
              <w:rPr>
                <w:color w:val="auto"/>
                <w:u w:val="single"/>
                <w:shd w:val="cle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国民经济</w:t>
            </w:r>
          </w:p>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行业类别</w:t>
            </w:r>
          </w:p>
        </w:tc>
        <w:tc>
          <w:tcPr>
            <w:tcW w:w="2022" w:type="dxa"/>
            <w:noWrap/>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8423乡镇卫生院</w:t>
            </w:r>
          </w:p>
        </w:tc>
        <w:tc>
          <w:tcPr>
            <w:tcW w:w="1556" w:type="dxa"/>
            <w:noWrap/>
            <w:vAlign w:val="center"/>
          </w:tcPr>
          <w:p>
            <w:pPr>
              <w:jc w:val="center"/>
              <w:rPr>
                <w:color w:val="000000" w:themeColor="text1"/>
                <w14:textFill>
                  <w14:solidFill>
                    <w14:schemeClr w14:val="tx1"/>
                  </w14:solidFill>
                </w14:textFill>
              </w:rPr>
            </w:pPr>
            <w:bookmarkStart w:id="16" w:name="_Hlk49843745"/>
            <w:r>
              <w:rPr>
                <w:color w:val="000000" w:themeColor="text1"/>
                <w14:textFill>
                  <w14:solidFill>
                    <w14:schemeClr w14:val="tx1"/>
                  </w14:solidFill>
                </w14:textFill>
              </w:rPr>
              <w:t>建设项目</w:t>
            </w:r>
          </w:p>
          <w:p>
            <w:pPr>
              <w:jc w:val="center"/>
              <w:rPr>
                <w:color w:val="000000" w:themeColor="text1"/>
                <w14:textFill>
                  <w14:solidFill>
                    <w14:schemeClr w14:val="tx1"/>
                  </w14:solidFill>
                </w14:textFill>
              </w:rPr>
            </w:pPr>
            <w:r>
              <w:rPr>
                <w:color w:val="000000" w:themeColor="text1"/>
                <w14:textFill>
                  <w14:solidFill>
                    <w14:schemeClr w14:val="tx1"/>
                  </w14:solidFill>
                </w14:textFill>
              </w:rPr>
              <w:t>行业类别</w:t>
            </w:r>
            <w:bookmarkEnd w:id="16"/>
          </w:p>
        </w:tc>
        <w:tc>
          <w:tcPr>
            <w:tcW w:w="2945" w:type="dxa"/>
            <w:noWrap/>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“四十九 卫生”</w:t>
            </w:r>
            <w:r>
              <w:rPr>
                <w:color w:val="000000" w:themeColor="text1"/>
                <w14:textFill>
                  <w14:solidFill>
                    <w14:schemeClr w14:val="tx1"/>
                  </w14:solidFill>
                </w14:textFill>
              </w:rPr>
              <w:t>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108</w:t>
            </w:r>
            <w:r>
              <w:rPr>
                <w:rFonts w:hint="eastAsia"/>
                <w:color w:val="000000" w:themeColor="text1"/>
                <w14:textFill>
                  <w14:solidFill>
                    <w14:schemeClr w14:val="tx1"/>
                  </w14:solidFill>
                </w14:textFill>
              </w:rPr>
              <w:t>基层医疗卫生服务</w:t>
            </w:r>
            <w:r>
              <w:rPr>
                <w:color w:val="000000" w:themeColor="text1"/>
                <w14:textFill>
                  <w14:solidFill>
                    <w14:schemeClr w14:val="tx1"/>
                  </w14:solidFill>
                </w14:textFill>
              </w:rPr>
              <w:t>84</w:t>
            </w:r>
            <w:r>
              <w:rPr>
                <w:rFonts w:hint="eastAsia"/>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其他（住院床位20张以下的除</w:t>
            </w:r>
            <w:r>
              <w:rPr>
                <w:rFonts w:hint="eastAsia"/>
                <w:color w:val="000000" w:themeColor="text1"/>
                <w14:textFill>
                  <w14:solidFill>
                    <w14:schemeClr w14:val="tx1"/>
                  </w14:solidFill>
                </w14:textFill>
              </w:rPr>
              <w:t>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建设性质</w:t>
            </w:r>
          </w:p>
        </w:tc>
        <w:tc>
          <w:tcPr>
            <w:tcW w:w="2022" w:type="dxa"/>
            <w:noWrap/>
            <w:vAlign w:val="center"/>
          </w:tcPr>
          <w:p>
            <w:pP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14:textFill>
                  <w14:solidFill>
                    <w14:schemeClr w14:val="tx1"/>
                  </w14:solidFill>
                </w14:textFill>
              </w:rPr>
              <w:t>新建（补办环评）</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改建</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扩建</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技术改造</w:t>
            </w:r>
          </w:p>
        </w:tc>
        <w:tc>
          <w:tcPr>
            <w:tcW w:w="1556" w:type="dxa"/>
            <w:noWrap/>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建设项目</w:t>
            </w:r>
          </w:p>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申报情形</w:t>
            </w:r>
          </w:p>
        </w:tc>
        <w:tc>
          <w:tcPr>
            <w:tcW w:w="2945" w:type="dxa"/>
            <w:noWrap/>
            <w:vAlign w:val="center"/>
          </w:tcPr>
          <w:p>
            <w:pP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14:textFill>
                  <w14:solidFill>
                    <w14:schemeClr w14:val="tx1"/>
                  </w14:solidFill>
                </w14:textFill>
              </w:rPr>
              <w:t xml:space="preserve">首次申报项目             </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不予批准后再次申报项目</w:t>
            </w:r>
          </w:p>
          <w:p>
            <w:pP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14:textFill>
                  <w14:solidFill>
                    <w14:schemeClr w14:val="tx1"/>
                  </w14:solidFill>
                </w14:textFill>
              </w:rPr>
              <w:t xml:space="preserve">超五年重新审核项目     </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项目审批（核准/备案）部门（选填）</w:t>
            </w:r>
          </w:p>
        </w:tc>
        <w:tc>
          <w:tcPr>
            <w:tcW w:w="2022" w:type="dxa"/>
            <w:noWrap/>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1556" w:type="dxa"/>
            <w:noWrap/>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项目审批（核准/备案）文号（选填）</w:t>
            </w:r>
          </w:p>
        </w:tc>
        <w:tc>
          <w:tcPr>
            <w:tcW w:w="2945" w:type="dxa"/>
            <w:noWrap/>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总投资（万元）</w:t>
            </w:r>
          </w:p>
        </w:tc>
        <w:tc>
          <w:tcPr>
            <w:tcW w:w="2022" w:type="dxa"/>
            <w:noWrap/>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319</w:t>
            </w:r>
          </w:p>
        </w:tc>
        <w:tc>
          <w:tcPr>
            <w:tcW w:w="1556" w:type="dxa"/>
            <w:noWrap/>
            <w:tcMar>
              <w:top w:w="16" w:type="dxa"/>
              <w:left w:w="16" w:type="dxa"/>
              <w:right w:w="16" w:type="dxa"/>
            </w:tcMar>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环保投资（万元）</w:t>
            </w:r>
          </w:p>
        </w:tc>
        <w:tc>
          <w:tcPr>
            <w:tcW w:w="2945" w:type="dxa"/>
            <w:noWrap/>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shd w:val="clear"/>
                <w:lang w:val="en-US" w:eastAsia="zh-CN"/>
                <w14:textFill>
                  <w14:solidFill>
                    <w14:schemeClr w14:val="tx1"/>
                  </w14:solidFill>
                </w14:textFill>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环保投资占比（%）</w:t>
            </w:r>
          </w:p>
        </w:tc>
        <w:tc>
          <w:tcPr>
            <w:tcW w:w="2022" w:type="dxa"/>
            <w:noWrap/>
            <w:vAlign w:val="center"/>
          </w:tcPr>
          <w:p>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6.9</w:t>
            </w:r>
          </w:p>
        </w:tc>
        <w:tc>
          <w:tcPr>
            <w:tcW w:w="1556" w:type="dxa"/>
            <w:noWrap/>
            <w:tcMar>
              <w:top w:w="16" w:type="dxa"/>
              <w:left w:w="16" w:type="dxa"/>
              <w:right w:w="16" w:type="dxa"/>
            </w:tcMar>
            <w:vAlign w:val="center"/>
          </w:tcPr>
          <w:p>
            <w:pPr>
              <w:adjustRightInd w:val="0"/>
              <w:snapToGrid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建筑面积</w:t>
            </w:r>
          </w:p>
          <w:p>
            <w:pPr>
              <w:adjustRightInd w:val="0"/>
              <w:snapToGrid w:val="0"/>
              <w:jc w:val="center"/>
              <w:rPr>
                <w:rFonts w:hint="default"/>
                <w:color w:val="000000" w:themeColor="text1"/>
                <w:lang w:val="en-US" w:eastAsia="zh-CN"/>
                <w14:textFill>
                  <w14:solidFill>
                    <w14:schemeClr w14:val="tx1"/>
                  </w14:solidFill>
                </w14:textFill>
              </w:rPr>
            </w:pPr>
            <w:r>
              <w:rPr>
                <w:color w:val="000000" w:themeColor="text1"/>
                <w:spacing w:val="-6"/>
                <w14:textFill>
                  <w14:solidFill>
                    <w14:schemeClr w14:val="tx1"/>
                  </w14:solidFill>
                </w14:textFill>
              </w:rPr>
              <w:t>（m</w:t>
            </w:r>
            <w:r>
              <w:rPr>
                <w:color w:val="000000" w:themeColor="text1"/>
                <w:spacing w:val="-6"/>
                <w:vertAlign w:val="superscript"/>
                <w14:textFill>
                  <w14:solidFill>
                    <w14:schemeClr w14:val="tx1"/>
                  </w14:solidFill>
                </w14:textFill>
              </w:rPr>
              <w:t>2</w:t>
            </w:r>
            <w:r>
              <w:rPr>
                <w:color w:val="000000" w:themeColor="text1"/>
                <w:spacing w:val="-6"/>
                <w14:textFill>
                  <w14:solidFill>
                    <w14:schemeClr w14:val="tx1"/>
                  </w14:solidFill>
                </w14:textFill>
              </w:rPr>
              <w:t>）</w:t>
            </w:r>
          </w:p>
        </w:tc>
        <w:tc>
          <w:tcPr>
            <w:tcW w:w="2945" w:type="dxa"/>
            <w:noWrap/>
            <w:vAlign w:val="center"/>
          </w:tcPr>
          <w:p>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0" w:type="dxa"/>
            <w:noWrap/>
            <w:tcMar>
              <w:top w:w="16" w:type="dxa"/>
              <w:left w:w="16" w:type="dxa"/>
              <w:right w:w="16" w:type="dxa"/>
            </w:tcMar>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是否开工建设</w:t>
            </w:r>
          </w:p>
        </w:tc>
        <w:tc>
          <w:tcPr>
            <w:tcW w:w="2022" w:type="dxa"/>
            <w:noWrap/>
            <w:vAlign w:val="center"/>
          </w:tcPr>
          <w:p>
            <w:pPr>
              <w:adjustRightInd w:val="0"/>
              <w:snapToGrid w:val="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14:textFill>
                  <w14:solidFill>
                    <w14:schemeClr w14:val="tx1"/>
                  </w14:solidFill>
                </w14:textFill>
              </w:rPr>
              <w:t>否</w:t>
            </w:r>
          </w:p>
          <w:p>
            <w:pPr>
              <w:adjustRightInd w:val="0"/>
              <w:snapToGrid w:val="0"/>
              <w:rPr>
                <w:rFonts w:hint="eastAsia" w:eastAsia="宋体"/>
                <w:color w:val="000000" w:themeColor="text1"/>
                <w:lang w:eastAsia="zh-CN"/>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14:textFill>
                  <w14:solidFill>
                    <w14:schemeClr w14:val="tx1"/>
                  </w14:solidFill>
                </w14:textFill>
              </w:rPr>
              <w:t>是</w:t>
            </w:r>
          </w:p>
        </w:tc>
        <w:tc>
          <w:tcPr>
            <w:tcW w:w="1556" w:type="dxa"/>
            <w:noWrap/>
            <w:tcMar>
              <w:top w:w="16" w:type="dxa"/>
              <w:left w:w="16" w:type="dxa"/>
              <w:right w:w="16" w:type="dxa"/>
            </w:tcMar>
            <w:vAlign w:val="center"/>
          </w:tcPr>
          <w:p>
            <w:pPr>
              <w:adjustRightInd w:val="0"/>
              <w:snapToGrid w:val="0"/>
              <w:jc w:val="center"/>
              <w:rPr>
                <w:color w:val="000000" w:themeColor="text1"/>
                <w:spacing w:val="-6"/>
                <w14:textFill>
                  <w14:solidFill>
                    <w14:schemeClr w14:val="tx1"/>
                  </w14:solidFill>
                </w14:textFill>
              </w:rPr>
            </w:pPr>
            <w:r>
              <w:rPr>
                <w:rFonts w:hint="eastAsia"/>
                <w:color w:val="000000" w:themeColor="text1"/>
                <w:spacing w:val="-6"/>
                <w:lang w:val="en-US" w:eastAsia="zh-CN"/>
                <w14:textFill>
                  <w14:solidFill>
                    <w14:schemeClr w14:val="tx1"/>
                  </w14:solidFill>
                </w14:textFill>
              </w:rPr>
              <w:t>占地</w:t>
            </w:r>
            <w:r>
              <w:rPr>
                <w:color w:val="000000" w:themeColor="text1"/>
                <w:spacing w:val="-6"/>
                <w14:textFill>
                  <w14:solidFill>
                    <w14:schemeClr w14:val="tx1"/>
                  </w14:solidFill>
                </w14:textFill>
              </w:rPr>
              <w:t>面积</w:t>
            </w:r>
          </w:p>
          <w:p>
            <w:pPr>
              <w:adjustRightInd w:val="0"/>
              <w:snapToGrid w:val="0"/>
              <w:jc w:val="center"/>
              <w:rPr>
                <w:color w:val="000000" w:themeColor="text1"/>
                <w14:textFill>
                  <w14:solidFill>
                    <w14:schemeClr w14:val="tx1"/>
                  </w14:solidFill>
                </w14:textFill>
              </w:rPr>
            </w:pPr>
            <w:r>
              <w:rPr>
                <w:color w:val="000000" w:themeColor="text1"/>
                <w:spacing w:val="-6"/>
                <w14:textFill>
                  <w14:solidFill>
                    <w14:schemeClr w14:val="tx1"/>
                  </w14:solidFill>
                </w14:textFill>
              </w:rPr>
              <w:t>（m</w:t>
            </w:r>
            <w:r>
              <w:rPr>
                <w:color w:val="000000" w:themeColor="text1"/>
                <w:spacing w:val="-6"/>
                <w:vertAlign w:val="superscript"/>
                <w14:textFill>
                  <w14:solidFill>
                    <w14:schemeClr w14:val="tx1"/>
                  </w14:solidFill>
                </w14:textFill>
              </w:rPr>
              <w:t>2</w:t>
            </w:r>
            <w:r>
              <w:rPr>
                <w:color w:val="000000" w:themeColor="text1"/>
                <w:spacing w:val="-6"/>
                <w14:textFill>
                  <w14:solidFill>
                    <w14:schemeClr w14:val="tx1"/>
                  </w14:solidFill>
                </w14:textFill>
              </w:rPr>
              <w:t>）</w:t>
            </w:r>
          </w:p>
        </w:tc>
        <w:tc>
          <w:tcPr>
            <w:tcW w:w="2945" w:type="dxa"/>
            <w:noWrap/>
            <w:vAlign w:val="center"/>
          </w:tcPr>
          <w:p>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60" w:type="dxa"/>
            <w:noWrap/>
            <w:vAlign w:val="center"/>
          </w:tcPr>
          <w:p>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专项评价设置情况</w:t>
            </w:r>
          </w:p>
        </w:tc>
        <w:tc>
          <w:tcPr>
            <w:tcW w:w="6523" w:type="dxa"/>
            <w:gridSpan w:val="3"/>
            <w:noWrap/>
            <w:vAlign w:val="center"/>
          </w:tcPr>
          <w:p>
            <w:pPr>
              <w:jc w:val="center"/>
              <w:rPr>
                <w:rFonts w:hint="eastAsia" w:eastAsia="宋体"/>
                <w:color w:val="000000" w:themeColor="text1"/>
                <w:kern w:val="0"/>
                <w:lang w:eastAsia="zh-CN"/>
                <w14:textFill>
                  <w14:solidFill>
                    <w14:schemeClr w14:val="tx1"/>
                  </w14:solidFill>
                </w14:textFill>
              </w:rPr>
            </w:pPr>
            <w:r>
              <w:rPr>
                <w:rFonts w:hint="eastAsia"/>
                <w:kern w:val="0"/>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0" w:type="dxa"/>
            <w:noWrap/>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规划情况</w:t>
            </w:r>
          </w:p>
        </w:tc>
        <w:tc>
          <w:tcPr>
            <w:tcW w:w="6523" w:type="dxa"/>
            <w:gridSpan w:val="3"/>
            <w:noWrap/>
            <w:vAlign w:val="center"/>
          </w:tcPr>
          <w:p>
            <w:pPr>
              <w:jc w:val="center"/>
              <w:rPr>
                <w:rFonts w:hint="eastAsia"/>
                <w:color w:val="000000" w:themeColor="text1"/>
                <w:u w:val="none"/>
                <w:lang w:eastAsia="zh-CN"/>
                <w14:textFill>
                  <w14:solidFill>
                    <w14:schemeClr w14:val="tx1"/>
                  </w14:solidFill>
                </w14:textFill>
              </w:rPr>
            </w:pPr>
            <w:r>
              <w:rPr>
                <w:color w:val="000000" w:themeColor="text1"/>
                <w:u w:val="none"/>
                <w14:textFill>
                  <w14:solidFill>
                    <w14:schemeClr w14:val="tx1"/>
                  </w14:solidFill>
                </w14:textFill>
              </w:rPr>
              <w:t>《岳阳市区域卫生规划》（2016-2030）</w:t>
            </w:r>
            <w:r>
              <w:rPr>
                <w:rFonts w:hint="eastAsia"/>
                <w:color w:val="000000" w:themeColor="text1"/>
                <w:u w:val="none"/>
                <w:lang w:eastAsia="zh-CN"/>
                <w14:textFill>
                  <w14:solidFill>
                    <w14:schemeClr w14:val="tx1"/>
                  </w14:solidFill>
                </w14:textFill>
              </w:rPr>
              <w:t>；</w:t>
            </w:r>
          </w:p>
          <w:p>
            <w:pPr>
              <w:keepNext w:val="0"/>
              <w:keepLines w:val="0"/>
              <w:widowControl/>
              <w:suppressLineNumbers w:val="0"/>
              <w:jc w:val="center"/>
              <w:rPr>
                <w:rFonts w:hint="default"/>
                <w:lang w:val="en-US" w:eastAsia="zh-CN"/>
              </w:rPr>
            </w:pPr>
            <w:r>
              <w:rPr>
                <w:rFonts w:hint="eastAsia"/>
                <w:color w:val="000000" w:themeColor="text1"/>
                <w:u w:val="none"/>
                <w:lang w:val="en-US" w:eastAsia="zh-CN"/>
                <w14:textFill>
                  <w14:solidFill>
                    <w14:schemeClr w14:val="tx1"/>
                  </w14:solidFill>
                </w14:textFill>
              </w:rPr>
              <w:t>发布单位：</w:t>
            </w:r>
            <w:r>
              <w:rPr>
                <w:rFonts w:hint="eastAsia" w:ascii="宋体" w:hAnsi="宋体" w:eastAsia="宋体" w:cs="宋体"/>
                <w:color w:val="000000"/>
                <w:kern w:val="0"/>
                <w:sz w:val="24"/>
                <w:szCs w:val="24"/>
                <w:lang w:val="en-US" w:eastAsia="zh-CN" w:bidi="ar"/>
              </w:rPr>
              <w:t>岳阳市人民政府。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0" w:type="dxa"/>
            <w:noWrap/>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规划环境影响</w:t>
            </w:r>
          </w:p>
          <w:p>
            <w:pPr>
              <w:adjustRightInd w:val="0"/>
              <w:snapToGrid w:val="0"/>
              <w:jc w:val="center"/>
              <w:rPr>
                <w:color w:val="000000" w:themeColor="text1"/>
                <w:kern w:val="0"/>
                <w14:textFill>
                  <w14:solidFill>
                    <w14:schemeClr w14:val="tx1"/>
                  </w14:solidFill>
                </w14:textFill>
              </w:rPr>
            </w:pPr>
            <w:r>
              <w:rPr>
                <w:color w:val="000000" w:themeColor="text1"/>
                <w14:textFill>
                  <w14:solidFill>
                    <w14:schemeClr w14:val="tx1"/>
                  </w14:solidFill>
                </w14:textFill>
              </w:rPr>
              <w:t>评价情况</w:t>
            </w:r>
          </w:p>
        </w:tc>
        <w:tc>
          <w:tcPr>
            <w:tcW w:w="6523" w:type="dxa"/>
            <w:gridSpan w:val="3"/>
            <w:noWrap/>
            <w:vAlign w:val="center"/>
          </w:tcPr>
          <w:p>
            <w:pPr>
              <w:jc w:val="center"/>
              <w:rPr>
                <w:color w:val="000000" w:themeColor="text1"/>
                <w14:textFill>
                  <w14:solidFill>
                    <w14:schemeClr w14:val="tx1"/>
                  </w14:solidFill>
                </w14:textFill>
              </w:rPr>
            </w:pPr>
            <w:r>
              <w:rPr>
                <w:rFonts w:hint="eastAsia"/>
                <w:color w:val="000000" w:themeColor="text1"/>
                <w:szCs w:val="32"/>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0" w:type="dxa"/>
            <w:noWrap/>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规划及规划环境影响评价符合性分析</w:t>
            </w:r>
          </w:p>
        </w:tc>
        <w:tc>
          <w:tcPr>
            <w:tcW w:w="6523" w:type="dxa"/>
            <w:gridSpan w:val="3"/>
            <w:noWrap/>
            <w:vAlign w:val="center"/>
          </w:tcPr>
          <w:p>
            <w:pPr>
              <w:pStyle w:val="13"/>
              <w:jc w:val="both"/>
              <w:rPr>
                <w:color w:val="000000" w:themeColor="text1"/>
                <w14:textFill>
                  <w14:solidFill>
                    <w14:schemeClr w14:val="tx1"/>
                  </w14:solidFill>
                </w14:textFill>
              </w:rPr>
            </w:pPr>
            <w:r>
              <w:rPr>
                <w:rFonts w:hint="default"/>
                <w:b/>
                <w:bCs/>
                <w:color w:val="000000" w:themeColor="text1"/>
                <w:lang w:val="en-US" w:eastAsia="zh-CN"/>
                <w14:textFill>
                  <w14:solidFill>
                    <w14:schemeClr w14:val="tx1"/>
                  </w14:solidFill>
                </w14:textFill>
              </w:rPr>
              <w:t>1</w:t>
            </w:r>
            <w:r>
              <w:rPr>
                <w:rFonts w:hint="eastAsia"/>
                <w:b/>
                <w:bCs/>
                <w:color w:val="000000" w:themeColor="text1"/>
                <w:lang w:val="en-US" w:eastAsia="zh-CN"/>
                <w14:textFill>
                  <w14:solidFill>
                    <w14:schemeClr w14:val="tx1"/>
                  </w14:solidFill>
                </w14:textFill>
              </w:rPr>
              <w:t>、与《岳阳市区域卫生规划（</w:t>
            </w:r>
            <w:r>
              <w:rPr>
                <w:rFonts w:hint="default"/>
                <w:b/>
                <w:bCs/>
                <w:color w:val="000000" w:themeColor="text1"/>
                <w:lang w:val="en-US" w:eastAsia="zh-CN"/>
                <w14:textFill>
                  <w14:solidFill>
                    <w14:schemeClr w14:val="tx1"/>
                  </w14:solidFill>
                </w14:textFill>
              </w:rPr>
              <w:t>2016-2030</w:t>
            </w:r>
            <w:r>
              <w:rPr>
                <w:rFonts w:hint="eastAsia"/>
                <w:b/>
                <w:bCs/>
                <w:color w:val="000000" w:themeColor="text1"/>
                <w:lang w:val="en-US" w:eastAsia="zh-CN"/>
                <w14:textFill>
                  <w14:solidFill>
                    <w14:schemeClr w14:val="tx1"/>
                  </w14:solidFill>
                </w14:textFill>
              </w:rPr>
              <w:t>）年》符合性分析</w:t>
            </w:r>
            <w:r>
              <w:rPr>
                <w:rFonts w:hint="eastAsia"/>
                <w:color w:val="000000" w:themeColor="text1"/>
                <w:lang w:val="en-US" w:eastAsia="zh-CN"/>
                <w14:textFill>
                  <w14:solidFill>
                    <w14:schemeClr w14:val="tx1"/>
                  </w14:solidFill>
                </w14:textFill>
              </w:rPr>
              <w:t xml:space="preserve"> </w:t>
            </w:r>
          </w:p>
          <w:p>
            <w:pPr>
              <w:pStyle w:val="13"/>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baseline"/>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岳阳市区域卫生规划（</w:t>
            </w:r>
            <w:r>
              <w:rPr>
                <w:rFonts w:hint="default"/>
                <w:color w:val="000000" w:themeColor="text1"/>
                <w:lang w:val="en-US" w:eastAsia="zh-CN"/>
                <w14:textFill>
                  <w14:solidFill>
                    <w14:schemeClr w14:val="tx1"/>
                  </w14:solidFill>
                </w14:textFill>
              </w:rPr>
              <w:t>2016-2030</w:t>
            </w:r>
            <w:r>
              <w:rPr>
                <w:rFonts w:hint="eastAsia"/>
                <w:color w:val="000000" w:themeColor="text1"/>
                <w:lang w:val="en-US" w:eastAsia="zh-CN"/>
                <w14:textFill>
                  <w14:solidFill>
                    <w14:schemeClr w14:val="tx1"/>
                  </w14:solidFill>
                </w14:textFill>
              </w:rPr>
              <w:t>年）规定：到</w:t>
            </w:r>
            <w:r>
              <w:rPr>
                <w:rFonts w:hint="default"/>
                <w:color w:val="000000" w:themeColor="text1"/>
                <w:lang w:val="en-US" w:eastAsia="zh-CN"/>
                <w14:textFill>
                  <w14:solidFill>
                    <w14:schemeClr w14:val="tx1"/>
                  </w14:solidFill>
                </w14:textFill>
              </w:rPr>
              <w:t>2030</w:t>
            </w:r>
            <w:r>
              <w:rPr>
                <w:rFonts w:hint="eastAsia"/>
                <w:color w:val="000000" w:themeColor="text1"/>
                <w:lang w:val="en-US" w:eastAsia="zh-CN"/>
                <w14:textFill>
                  <w14:solidFill>
                    <w14:schemeClr w14:val="tx1"/>
                  </w14:solidFill>
                </w14:textFill>
              </w:rPr>
              <w:t>年规划期末，全市医疗卫生资源数量更加适宜，配置更趋合理，布局更加均衡，结构更为优化。建成与经济和社会发展水平相适应，与居民健康需求相匹配的体系完整、分工明确、功能互补、密切协作的整合型医疗卫生服务体系。建立覆盖城乡居民的基本医疗卫生制度，满足广大群众对医疗卫生服务不同层次的需求，全方位、全周期维护和保障人民健康。加快推进城市和县级公立医院改革，保障基本医疗卫生服务的可及性，促进公平公正。中心乡镇卫生院床位数不超过</w:t>
            </w:r>
            <w:r>
              <w:rPr>
                <w:rFonts w:hint="default"/>
                <w:color w:val="000000" w:themeColor="text1"/>
                <w:lang w:val="en-US" w:eastAsia="zh-CN"/>
                <w14:textFill>
                  <w14:solidFill>
                    <w14:schemeClr w14:val="tx1"/>
                  </w14:solidFill>
                </w14:textFill>
              </w:rPr>
              <w:t>10</w:t>
            </w:r>
            <w:r>
              <w:rPr>
                <w:rFonts w:hint="eastAsia"/>
                <w:color w:val="000000" w:themeColor="text1"/>
                <w:lang w:val="en-US" w:eastAsia="zh-CN"/>
                <w14:textFill>
                  <w14:solidFill>
                    <w14:schemeClr w14:val="tx1"/>
                  </w14:solidFill>
                </w14:textFill>
              </w:rPr>
              <w:t>0张，一般乡镇卫生院不超过50张。社区卫生服务中心床位原则上不超过</w:t>
            </w:r>
            <w:r>
              <w:rPr>
                <w:rFonts w:hint="default"/>
                <w:color w:val="000000" w:themeColor="text1"/>
                <w:lang w:val="en-US" w:eastAsia="zh-CN"/>
                <w14:textFill>
                  <w14:solidFill>
                    <w14:schemeClr w14:val="tx1"/>
                  </w14:solidFill>
                </w14:textFill>
              </w:rPr>
              <w:t>50</w:t>
            </w:r>
            <w:r>
              <w:rPr>
                <w:rFonts w:hint="eastAsia"/>
                <w:color w:val="000000" w:themeColor="text1"/>
                <w:lang w:val="en-US" w:eastAsia="zh-CN"/>
                <w14:textFill>
                  <w14:solidFill>
                    <w14:schemeClr w14:val="tx1"/>
                  </w14:solidFill>
                </w14:textFill>
              </w:rPr>
              <w:t>张。</w:t>
            </w:r>
          </w:p>
          <w:p>
            <w:pPr>
              <w:pStyle w:val="13"/>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baseline"/>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乡镇卫生院按照乡镇行政区划或一定服务人口进行设置，到</w:t>
            </w:r>
            <w:r>
              <w:rPr>
                <w:rFonts w:hint="default"/>
                <w:color w:val="000000" w:themeColor="text1"/>
                <w:lang w:val="en-US" w:eastAsia="zh-CN"/>
                <w14:textFill>
                  <w14:solidFill>
                    <w14:schemeClr w14:val="tx1"/>
                  </w14:solidFill>
                </w14:textFill>
              </w:rPr>
              <w:t>2020</w:t>
            </w:r>
            <w:r>
              <w:rPr>
                <w:rFonts w:hint="eastAsia"/>
                <w:color w:val="000000" w:themeColor="text1"/>
                <w:lang w:val="en-US" w:eastAsia="zh-CN"/>
                <w14:textFill>
                  <w14:solidFill>
                    <w14:schemeClr w14:val="tx1"/>
                  </w14:solidFill>
                </w14:textFill>
              </w:rPr>
              <w:t>年，全市域实现每个乡镇办好</w:t>
            </w:r>
            <w:r>
              <w:rPr>
                <w:rFonts w:hint="default"/>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所标准化建设的乡镇卫生院。全面提升乡镇卫生院服务能力和水平，综合考虑城镇化、地理位置、人口聚集程度等因素，可以选择</w:t>
            </w:r>
            <w:r>
              <w:rPr>
                <w:rFonts w:hint="default"/>
                <w:color w:val="000000" w:themeColor="text1"/>
                <w:lang w:val="en-US" w:eastAsia="zh-CN"/>
                <w14:textFill>
                  <w14:solidFill>
                    <w14:schemeClr w14:val="tx1"/>
                  </w14:solidFill>
                </w14:textFill>
              </w:rPr>
              <w:t>1/3</w:t>
            </w:r>
            <w:r>
              <w:rPr>
                <w:rFonts w:hint="eastAsia"/>
                <w:color w:val="000000" w:themeColor="text1"/>
                <w:lang w:val="en-US" w:eastAsia="zh-CN"/>
                <w14:textFill>
                  <w14:solidFill>
                    <w14:schemeClr w14:val="tx1"/>
                  </w14:solidFill>
                </w14:textFill>
              </w:rPr>
              <w:t>左右的乡镇卫生院提升服务能力和水平，建设中心乡镇卫生院。改制合并剩下的可以与建制乡镇卫生院完成整合，或作为建制镇卫生院分院，或转型为其他医疗卫生机构，有条件的中心乡镇卫生院可以建设成为县办医院分院（达到二级医院水平），实行人、财、物统一管理。城区一级或部分二级公立医院可以根据需要，通过结构和功能改造转为社区卫生服务中心。</w:t>
            </w:r>
          </w:p>
          <w:p>
            <w:pPr>
              <w:pStyle w:val="13"/>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baseline"/>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本项目为乡镇卫生院，是规划整合型医疗卫生服务体系的重要组成部分。本项目的建设运营，满足桃林镇镇片区居民基本医疗需求，为保障和维护人民健康作出了重大贡献。同时医院环评设计床位数为</w:t>
            </w:r>
            <w:r>
              <w:rPr>
                <w:rFonts w:hint="eastAsia"/>
                <w:color w:val="auto"/>
                <w:shd w:val="clear"/>
                <w:lang w:val="en-US" w:eastAsia="zh-CN"/>
              </w:rPr>
              <w:t>40张</w:t>
            </w:r>
            <w:r>
              <w:rPr>
                <w:rFonts w:hint="eastAsia"/>
                <w:color w:val="000000" w:themeColor="text1"/>
                <w:lang w:val="en-US" w:eastAsia="zh-CN"/>
                <w14:textFill>
                  <w14:solidFill>
                    <w14:schemeClr w14:val="tx1"/>
                  </w14:solidFill>
                </w14:textFill>
              </w:rPr>
              <w:t>，满足规划关于中心乡镇卫生院床位数不超过</w:t>
            </w:r>
            <w:r>
              <w:rPr>
                <w:rFonts w:hint="default"/>
                <w:color w:val="000000" w:themeColor="text1"/>
                <w:lang w:val="en-US" w:eastAsia="zh-CN"/>
                <w14:textFill>
                  <w14:solidFill>
                    <w14:schemeClr w14:val="tx1"/>
                  </w14:solidFill>
                </w14:textFill>
              </w:rPr>
              <w:t>10</w:t>
            </w:r>
            <w:r>
              <w:rPr>
                <w:rFonts w:hint="eastAsia"/>
                <w:color w:val="000000" w:themeColor="text1"/>
                <w:lang w:val="en-US" w:eastAsia="zh-CN"/>
                <w14:textFill>
                  <w14:solidFill>
                    <w14:schemeClr w14:val="tx1"/>
                  </w14:solidFill>
                </w14:textFill>
              </w:rPr>
              <w:t>0张的要求。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0" w:type="dxa"/>
            <w:noWrap/>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其他符合性分析</w:t>
            </w:r>
          </w:p>
        </w:tc>
        <w:tc>
          <w:tcPr>
            <w:tcW w:w="6523" w:type="dxa"/>
            <w:gridSpan w:val="3"/>
            <w:noWrap/>
            <w:vAlign w:val="center"/>
          </w:tcPr>
          <w:p>
            <w:pPr>
              <w:pStyle w:val="68"/>
              <w:spacing w:before="48" w:line="220" w:lineRule="auto"/>
              <w:ind w:left="108"/>
            </w:pPr>
            <w:r>
              <w:rPr>
                <w:rFonts w:ascii="Times New Roman" w:hAnsi="Times New Roman" w:eastAsia="Times New Roman" w:cs="Times New Roman"/>
                <w:b/>
                <w:bCs/>
                <w:spacing w:val="-1"/>
              </w:rPr>
              <w:t>2</w:t>
            </w:r>
            <w:r>
              <w:rPr>
                <w:rFonts w:ascii="Times New Roman" w:hAnsi="Times New Roman" w:eastAsia="Times New Roman" w:cs="Times New Roman"/>
                <w:b/>
                <w:bCs/>
                <w:spacing w:val="-34"/>
              </w:rPr>
              <w:t xml:space="preserve"> </w:t>
            </w:r>
            <w:r>
              <w:rPr>
                <w:spacing w:val="-1"/>
                <w14:textOutline w14:w="4358" w14:cap="sq" w14:cmpd="sng">
                  <w14:solidFill>
                    <w14:srgbClr w14:val="000000"/>
                  </w14:solidFill>
                  <w14:prstDash w14:val="solid"/>
                  <w14:bevel/>
                </w14:textOutline>
              </w:rPr>
              <w:t>、与《医疗废物管理条例》相符性分析</w:t>
            </w:r>
          </w:p>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14:textFill>
                  <w14:solidFill>
                    <w14:schemeClr w14:val="tx1"/>
                  </w14:solidFill>
                </w14:textFill>
              </w:rPr>
            </w:pPr>
            <w:r>
              <w:rPr>
                <w:b/>
                <w:bCs/>
              </w:rPr>
              <w:t>表1-1与《医疗废物管理条例》相符性分析一览表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1"/>
              <w:gridCol w:w="2182"/>
              <w:gridCol w:w="1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《医疗废物管理条例》中要求</w:t>
                  </w:r>
                </w:p>
              </w:tc>
              <w:tc>
                <w:tcPr>
                  <w:tcW w:w="21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本项目情况</w:t>
                  </w:r>
                </w:p>
              </w:tc>
              <w:tc>
                <w:tcPr>
                  <w:tcW w:w="12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1"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第七条医疗卫生机构和医疗废物集中处置单位，应当建立、健全</w:t>
                  </w:r>
                  <w:r>
                    <w:rPr>
                      <w:rFonts w:hint="eastAsia" w:ascii="Times New Roman" w:hAnsi="Times New Roman" w:cs="Times New Roman"/>
                      <w:color w:val="000000" w:themeColor="text1"/>
                      <w:kern w:val="2"/>
                      <w:sz w:val="21"/>
                      <w:szCs w:val="21"/>
                      <w:vertAlign w:val="baseline"/>
                      <w:lang w:val="en-US" w:eastAsia="zh-CN" w:bidi="ar-SA"/>
                      <w14:textFill>
                        <w14:solidFill>
                          <w14:schemeClr w14:val="tx1"/>
                        </w14:solidFill>
                      </w14:textFill>
                    </w:rPr>
                    <w:t>医疗</w:t>
                  </w: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废物管理责任制，其法定代表人为第一责任人，切实履行职责，防止因医疗废物导致传染病传播和环境污染事故。</w:t>
                  </w:r>
                </w:p>
              </w:tc>
              <w:tc>
                <w:tcPr>
                  <w:tcW w:w="2182"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医院建立有医疗废物管理责任制，确定法定代表人为第一责任人</w:t>
                  </w:r>
                </w:p>
              </w:tc>
              <w:tc>
                <w:tcPr>
                  <w:tcW w:w="1204" w:type="dxa"/>
                  <w:vAlign w:val="center"/>
                </w:tcPr>
                <w:p>
                  <w:pPr>
                    <w:pStyle w:val="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1"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第八条医疗卫生机构和医疗废物集中处置单位，应当制定与医疗废 物安全处置有关的规章制度和在发生意外事故时的应急方案；设置监控部门或者专（兼）职人员，负责检查、督促、落实本单位医疗废物的管理工作，防止违反本条例的行为发生。</w:t>
                  </w:r>
                </w:p>
              </w:tc>
              <w:tc>
                <w:tcPr>
                  <w:tcW w:w="2182"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医院制定有医疗废物全过程 管理规章制度，制订医疗废物泄漏应急方案，设置医疗废物管理专（兼）职人员</w:t>
                  </w:r>
                </w:p>
              </w:tc>
              <w:tc>
                <w:tcPr>
                  <w:tcW w:w="1204" w:type="dxa"/>
                  <w:vAlign w:val="center"/>
                </w:tcPr>
                <w:p>
                  <w:pPr>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1"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第九条医疗卫生机构和医疗废物集中处置单位，应当对本单位从事医疗废物收集、运送、贮存、处置等工作的人员和管理人员，进行相关法律和专业技术、安全防护以及紧急处理等知识的培训。</w:t>
                  </w:r>
                </w:p>
              </w:tc>
              <w:tc>
                <w:tcPr>
                  <w:tcW w:w="2182"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医院对本院从事医疗废物收集、运送、贮存、处置等工作的人员和管理人员，定期进行相关法律和专业技术、安全防护以及紧急处理等知识的培训</w:t>
                  </w:r>
                </w:p>
              </w:tc>
              <w:tc>
                <w:tcPr>
                  <w:tcW w:w="1204" w:type="dxa"/>
                  <w:vAlign w:val="center"/>
                </w:tcPr>
                <w:p>
                  <w:pPr>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1"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第十条医疗卫生机构和医疗废物集中处置单位，应当采取有效的职业卫生防护措施，为从事医疗废物收集、运送、贮存、处置等工作的人员和管理人员，配备必要的防护用品，定期进行健康检查；必要时，对有关人员进行免疫接种，防止其受到健康损害。</w:t>
                  </w:r>
                </w:p>
              </w:tc>
              <w:tc>
                <w:tcPr>
                  <w:tcW w:w="2182"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医院为从事医疗废物收集、运送、贮存、处置等工作的人员和管理人员，配备特制成套工作服，并定期进行健康检查</w:t>
                  </w:r>
                </w:p>
              </w:tc>
              <w:tc>
                <w:tcPr>
                  <w:tcW w:w="1204" w:type="dxa"/>
                  <w:vAlign w:val="center"/>
                </w:tcPr>
                <w:p>
                  <w:pPr>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1"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第十一条医疗卫生机构和医疗废物集中处置单位，应当依照《中华人民共和国固体废物污染环境防治法》的规定，执行危险废物转移联单管理制度</w:t>
                  </w:r>
                </w:p>
              </w:tc>
              <w:tc>
                <w:tcPr>
                  <w:tcW w:w="2182"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本项目执行危险废物转移联单管理制度</w:t>
                  </w:r>
                </w:p>
              </w:tc>
              <w:tc>
                <w:tcPr>
                  <w:tcW w:w="1204" w:type="dxa"/>
                  <w:vAlign w:val="center"/>
                </w:tcPr>
                <w:p>
                  <w:pPr>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1"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第十二条医疗卫生机构和医疗废物集中处置单位，应当对医疗废物进行登记，登记内容应当包括医疗废物的来源、种类、重量或者数量、交接时间、处置方法、最终去向以及经办人签名等项目。登记资料至少保存3年</w:t>
                  </w:r>
                </w:p>
              </w:tc>
              <w:tc>
                <w:tcPr>
                  <w:tcW w:w="2182"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医院实施医疗废物全过程管理登记制度，并系统存档</w:t>
                  </w:r>
                </w:p>
              </w:tc>
              <w:tc>
                <w:tcPr>
                  <w:tcW w:w="1204" w:type="dxa"/>
                  <w:vAlign w:val="center"/>
                </w:tcPr>
                <w:p>
                  <w:pPr>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1"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第十三条医疗卫生机构和医疗废物集中处置单位，应当采取有效措施，防止医疗废物流失、泄漏、扩散</w:t>
                  </w:r>
                </w:p>
              </w:tc>
              <w:tc>
                <w:tcPr>
                  <w:tcW w:w="2182"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医院对相关工作人员定期培训，制订操作规章，实行医疗废物全过程登记制度和医疗废物管理责任制，防止医疗废物流失、泄漏、扩散</w:t>
                  </w:r>
                </w:p>
              </w:tc>
              <w:tc>
                <w:tcPr>
                  <w:tcW w:w="1204" w:type="dxa"/>
                  <w:vAlign w:val="center"/>
                </w:tcPr>
                <w:p>
                  <w:pPr>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1"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第十六条医疗卫生机构应当及时收集本单位产生的医疗废物，并按照类别分置于防渗漏、防锐器穿透的专用包装物或者密闭的容器内。医疗废物专用包装物、容器，应当有明显的警示标识和警示说明</w:t>
                  </w:r>
                </w:p>
              </w:tc>
              <w:tc>
                <w:tcPr>
                  <w:tcW w:w="2182"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医院医疗废物包装袋和容器严格执行《医疗废物专用装物、容器标准和警示标识规定》</w:t>
                  </w:r>
                </w:p>
              </w:tc>
              <w:tc>
                <w:tcPr>
                  <w:tcW w:w="1204" w:type="dxa"/>
                  <w:vAlign w:val="center"/>
                </w:tcPr>
                <w:p>
                  <w:pPr>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1"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第十七条医疗卫生机构应当建立医疗废物的暂时贮存设施、设备，不得露天存放医疗废物；医疗废物暂时贮存的时间不得超过2天。医疗废物的暂时贮存设施、设备，应当远离医疗区、食品加工区和人员活动区以及生活垃圾存放场所，并设置明显的警示标识和防渗漏、防鼠、防蚊蝇、防蟑螂、防盗等安全措施。医疗废物的暂时贮存设施、设备应当定期消毒和清洁</w:t>
                  </w:r>
                </w:p>
              </w:tc>
              <w:tc>
                <w:tcPr>
                  <w:tcW w:w="2182"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本项目医疗废物暂存间与医疗区和办公区等区域严格分离。医疗废物清运后对暂存间进行消毒</w:t>
                  </w:r>
                </w:p>
              </w:tc>
              <w:tc>
                <w:tcPr>
                  <w:tcW w:w="1204" w:type="dxa"/>
                  <w:vAlign w:val="center"/>
                </w:tcPr>
                <w:p>
                  <w:pPr>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2911"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第十八条医疗卫生机构应当使用防渗漏、防遗撒的专用运送工具，按照本单位确定的内部医疗废物运送时间、路线，将医疗废物收集、运送至暂时贮存地点。运送工具使用后应当在医疗卫生机构内指定的地点及时消毒和清洁</w:t>
                  </w:r>
                </w:p>
              </w:tc>
              <w:tc>
                <w:tcPr>
                  <w:tcW w:w="2182"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本项目医疗废物内部运送工具使用周转箱（桶），严格执行《医疗废物专用包装物、容器标准和警示标识规定》，按照制订的操作规章，于指定时间、指定污物路线，运送到医疗废物处置房，并每天下班前定时消毒和清洁</w:t>
                  </w:r>
                </w:p>
              </w:tc>
              <w:tc>
                <w:tcPr>
                  <w:tcW w:w="1204" w:type="dxa"/>
                  <w:vAlign w:val="center"/>
                </w:tcPr>
                <w:p>
                  <w:pPr>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1"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第十九条医疗卫生机构应当根据就近集中处置的原则，及时将医疗废物交由医疗废物集中处置单位处置。医疗废物中病原体的培养基、标本和菌种、毒种保存液等高危险废物，在交医疗废物集中处置单位处置前应当就地消毒</w:t>
                  </w:r>
                </w:p>
              </w:tc>
              <w:tc>
                <w:tcPr>
                  <w:tcW w:w="2182"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本项目医疗废物委托</w:t>
                  </w:r>
                  <w:r>
                    <w:rPr>
                      <w:rFonts w:hint="eastAsia" w:ascii="Times New Roman" w:hAnsi="Times New Roman" w:cs="Times New Roman"/>
                      <w:color w:val="000000" w:themeColor="text1"/>
                      <w:kern w:val="2"/>
                      <w:sz w:val="21"/>
                      <w:szCs w:val="21"/>
                      <w:vertAlign w:val="baseline"/>
                      <w:lang w:val="en-US" w:eastAsia="zh-CN" w:bidi="ar-SA"/>
                      <w14:textFill>
                        <w14:solidFill>
                          <w14:schemeClr w14:val="tx1"/>
                        </w14:solidFill>
                      </w14:textFill>
                    </w:rPr>
                    <w:t>资质</w:t>
                  </w: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处置公司处理；由专职人员进行消毒后交由</w:t>
                  </w:r>
                  <w:r>
                    <w:rPr>
                      <w:rFonts w:hint="eastAsia" w:ascii="Times New Roman" w:hAnsi="Times New Roman" w:cs="Times New Roman"/>
                      <w:color w:val="000000" w:themeColor="text1"/>
                      <w:kern w:val="2"/>
                      <w:sz w:val="21"/>
                      <w:szCs w:val="21"/>
                      <w:vertAlign w:val="baseline"/>
                      <w:lang w:val="en-US" w:eastAsia="zh-CN" w:bidi="ar-SA"/>
                      <w14:textFill>
                        <w14:solidFill>
                          <w14:schemeClr w14:val="tx1"/>
                        </w14:solidFill>
                      </w14:textFill>
                    </w:rPr>
                    <w:t>资质</w:t>
                  </w: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处置公司进行处置</w:t>
                  </w:r>
                </w:p>
              </w:tc>
              <w:tc>
                <w:tcPr>
                  <w:tcW w:w="1204" w:type="dxa"/>
                  <w:vAlign w:val="center"/>
                </w:tcPr>
                <w:p>
                  <w:pPr>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符合</w:t>
                  </w:r>
                </w:p>
              </w:tc>
            </w:tr>
          </w:tbl>
          <w:p>
            <w:pPr>
              <w:pStyle w:val="68"/>
              <w:spacing w:before="44" w:line="220" w:lineRule="auto"/>
              <w:ind w:left="106"/>
            </w:pPr>
            <w:r>
              <w:rPr>
                <w:rFonts w:ascii="Times New Roman" w:hAnsi="Times New Roman" w:eastAsia="Times New Roman" w:cs="Times New Roman"/>
                <w:b/>
                <w:bCs/>
                <w:spacing w:val="-2"/>
              </w:rPr>
              <w:t>3</w:t>
            </w:r>
            <w:r>
              <w:rPr>
                <w:spacing w:val="-2"/>
                <w14:textOutline w14:w="4358" w14:cap="sq" w14:cmpd="sng">
                  <w14:solidFill>
                    <w14:srgbClr w14:val="000000"/>
                  </w14:solidFill>
                  <w14:prstDash w14:val="solid"/>
                  <w14:bevel/>
                </w14:textOutline>
              </w:rPr>
              <w:t>、与《医院污水处理工程技术规范》（</w:t>
            </w:r>
            <w:r>
              <w:rPr>
                <w:rFonts w:ascii="Times New Roman" w:hAnsi="Times New Roman" w:eastAsia="Times New Roman" w:cs="Times New Roman"/>
                <w:b/>
                <w:bCs/>
                <w:spacing w:val="-2"/>
              </w:rPr>
              <w:t>HJ2029</w:t>
            </w:r>
            <w:r>
              <w:rPr>
                <w:rFonts w:ascii="Times New Roman" w:hAnsi="Times New Roman" w:eastAsia="Times New Roman" w:cs="Times New Roman"/>
                <w:b/>
                <w:bCs/>
                <w:spacing w:val="-3"/>
              </w:rPr>
              <w:t>-2013</w:t>
            </w:r>
            <w:r>
              <w:rPr>
                <w:spacing w:val="-3"/>
                <w14:textOutline w14:w="4358" w14:cap="sq" w14:cmpd="sng">
                  <w14:solidFill>
                    <w14:srgbClr w14:val="000000"/>
                  </w14:solidFill>
                  <w14:prstDash w14:val="solid"/>
                  <w14:bevel/>
                </w14:textOutline>
              </w:rPr>
              <w:t>）的符合性分析</w:t>
            </w:r>
          </w:p>
          <w:p>
            <w:pPr>
              <w:pStyle w:val="68"/>
              <w:keepNext w:val="0"/>
              <w:keepLines w:val="0"/>
              <w:pageBreakBefore w:val="0"/>
              <w:widowControl w:val="0"/>
              <w:kinsoku/>
              <w:wordWrap/>
              <w:overflowPunct/>
              <w:topLinePunct w:val="0"/>
              <w:autoSpaceDE/>
              <w:autoSpaceDN/>
              <w:bidi w:val="0"/>
              <w:adjustRightInd/>
              <w:snapToGrid/>
              <w:spacing w:line="360" w:lineRule="auto"/>
              <w:ind w:firstLine="476" w:firstLineChars="200"/>
              <w:jc w:val="both"/>
              <w:textAlignment w:val="auto"/>
              <w:rPr>
                <w:spacing w:val="-2"/>
              </w:rPr>
            </w:pPr>
            <w:r>
              <w:rPr>
                <w:spacing w:val="-1"/>
              </w:rPr>
              <w:t>本项目与《医院污水处理工程技术规范》（</w:t>
            </w:r>
            <w:r>
              <w:rPr>
                <w:rFonts w:ascii="Times New Roman" w:hAnsi="Times New Roman" w:eastAsia="Times New Roman" w:cs="Times New Roman"/>
                <w:spacing w:val="-1"/>
              </w:rPr>
              <w:t>HJ2029-</w:t>
            </w:r>
            <w:r>
              <w:rPr>
                <w:rFonts w:ascii="Times New Roman" w:hAnsi="Times New Roman" w:eastAsia="Times New Roman" w:cs="Times New Roman"/>
                <w:spacing w:val="-2"/>
              </w:rPr>
              <w:t>2013</w:t>
            </w:r>
            <w:r>
              <w:rPr>
                <w:spacing w:val="-2"/>
              </w:rPr>
              <w:t>）相符性分析见下表。</w:t>
            </w:r>
          </w:p>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pacing w:val="-2"/>
              </w:rPr>
            </w:pPr>
            <w:r>
              <w:rPr>
                <w:rFonts w:hint="eastAsia"/>
                <w:b/>
                <w:bCs/>
                <w:lang w:val="en-US" w:eastAsia="zh-CN"/>
              </w:rPr>
              <w:t>表1-2</w:t>
            </w:r>
            <w:r>
              <w:rPr>
                <w:b/>
                <w:bCs/>
              </w:rPr>
              <w:t>与《医院污水处理工程技术规范》相符性分析一览表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1"/>
              <w:gridCol w:w="2333"/>
              <w:gridCol w:w="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1" w:type="dxa"/>
                  <w:vAlign w:val="center"/>
                </w:tcPr>
                <w:p>
                  <w:pPr>
                    <w:adjustRightInd w:val="0"/>
                    <w:snapToGrid w:val="0"/>
                    <w:spacing w:line="276"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《医院污水处理工程技术规范》</w:t>
                  </w:r>
                </w:p>
              </w:tc>
              <w:tc>
                <w:tcPr>
                  <w:tcW w:w="2333" w:type="dxa"/>
                  <w:vAlign w:val="center"/>
                </w:tcPr>
                <w:p>
                  <w:pPr>
                    <w:adjustRightInd w:val="0"/>
                    <w:snapToGrid w:val="0"/>
                    <w:spacing w:line="276"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本项目情况</w:t>
                  </w:r>
                </w:p>
              </w:tc>
              <w:tc>
                <w:tcPr>
                  <w:tcW w:w="953" w:type="dxa"/>
                  <w:vAlign w:val="center"/>
                </w:tcPr>
                <w:p>
                  <w:pPr>
                    <w:adjustRightInd w:val="0"/>
                    <w:snapToGrid w:val="0"/>
                    <w:spacing w:line="276"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1"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第4.1.2条：新（改、扩）建医院，在设计医院污水处理系统时应考虑将医院病区、非病区、传染病房、非传染病房污水分别收集</w:t>
                  </w:r>
                </w:p>
              </w:tc>
              <w:tc>
                <w:tcPr>
                  <w:tcW w:w="2333"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本项目不设置传染病房，医院病区和非病区污水分别收集</w:t>
                  </w:r>
                </w:p>
              </w:tc>
              <w:tc>
                <w:tcPr>
                  <w:tcW w:w="953"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1"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第</w:t>
                  </w: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5.1.6</w:t>
                  </w: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条：医院污水处理构筑物应采取防腐蚀、防渗漏、防冻等技术措施，各种构筑物宜加盖密闭，并设通气装置</w:t>
                  </w:r>
                </w:p>
              </w:tc>
              <w:tc>
                <w:tcPr>
                  <w:tcW w:w="2333"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本项目污水处理站采用一体化设备，并进行防腐防渗设计</w:t>
                  </w:r>
                </w:p>
              </w:tc>
              <w:tc>
                <w:tcPr>
                  <w:tcW w:w="953"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1"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第</w:t>
                  </w: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5.1.8</w:t>
                  </w: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条：医院污水处理工程污染物排放应满足</w:t>
                  </w: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GB18466</w:t>
                  </w: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和地方污染物排放标准的有关要求</w:t>
                  </w:r>
                </w:p>
              </w:tc>
              <w:tc>
                <w:tcPr>
                  <w:tcW w:w="2333"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本项目污水处理达到《医疗机构水污染物排放标准》</w:t>
                  </w:r>
                  <w:r>
                    <w:rPr>
                      <w:rFonts w:hint="eastAsia" w:ascii="Times New Roman" w:hAnsi="Times New Roman" w:cs="Times New Roman"/>
                      <w:color w:val="000000" w:themeColor="text1"/>
                      <w:kern w:val="2"/>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GB18466-2005</w:t>
                  </w:r>
                  <w:r>
                    <w:rPr>
                      <w:rFonts w:hint="eastAsia" w:ascii="Times New Roman" w:hAnsi="Times New Roman" w:cs="Times New Roman"/>
                      <w:color w:val="000000" w:themeColor="text1"/>
                      <w:kern w:val="2"/>
                      <w:sz w:val="21"/>
                      <w:szCs w:val="21"/>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中表</w:t>
                  </w: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预处理标准</w:t>
                  </w:r>
                </w:p>
              </w:tc>
              <w:tc>
                <w:tcPr>
                  <w:tcW w:w="953"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1"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第</w:t>
                  </w: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6.1.3</w:t>
                  </w: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条：非传染病医院污水，</w:t>
                  </w: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若处理出水排入终端已建有正常运行的二级污水处理厂的城市污水管网 时，可采用一级强化处理</w:t>
                  </w: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消毒工艺。</w:t>
                  </w:r>
                </w:p>
              </w:tc>
              <w:tc>
                <w:tcPr>
                  <w:tcW w:w="2333"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本项目污水经自建污水处理站“化粪池+格栅井+调节池+AO工艺+沉淀池+消毒”工艺处理后排入到</w:t>
                  </w:r>
                  <w:r>
                    <w:rPr>
                      <w:rFonts w:hint="eastAsia" w:ascii="Times New Roman" w:hAnsi="Times New Roman" w:cs="Times New Roman"/>
                      <w:color w:val="000000" w:themeColor="text1"/>
                      <w:kern w:val="2"/>
                      <w:sz w:val="21"/>
                      <w:szCs w:val="21"/>
                      <w:vertAlign w:val="baseline"/>
                      <w:lang w:val="en-US" w:eastAsia="zh-CN" w:bidi="ar-SA"/>
                      <w14:textFill>
                        <w14:solidFill>
                          <w14:schemeClr w14:val="tx1"/>
                        </w14:solidFill>
                      </w14:textFill>
                    </w:rPr>
                    <w:t>桃林镇</w:t>
                  </w: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污水处理站。</w:t>
                  </w:r>
                </w:p>
              </w:tc>
              <w:tc>
                <w:tcPr>
                  <w:tcW w:w="953" w:type="dxa"/>
                  <w:vAlign w:val="center"/>
                </w:tcPr>
                <w:p>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符合</w:t>
                  </w:r>
                </w:p>
              </w:tc>
            </w:tr>
          </w:tbl>
          <w:p>
            <w:pPr>
              <w:pStyle w:val="68"/>
              <w:spacing w:before="44" w:line="220" w:lineRule="auto"/>
              <w:ind w:left="106"/>
              <w:rPr>
                <w:rFonts w:ascii="Times New Roman" w:hAnsi="Times New Roman" w:eastAsia="Times New Roman" w:cs="Times New Roman"/>
                <w:b/>
                <w:bCs/>
                <w:spacing w:val="-2"/>
              </w:rPr>
            </w:pPr>
            <w:r>
              <w:rPr>
                <w:rFonts w:hint="eastAsia" w:ascii="Times New Roman" w:hAnsi="Times New Roman" w:eastAsia="Times New Roman" w:cs="Times New Roman"/>
                <w:b/>
                <w:bCs/>
                <w:spacing w:val="-2"/>
                <w:lang w:val="en-US" w:eastAsia="zh-CN"/>
              </w:rPr>
              <w:t>4</w:t>
            </w:r>
            <w:r>
              <w:rPr>
                <w:rFonts w:ascii="Times New Roman" w:hAnsi="Times New Roman" w:eastAsia="Times New Roman" w:cs="Times New Roman"/>
                <w:b/>
                <w:bCs/>
                <w:spacing w:val="-2"/>
              </w:rPr>
              <w:t>、与“三线一单”符合性分析</w:t>
            </w:r>
          </w:p>
          <w:p>
            <w:pPr>
              <w:ind w:firstLine="480" w:firstLineChars="200"/>
            </w:pPr>
            <w:r>
              <w:t>本项目与“三线一单”文件符合性分析详见下表</w:t>
            </w:r>
          </w:p>
          <w:p>
            <w:pPr>
              <w:spacing w:line="240" w:lineRule="auto"/>
              <w:jc w:val="center"/>
              <w:rPr>
                <w:b/>
                <w:bCs/>
              </w:rPr>
            </w:pPr>
            <w:r>
              <w:rPr>
                <w:b/>
                <w:bCs/>
              </w:rPr>
              <w:t>表1-</w:t>
            </w:r>
            <w:r>
              <w:rPr>
                <w:rFonts w:hint="eastAsia"/>
                <w:b/>
                <w:bCs/>
                <w:lang w:val="en-US" w:eastAsia="zh-CN"/>
              </w:rPr>
              <w:t>3</w:t>
            </w:r>
            <w:r>
              <w:rPr>
                <w:b/>
                <w:bCs/>
              </w:rPr>
              <w:t>项目与“三线一单”文件符合性分析</w:t>
            </w:r>
          </w:p>
          <w:tbl>
            <w:tblPr>
              <w:tblStyle w:val="31"/>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46"/>
              <w:gridCol w:w="4455"/>
              <w:gridCol w:w="8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54" w:type="pct"/>
                  <w:vAlign w:val="center"/>
                </w:tcPr>
                <w:p>
                  <w:pPr>
                    <w:adjustRightInd w:val="0"/>
                    <w:snapToGrid w:val="0"/>
                    <w:spacing w:line="276" w:lineRule="auto"/>
                    <w:jc w:val="center"/>
                    <w:rPr>
                      <w:sz w:val="21"/>
                      <w:szCs w:val="21"/>
                    </w:rPr>
                  </w:pPr>
                  <w:r>
                    <w:rPr>
                      <w:sz w:val="21"/>
                      <w:szCs w:val="21"/>
                    </w:rPr>
                    <w:t>类别</w:t>
                  </w:r>
                </w:p>
              </w:tc>
              <w:tc>
                <w:tcPr>
                  <w:tcW w:w="3549" w:type="pct"/>
                  <w:vAlign w:val="center"/>
                </w:tcPr>
                <w:p>
                  <w:pPr>
                    <w:adjustRightInd w:val="0"/>
                    <w:snapToGrid w:val="0"/>
                    <w:spacing w:line="276" w:lineRule="auto"/>
                    <w:jc w:val="center"/>
                    <w:rPr>
                      <w:sz w:val="21"/>
                      <w:szCs w:val="21"/>
                    </w:rPr>
                  </w:pPr>
                  <w:r>
                    <w:rPr>
                      <w:sz w:val="21"/>
                      <w:szCs w:val="21"/>
                    </w:rPr>
                    <w:t>项目与“三线一单”文件符合性分析</w:t>
                  </w:r>
                </w:p>
              </w:tc>
              <w:tc>
                <w:tcPr>
                  <w:tcW w:w="695" w:type="pct"/>
                  <w:vAlign w:val="center"/>
                </w:tcPr>
                <w:p>
                  <w:pPr>
                    <w:adjustRightInd w:val="0"/>
                    <w:snapToGrid w:val="0"/>
                    <w:spacing w:line="276" w:lineRule="auto"/>
                    <w:jc w:val="center"/>
                    <w:rPr>
                      <w:sz w:val="21"/>
                      <w:szCs w:val="21"/>
                    </w:rPr>
                  </w:pPr>
                  <w:r>
                    <w:rPr>
                      <w:sz w:val="21"/>
                      <w:szCs w:val="21"/>
                    </w:rPr>
                    <w:t>结论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54" w:type="pct"/>
                  <w:vAlign w:val="center"/>
                </w:tcPr>
                <w:p>
                  <w:pPr>
                    <w:adjustRightInd w:val="0"/>
                    <w:snapToGrid w:val="0"/>
                    <w:spacing w:line="276" w:lineRule="auto"/>
                    <w:jc w:val="center"/>
                    <w:rPr>
                      <w:sz w:val="21"/>
                      <w:szCs w:val="21"/>
                    </w:rPr>
                  </w:pPr>
                  <w:r>
                    <w:rPr>
                      <w:sz w:val="21"/>
                      <w:szCs w:val="21"/>
                    </w:rPr>
                    <w:t>生态保护红线</w:t>
                  </w:r>
                </w:p>
              </w:tc>
              <w:tc>
                <w:tcPr>
                  <w:tcW w:w="3549" w:type="pct"/>
                  <w:vAlign w:val="center"/>
                </w:tcPr>
                <w:p>
                  <w:pPr>
                    <w:adjustRightInd w:val="0"/>
                    <w:snapToGrid w:val="0"/>
                    <w:spacing w:line="276" w:lineRule="auto"/>
                    <w:jc w:val="both"/>
                    <w:rPr>
                      <w:sz w:val="21"/>
                      <w:szCs w:val="21"/>
                    </w:rPr>
                  </w:pPr>
                  <w:r>
                    <w:rPr>
                      <w:sz w:val="21"/>
                      <w:szCs w:val="21"/>
                    </w:rPr>
                    <w:t>项目位于</w:t>
                  </w:r>
                  <w:r>
                    <w:rPr>
                      <w:rFonts w:hint="eastAsia"/>
                      <w:sz w:val="21"/>
                      <w:szCs w:val="21"/>
                      <w:lang w:eastAsia="zh-CN"/>
                    </w:rPr>
                    <w:t>临湘市桃林镇</w:t>
                  </w:r>
                  <w:r>
                    <w:rPr>
                      <w:sz w:val="21"/>
                      <w:szCs w:val="21"/>
                    </w:rPr>
                    <w:t>，</w:t>
                  </w:r>
                  <w:r>
                    <w:rPr>
                      <w:rFonts w:hint="eastAsia"/>
                      <w:sz w:val="21"/>
                      <w:szCs w:val="21"/>
                      <w:lang w:val="en-US" w:eastAsia="zh-CN"/>
                    </w:rPr>
                    <w:t>万安路12号附近，根据《湖南省生态保护红线》（湘政发〔2018〕20号）中生态红线区范围，本项目</w:t>
                  </w:r>
                  <w:r>
                    <w:rPr>
                      <w:sz w:val="21"/>
                      <w:szCs w:val="21"/>
                    </w:rPr>
                    <w:t>不在生态红线范围内，且不位于自然保护区、风景名胜区、饮用水源保护地和其他需要特别保护等法律法规禁止开发建设的区域，不会导致评价范围内重要生态功能保护区生态服务功能下降，符合相关要求</w:t>
                  </w:r>
                </w:p>
              </w:tc>
              <w:tc>
                <w:tcPr>
                  <w:tcW w:w="695" w:type="pct"/>
                  <w:vAlign w:val="center"/>
                </w:tcPr>
                <w:p>
                  <w:pPr>
                    <w:adjustRightInd w:val="0"/>
                    <w:snapToGrid w:val="0"/>
                    <w:spacing w:line="276" w:lineRule="auto"/>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54" w:type="pct"/>
                  <w:vAlign w:val="center"/>
                </w:tcPr>
                <w:p>
                  <w:pPr>
                    <w:adjustRightInd w:val="0"/>
                    <w:snapToGrid w:val="0"/>
                    <w:spacing w:line="276" w:lineRule="auto"/>
                    <w:jc w:val="center"/>
                    <w:rPr>
                      <w:sz w:val="21"/>
                      <w:szCs w:val="21"/>
                    </w:rPr>
                  </w:pPr>
                  <w:r>
                    <w:rPr>
                      <w:sz w:val="21"/>
                      <w:szCs w:val="21"/>
                    </w:rPr>
                    <w:t>环境质量底线</w:t>
                  </w:r>
                </w:p>
              </w:tc>
              <w:tc>
                <w:tcPr>
                  <w:tcW w:w="3549" w:type="pct"/>
                  <w:vAlign w:val="center"/>
                </w:tcPr>
                <w:p>
                  <w:pPr>
                    <w:adjustRightInd w:val="0"/>
                    <w:snapToGrid w:val="0"/>
                    <w:spacing w:line="276" w:lineRule="auto"/>
                    <w:jc w:val="both"/>
                    <w:rPr>
                      <w:sz w:val="21"/>
                      <w:szCs w:val="21"/>
                    </w:rPr>
                  </w:pPr>
                  <w:r>
                    <w:rPr>
                      <w:sz w:val="21"/>
                      <w:szCs w:val="21"/>
                    </w:rPr>
                    <w:t>根据项目所在地环境现状调查和污染物排放影响分析，本项目运营期对区域环境影响不大，环境质量基本可以保持现有水平。</w:t>
                  </w:r>
                </w:p>
              </w:tc>
              <w:tc>
                <w:tcPr>
                  <w:tcW w:w="695" w:type="pct"/>
                  <w:vAlign w:val="center"/>
                </w:tcPr>
                <w:p>
                  <w:pPr>
                    <w:adjustRightInd w:val="0"/>
                    <w:snapToGrid w:val="0"/>
                    <w:spacing w:line="276" w:lineRule="auto"/>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54" w:type="pct"/>
                  <w:vAlign w:val="center"/>
                </w:tcPr>
                <w:p>
                  <w:pPr>
                    <w:adjustRightInd w:val="0"/>
                    <w:snapToGrid w:val="0"/>
                    <w:spacing w:line="276" w:lineRule="auto"/>
                    <w:jc w:val="center"/>
                    <w:rPr>
                      <w:sz w:val="21"/>
                      <w:szCs w:val="21"/>
                    </w:rPr>
                  </w:pPr>
                  <w:r>
                    <w:rPr>
                      <w:sz w:val="21"/>
                      <w:szCs w:val="21"/>
                    </w:rPr>
                    <w:t>资源利用上线</w:t>
                  </w:r>
                </w:p>
              </w:tc>
              <w:tc>
                <w:tcPr>
                  <w:tcW w:w="3549" w:type="pct"/>
                  <w:vAlign w:val="center"/>
                </w:tcPr>
                <w:p>
                  <w:pPr>
                    <w:adjustRightInd w:val="0"/>
                    <w:snapToGrid w:val="0"/>
                    <w:spacing w:line="276" w:lineRule="auto"/>
                    <w:jc w:val="both"/>
                    <w:rPr>
                      <w:sz w:val="21"/>
                      <w:szCs w:val="21"/>
                    </w:rPr>
                  </w:pPr>
                  <w:r>
                    <w:rPr>
                      <w:sz w:val="21"/>
                      <w:szCs w:val="21"/>
                    </w:rPr>
                    <w:t>项目除水、电外，无其他能源消耗，能够有效利用资源能源</w:t>
                  </w:r>
                </w:p>
              </w:tc>
              <w:tc>
                <w:tcPr>
                  <w:tcW w:w="695" w:type="pct"/>
                  <w:vAlign w:val="center"/>
                </w:tcPr>
                <w:p>
                  <w:pPr>
                    <w:adjustRightInd w:val="0"/>
                    <w:snapToGrid w:val="0"/>
                    <w:spacing w:line="276" w:lineRule="auto"/>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54" w:type="pct"/>
                  <w:vAlign w:val="center"/>
                </w:tcPr>
                <w:p>
                  <w:pPr>
                    <w:adjustRightInd w:val="0"/>
                    <w:snapToGrid w:val="0"/>
                    <w:spacing w:line="276" w:lineRule="auto"/>
                    <w:jc w:val="center"/>
                    <w:rPr>
                      <w:sz w:val="21"/>
                      <w:szCs w:val="21"/>
                    </w:rPr>
                  </w:pPr>
                  <w:r>
                    <w:rPr>
                      <w:sz w:val="21"/>
                      <w:szCs w:val="21"/>
                    </w:rPr>
                    <w:t>环境准入负面清单</w:t>
                  </w:r>
                </w:p>
              </w:tc>
              <w:tc>
                <w:tcPr>
                  <w:tcW w:w="3549" w:type="pct"/>
                  <w:vAlign w:val="center"/>
                </w:tcPr>
                <w:p>
                  <w:pPr>
                    <w:adjustRightInd w:val="0"/>
                    <w:snapToGrid w:val="0"/>
                    <w:spacing w:line="276" w:lineRule="auto"/>
                    <w:jc w:val="both"/>
                    <w:rPr>
                      <w:sz w:val="21"/>
                      <w:szCs w:val="21"/>
                    </w:rPr>
                  </w:pPr>
                  <w:r>
                    <w:rPr>
                      <w:sz w:val="21"/>
                      <w:szCs w:val="21"/>
                    </w:rPr>
                    <w:t>项目符合国家和地方产业政策，项目采取有效的“三废”处理措施，符合区域总体规划、产业定位等规划要求，不属于环境准入负面清单</w:t>
                  </w:r>
                </w:p>
              </w:tc>
              <w:tc>
                <w:tcPr>
                  <w:tcW w:w="695" w:type="pct"/>
                  <w:vAlign w:val="center"/>
                </w:tcPr>
                <w:p>
                  <w:pPr>
                    <w:adjustRightInd w:val="0"/>
                    <w:snapToGrid w:val="0"/>
                    <w:spacing w:line="276" w:lineRule="auto"/>
                    <w:jc w:val="center"/>
                    <w:rPr>
                      <w:sz w:val="21"/>
                      <w:szCs w:val="21"/>
                    </w:rPr>
                  </w:pPr>
                  <w:r>
                    <w:rPr>
                      <w:sz w:val="21"/>
                      <w:szCs w:val="21"/>
                    </w:rPr>
                    <w:t>符合</w:t>
                  </w:r>
                </w:p>
              </w:tc>
            </w:tr>
          </w:tbl>
          <w:p>
            <w:pPr>
              <w:ind w:firstLine="480" w:firstLineChars="200"/>
              <w:rPr>
                <w:color w:val="auto"/>
              </w:rPr>
            </w:pPr>
            <w:r>
              <w:rPr>
                <w:rFonts w:hint="eastAsia"/>
                <w:color w:val="auto"/>
              </w:rPr>
              <w:t>2021年2月1日，岳阳市人民政府发布了《关于实施岳阳市“三线一单”生态环境分区管控的意见》（岳政发〔2021〕2 号），根据文件内容并结合项目所在地区域情况，本项目与“三线一单”中临湘市</w:t>
            </w:r>
            <w:r>
              <w:rPr>
                <w:rFonts w:hint="eastAsia"/>
                <w:color w:val="auto"/>
                <w:lang w:val="en-US" w:eastAsia="zh-CN"/>
              </w:rPr>
              <w:t>桃林镇</w:t>
            </w:r>
            <w:r>
              <w:rPr>
                <w:rFonts w:hint="eastAsia"/>
                <w:color w:val="auto"/>
              </w:rPr>
              <w:t>生态环境总体管控要求符合性分析如下表所示。</w:t>
            </w:r>
          </w:p>
          <w:p>
            <w:pPr>
              <w:pStyle w:val="49"/>
              <w:shd w:val="clear"/>
              <w:rPr>
                <w:color w:val="000000" w:themeColor="text1"/>
                <w14:textFill>
                  <w14:solidFill>
                    <w14:schemeClr w14:val="tx1"/>
                  </w14:solidFill>
                </w14:textFill>
              </w:rPr>
            </w:pPr>
            <w:r>
              <w:rPr>
                <w:color w:val="000000" w:themeColor="text1"/>
                <w14:textFill>
                  <w14:solidFill>
                    <w14:schemeClr w14:val="tx1"/>
                  </w14:solidFill>
                </w14:textFill>
              </w:rPr>
              <w:t>表1-</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岳阳市“三线一单”环境管控单元生态环境准入清单</w:t>
            </w:r>
          </w:p>
          <w:p>
            <w:pPr>
              <w:pStyle w:val="49"/>
              <w:shd w:val="clear"/>
              <w:rPr>
                <w:color w:val="000000" w:themeColor="text1"/>
                <w14:textFill>
                  <w14:solidFill>
                    <w14:schemeClr w14:val="tx1"/>
                  </w14:solidFill>
                </w14:textFill>
              </w:rPr>
            </w:pPr>
            <w:r>
              <w:rPr>
                <w:rFonts w:hint="eastAsia"/>
                <w:color w:val="000000" w:themeColor="text1"/>
                <w14:textFill>
                  <w14:solidFill>
                    <w14:schemeClr w14:val="tx1"/>
                  </w14:solidFill>
                </w14:textFill>
              </w:rPr>
              <w:t>ZH43062110004</w:t>
            </w:r>
            <w:r>
              <w:rPr>
                <w:rFonts w:hint="eastAsia"/>
                <w:color w:val="000000" w:themeColor="text1"/>
                <w:lang w:val="en-US" w:eastAsia="zh-CN"/>
                <w14:textFill>
                  <w14:solidFill>
                    <w14:schemeClr w14:val="tx1"/>
                  </w14:solidFill>
                </w14:textFill>
              </w:rPr>
              <w:t>桃林</w:t>
            </w:r>
            <w:r>
              <w:rPr>
                <w:rFonts w:hint="eastAsia"/>
                <w:color w:val="000000" w:themeColor="text1"/>
                <w14:textFill>
                  <w14:solidFill>
                    <w14:schemeClr w14:val="tx1"/>
                  </w14:solidFill>
                </w14:textFill>
              </w:rPr>
              <w:t>镇</w:t>
            </w:r>
            <w:r>
              <w:rPr>
                <w:color w:val="000000" w:themeColor="text1"/>
                <w14:textFill>
                  <w14:solidFill>
                    <w14:schemeClr w14:val="tx1"/>
                  </w14:solidFill>
                </w14:textFill>
              </w:rPr>
              <w:t>符合性分析一览表</w:t>
            </w:r>
          </w:p>
          <w:tbl>
            <w:tblPr>
              <w:tblStyle w:val="31"/>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46"/>
              <w:gridCol w:w="4455"/>
              <w:gridCol w:w="8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46" w:type="dxa"/>
                  <w:vAlign w:val="center"/>
                </w:tcPr>
                <w:p>
                  <w:pPr>
                    <w:pStyle w:val="48"/>
                    <w:rPr>
                      <w:color w:val="auto"/>
                      <w:sz w:val="21"/>
                      <w:szCs w:val="21"/>
                    </w:rPr>
                  </w:pPr>
                  <w:r>
                    <w:rPr>
                      <w:rFonts w:hint="eastAsia"/>
                      <w:color w:val="000000" w:themeColor="text1"/>
                      <w14:textFill>
                        <w14:solidFill>
                          <w14:schemeClr w14:val="tx1"/>
                        </w14:solidFill>
                      </w14:textFill>
                    </w:rPr>
                    <w:t>管控维度</w:t>
                  </w:r>
                </w:p>
              </w:tc>
              <w:tc>
                <w:tcPr>
                  <w:tcW w:w="4455" w:type="dxa"/>
                  <w:vAlign w:val="center"/>
                </w:tcPr>
                <w:p>
                  <w:pPr>
                    <w:pStyle w:val="48"/>
                    <w:rPr>
                      <w:color w:val="auto"/>
                      <w:sz w:val="21"/>
                      <w:szCs w:val="21"/>
                    </w:rPr>
                  </w:pPr>
                  <w:r>
                    <w:rPr>
                      <w:rFonts w:hint="eastAsia"/>
                      <w:color w:val="000000" w:themeColor="text1"/>
                      <w14:textFill>
                        <w14:solidFill>
                          <w14:schemeClr w14:val="tx1"/>
                        </w14:solidFill>
                      </w14:textFill>
                    </w:rPr>
                    <w:t>管控要求</w:t>
                  </w:r>
                </w:p>
              </w:tc>
              <w:tc>
                <w:tcPr>
                  <w:tcW w:w="873" w:type="dxa"/>
                  <w:vAlign w:val="center"/>
                </w:tcPr>
                <w:p>
                  <w:pPr>
                    <w:pStyle w:val="48"/>
                    <w:rPr>
                      <w:color w:val="auto"/>
                      <w:sz w:val="21"/>
                      <w:szCs w:val="21"/>
                    </w:rPr>
                  </w:pPr>
                  <w:r>
                    <w:rPr>
                      <w:rFonts w:hint="eastAsia"/>
                      <w:color w:val="000000" w:themeColor="text1"/>
                      <w14:textFill>
                        <w14:solidFill>
                          <w14:schemeClr w14:val="tx1"/>
                        </w14:solidFill>
                      </w14:textFill>
                    </w:rPr>
                    <w:t>本项目情况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54" w:type="pct"/>
                  <w:vAlign w:val="center"/>
                </w:tcPr>
                <w:p>
                  <w:pPr>
                    <w:adjustRightInd w:val="0"/>
                    <w:snapToGrid w:val="0"/>
                    <w:spacing w:line="276" w:lineRule="auto"/>
                    <w:jc w:val="center"/>
                    <w:rPr>
                      <w:rFonts w:hint="default" w:eastAsia="宋体"/>
                      <w:color w:val="auto"/>
                      <w:sz w:val="21"/>
                      <w:szCs w:val="21"/>
                      <w:lang w:val="en-US" w:eastAsia="zh-CN"/>
                    </w:rPr>
                  </w:pPr>
                  <w:r>
                    <w:rPr>
                      <w:rFonts w:hint="eastAsia"/>
                      <w:color w:val="auto"/>
                      <w:sz w:val="21"/>
                      <w:szCs w:val="21"/>
                      <w:lang w:val="en-US" w:eastAsia="zh-CN"/>
                    </w:rPr>
                    <w:t>空间布局约束</w:t>
                  </w:r>
                </w:p>
              </w:tc>
              <w:tc>
                <w:tcPr>
                  <w:tcW w:w="3549" w:type="pct"/>
                  <w:vAlign w:val="center"/>
                </w:tcPr>
                <w:p>
                  <w:pPr>
                    <w:adjustRightInd w:val="0"/>
                    <w:snapToGrid w:val="0"/>
                    <w:spacing w:line="276" w:lineRule="auto"/>
                    <w:jc w:val="both"/>
                    <w:rPr>
                      <w:rFonts w:hint="eastAsia"/>
                      <w:color w:val="auto"/>
                      <w:sz w:val="21"/>
                      <w:szCs w:val="21"/>
                    </w:rPr>
                  </w:pPr>
                  <w:r>
                    <w:rPr>
                      <w:rFonts w:hint="eastAsia"/>
                      <w:color w:val="auto"/>
                      <w:sz w:val="21"/>
                      <w:szCs w:val="21"/>
                    </w:rPr>
                    <w:t>1.1 按照“关闭一批，整合一批，提高一批”的原则，对不具备安全生产条件，破坏生态，污染环境的违规开采矿山，实行关停整顿，整合重组。</w:t>
                  </w:r>
                </w:p>
                <w:p>
                  <w:pPr>
                    <w:adjustRightInd w:val="0"/>
                    <w:snapToGrid w:val="0"/>
                    <w:spacing w:line="276" w:lineRule="auto"/>
                    <w:jc w:val="both"/>
                    <w:rPr>
                      <w:rFonts w:hint="eastAsia"/>
                      <w:color w:val="auto"/>
                      <w:sz w:val="21"/>
                      <w:szCs w:val="21"/>
                    </w:rPr>
                  </w:pPr>
                  <w:r>
                    <w:rPr>
                      <w:rFonts w:hint="eastAsia"/>
                      <w:color w:val="auto"/>
                      <w:sz w:val="21"/>
                      <w:szCs w:val="21"/>
                    </w:rPr>
                    <w:t>1.2 对辖区内规模小，污染大，安全系数低，效率不高的采矿企业，坚决关停，对违法盗采行为要依法予以严厉打击。</w:t>
                  </w:r>
                </w:p>
                <w:p>
                  <w:pPr>
                    <w:adjustRightInd w:val="0"/>
                    <w:snapToGrid w:val="0"/>
                    <w:spacing w:line="276" w:lineRule="auto"/>
                    <w:jc w:val="both"/>
                    <w:rPr>
                      <w:rFonts w:hint="eastAsia"/>
                      <w:color w:val="auto"/>
                      <w:sz w:val="21"/>
                      <w:szCs w:val="21"/>
                    </w:rPr>
                  </w:pPr>
                  <w:r>
                    <w:rPr>
                      <w:rFonts w:hint="eastAsia"/>
                      <w:color w:val="auto"/>
                      <w:sz w:val="21"/>
                      <w:szCs w:val="21"/>
                    </w:rPr>
                    <w:t>1.3 在国家、省绿色矿山开发和国家相关法律法规要求的前置条件下，对各矿种的年开采量和投入实现门槛准入。</w:t>
                  </w:r>
                </w:p>
                <w:p>
                  <w:pPr>
                    <w:adjustRightInd w:val="0"/>
                    <w:snapToGrid w:val="0"/>
                    <w:spacing w:line="276" w:lineRule="auto"/>
                    <w:jc w:val="both"/>
                    <w:rPr>
                      <w:color w:val="auto"/>
                      <w:sz w:val="21"/>
                      <w:szCs w:val="21"/>
                    </w:rPr>
                  </w:pPr>
                  <w:r>
                    <w:rPr>
                      <w:rFonts w:hint="eastAsia"/>
                      <w:color w:val="auto"/>
                      <w:sz w:val="21"/>
                      <w:szCs w:val="21"/>
                    </w:rPr>
                    <w:t>1.4 桃林铅锌矿片区需紧紧围绕“矿区转型”，以循环经济理念和生态工业理论为指导，以特色农业和旅游资源为支撑，发展以文化旅游、农产品加工、节能环保为主，萤石加工、商贸流通为辅的产业结构，构建桃矿地区“3+2”产业体系，将桃矿建设成为“生态经济示范区”；桃矿独立工矿区产业发展以经济转型为主线，形成一个集矿产品深加工、工业物流园区、旅游风景区、商业生活区多功能于一体的新型独立矿区。</w:t>
                  </w:r>
                </w:p>
              </w:tc>
              <w:tc>
                <w:tcPr>
                  <w:tcW w:w="695" w:type="pct"/>
                  <w:vAlign w:val="center"/>
                </w:tcPr>
                <w:p>
                  <w:pPr>
                    <w:keepNext w:val="0"/>
                    <w:keepLines w:val="0"/>
                    <w:widowControl/>
                    <w:suppressLineNumbers w:val="0"/>
                    <w:jc w:val="left"/>
                    <w:rPr>
                      <w:color w:val="FF0000"/>
                      <w:sz w:val="21"/>
                      <w:szCs w:val="21"/>
                    </w:rPr>
                  </w:pPr>
                  <w:r>
                    <w:rPr>
                      <w:rFonts w:hint="eastAsia"/>
                      <w:color w:val="auto"/>
                      <w:sz w:val="21"/>
                      <w:szCs w:val="21"/>
                      <w:lang w:val="en-US" w:eastAsia="zh-CN"/>
                    </w:rPr>
                    <w:t>本项目不属于采矿业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54" w:type="pct"/>
                  <w:vAlign w:val="center"/>
                </w:tcPr>
                <w:p>
                  <w:pPr>
                    <w:adjustRightInd w:val="0"/>
                    <w:snapToGrid w:val="0"/>
                    <w:spacing w:line="276" w:lineRule="auto"/>
                    <w:jc w:val="center"/>
                    <w:rPr>
                      <w:color w:val="auto"/>
                      <w:sz w:val="21"/>
                      <w:szCs w:val="21"/>
                    </w:rPr>
                  </w:pPr>
                  <w:r>
                    <w:rPr>
                      <w:rFonts w:hint="eastAsia"/>
                      <w:color w:val="auto"/>
                      <w:sz w:val="21"/>
                      <w:szCs w:val="21"/>
                    </w:rPr>
                    <w:t>污染物排放管控</w:t>
                  </w:r>
                </w:p>
              </w:tc>
              <w:tc>
                <w:tcPr>
                  <w:tcW w:w="3549" w:type="pct"/>
                  <w:vAlign w:val="center"/>
                </w:tcPr>
                <w:p>
                  <w:pPr>
                    <w:adjustRightInd w:val="0"/>
                    <w:snapToGrid w:val="0"/>
                    <w:spacing w:line="276" w:lineRule="auto"/>
                    <w:jc w:val="both"/>
                    <w:rPr>
                      <w:rFonts w:hint="eastAsia"/>
                      <w:color w:val="auto"/>
                      <w:sz w:val="21"/>
                      <w:szCs w:val="21"/>
                    </w:rPr>
                  </w:pPr>
                  <w:r>
                    <w:rPr>
                      <w:rFonts w:hint="eastAsia"/>
                      <w:color w:val="auto"/>
                      <w:sz w:val="21"/>
                      <w:szCs w:val="21"/>
                    </w:rPr>
                    <w:t>2.1 污水处理达到一级 A 排放标准，城区基本实现污水全收集、全处理，基本无生活污水直排口；实施乡镇污水处理设施建设专项行动计划，实现全市乡镇污水处理设施全覆盖，配套管网基本完善。</w:t>
                  </w:r>
                </w:p>
                <w:p>
                  <w:pPr>
                    <w:adjustRightInd w:val="0"/>
                    <w:snapToGrid w:val="0"/>
                    <w:spacing w:line="276" w:lineRule="auto"/>
                    <w:jc w:val="both"/>
                    <w:rPr>
                      <w:rFonts w:hint="eastAsia"/>
                      <w:color w:val="auto"/>
                      <w:sz w:val="21"/>
                      <w:szCs w:val="21"/>
                    </w:rPr>
                  </w:pPr>
                  <w:r>
                    <w:rPr>
                      <w:rFonts w:hint="eastAsia"/>
                      <w:color w:val="auto"/>
                      <w:sz w:val="21"/>
                      <w:szCs w:val="21"/>
                    </w:rPr>
                    <w:t>2.2 加强畜禽养殖企业（专业户）配套污染防治设施建设，规模养殖场粪污处理设施装备配套率达到 95%以上（大型规模养殖场达到100%），实现养殖企业污染物达标排放。</w:t>
                  </w:r>
                </w:p>
                <w:p>
                  <w:pPr>
                    <w:adjustRightInd w:val="0"/>
                    <w:snapToGrid w:val="0"/>
                    <w:spacing w:line="276" w:lineRule="auto"/>
                    <w:jc w:val="both"/>
                    <w:rPr>
                      <w:rFonts w:hint="eastAsia"/>
                      <w:color w:val="auto"/>
                      <w:sz w:val="21"/>
                      <w:szCs w:val="21"/>
                    </w:rPr>
                  </w:pPr>
                  <w:r>
                    <w:rPr>
                      <w:rFonts w:hint="eastAsia"/>
                      <w:color w:val="auto"/>
                      <w:sz w:val="21"/>
                      <w:szCs w:val="21"/>
                    </w:rPr>
                    <w:t>2.3 加大涉重金属企业治污设施升级与清洁生产改造力度，严厉打击超标排放与偷排漏排，规范企业无组织排放与无组织堆存堆放固体废物、物料，稳步推进重金属减排。在矿产资源开发利用活动集中的区域，执行重点污染物特别排放限值。</w:t>
                  </w:r>
                </w:p>
                <w:p>
                  <w:pPr>
                    <w:adjustRightInd w:val="0"/>
                    <w:snapToGrid w:val="0"/>
                    <w:spacing w:line="276" w:lineRule="auto"/>
                    <w:jc w:val="both"/>
                    <w:rPr>
                      <w:rFonts w:hint="eastAsia"/>
                      <w:color w:val="auto"/>
                      <w:sz w:val="21"/>
                      <w:szCs w:val="21"/>
                    </w:rPr>
                  </w:pPr>
                  <w:r>
                    <w:rPr>
                      <w:rFonts w:hint="eastAsia"/>
                      <w:color w:val="auto"/>
                      <w:sz w:val="21"/>
                      <w:szCs w:val="21"/>
                    </w:rPr>
                    <w:t>2.4 对易产生无组织排放扬尘的粉状、粒状物料、燃料的储存、运输采取密闭方式；对块状物料采用入棚入仓或建设防风抑尘网等方式进行存储，并设抑尘措施。</w:t>
                  </w:r>
                </w:p>
                <w:p>
                  <w:pPr>
                    <w:adjustRightInd w:val="0"/>
                    <w:snapToGrid w:val="0"/>
                    <w:spacing w:line="276" w:lineRule="auto"/>
                    <w:jc w:val="both"/>
                    <w:rPr>
                      <w:rFonts w:hint="eastAsia"/>
                      <w:color w:val="auto"/>
                      <w:sz w:val="21"/>
                      <w:szCs w:val="21"/>
                    </w:rPr>
                  </w:pPr>
                  <w:r>
                    <w:rPr>
                      <w:rFonts w:hint="eastAsia"/>
                      <w:color w:val="auto"/>
                      <w:sz w:val="21"/>
                      <w:szCs w:val="21"/>
                    </w:rPr>
                    <w:t>2.5 石化生产存贮销售企业和工业园区、矿山开采区、垃圾填埋场等区域应进行必要的防处理。</w:t>
                  </w:r>
                </w:p>
                <w:p>
                  <w:pPr>
                    <w:adjustRightInd w:val="0"/>
                    <w:snapToGrid w:val="0"/>
                    <w:spacing w:line="276" w:lineRule="auto"/>
                    <w:jc w:val="both"/>
                    <w:rPr>
                      <w:rFonts w:hint="eastAsia"/>
                      <w:color w:val="auto"/>
                      <w:sz w:val="21"/>
                      <w:szCs w:val="21"/>
                    </w:rPr>
                  </w:pPr>
                  <w:r>
                    <w:rPr>
                      <w:rFonts w:hint="eastAsia"/>
                      <w:color w:val="auto"/>
                      <w:sz w:val="21"/>
                      <w:szCs w:val="21"/>
                    </w:rPr>
                    <w:t>2.6 持续深化工业炉窑大气污染专项治理，按照《湖南省工业炉窑大气污染综合治理实施方案》要求，重点推进水泥、有色、陶瓷、无机化工等行业炉窑深度治理，进一步加强烧制砖瓦行业综合整治。鼓励实施燃气锅炉低氮改造</w:t>
                  </w:r>
                </w:p>
              </w:tc>
              <w:tc>
                <w:tcPr>
                  <w:tcW w:w="695" w:type="pct"/>
                  <w:vAlign w:val="center"/>
                </w:tcPr>
                <w:p>
                  <w:pPr>
                    <w:adjustRightInd w:val="0"/>
                    <w:snapToGrid w:val="0"/>
                    <w:spacing w:line="276" w:lineRule="auto"/>
                    <w:jc w:val="center"/>
                    <w:rPr>
                      <w:color w:val="auto"/>
                      <w:sz w:val="21"/>
                      <w:szCs w:val="21"/>
                    </w:rPr>
                  </w:pPr>
                  <w:r>
                    <w:rPr>
                      <w:rFonts w:hint="eastAsia"/>
                      <w:color w:val="auto"/>
                      <w:sz w:val="21"/>
                      <w:szCs w:val="21"/>
                    </w:rPr>
                    <w:t>本项目不属于畜禽养殖业及涉重金属企业，本项目废水经污水处理站预处理达标后排放至市政污水管网，进入</w:t>
                  </w:r>
                  <w:r>
                    <w:rPr>
                      <w:rFonts w:hint="eastAsia"/>
                      <w:color w:val="auto"/>
                      <w:sz w:val="21"/>
                      <w:szCs w:val="21"/>
                      <w:lang w:val="en-US" w:eastAsia="zh-CN"/>
                    </w:rPr>
                    <w:t>桃林镇</w:t>
                  </w:r>
                  <w:r>
                    <w:rPr>
                      <w:rFonts w:hint="eastAsia"/>
                      <w:color w:val="auto"/>
                      <w:sz w:val="21"/>
                      <w:szCs w:val="21"/>
                    </w:rPr>
                    <w:t>污水</w:t>
                  </w:r>
                  <w:r>
                    <w:rPr>
                      <w:rFonts w:hint="eastAsia"/>
                      <w:color w:val="auto"/>
                      <w:sz w:val="21"/>
                      <w:szCs w:val="21"/>
                      <w:lang w:val="en-US" w:eastAsia="zh-CN"/>
                    </w:rPr>
                    <w:t>处理厂</w:t>
                  </w:r>
                  <w:r>
                    <w:rPr>
                      <w:rFonts w:hint="eastAsia"/>
                      <w:color w:val="auto"/>
                      <w:sz w:val="21"/>
                      <w:szCs w:val="21"/>
                    </w:rPr>
                    <w:t>处理达到一级A排放标准排放。不涉及工业炉窑。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54" w:type="pct"/>
                  <w:vAlign w:val="center"/>
                </w:tcPr>
                <w:p>
                  <w:pPr>
                    <w:adjustRightInd w:val="0"/>
                    <w:snapToGrid w:val="0"/>
                    <w:spacing w:line="276" w:lineRule="auto"/>
                    <w:jc w:val="center"/>
                    <w:rPr>
                      <w:rFonts w:hint="default" w:eastAsia="宋体"/>
                      <w:color w:val="auto"/>
                      <w:sz w:val="21"/>
                      <w:szCs w:val="21"/>
                      <w:lang w:val="en-US" w:eastAsia="zh-CN"/>
                    </w:rPr>
                  </w:pPr>
                  <w:r>
                    <w:rPr>
                      <w:rFonts w:hint="eastAsia"/>
                      <w:color w:val="auto"/>
                      <w:sz w:val="21"/>
                      <w:szCs w:val="21"/>
                      <w:lang w:val="en-US" w:eastAsia="zh-CN"/>
                    </w:rPr>
                    <w:t>环境风险防控</w:t>
                  </w:r>
                </w:p>
              </w:tc>
              <w:tc>
                <w:tcPr>
                  <w:tcW w:w="3549" w:type="pct"/>
                  <w:vAlign w:val="center"/>
                </w:tcPr>
                <w:p>
                  <w:pPr>
                    <w:adjustRightInd w:val="0"/>
                    <w:snapToGrid w:val="0"/>
                    <w:spacing w:line="276" w:lineRule="auto"/>
                    <w:jc w:val="both"/>
                    <w:rPr>
                      <w:rFonts w:hint="eastAsia"/>
                      <w:color w:val="auto"/>
                      <w:sz w:val="21"/>
                      <w:szCs w:val="21"/>
                    </w:rPr>
                  </w:pPr>
                  <w:r>
                    <w:rPr>
                      <w:rFonts w:hint="eastAsia"/>
                      <w:color w:val="auto"/>
                      <w:sz w:val="21"/>
                      <w:szCs w:val="21"/>
                    </w:rPr>
                    <w:t>3.1 分阶段、分区域、按类别解决历史遗留污染问题，对关闭矿山，加快推进矿山生态环境修复治理及矿井涌水整治。</w:t>
                  </w:r>
                </w:p>
                <w:p>
                  <w:pPr>
                    <w:adjustRightInd w:val="0"/>
                    <w:snapToGrid w:val="0"/>
                    <w:spacing w:line="276" w:lineRule="auto"/>
                    <w:jc w:val="both"/>
                    <w:rPr>
                      <w:rFonts w:hint="eastAsia"/>
                      <w:color w:val="auto"/>
                      <w:sz w:val="21"/>
                      <w:szCs w:val="21"/>
                    </w:rPr>
                  </w:pPr>
                  <w:r>
                    <w:rPr>
                      <w:rFonts w:hint="eastAsia"/>
                      <w:color w:val="auto"/>
                      <w:sz w:val="21"/>
                      <w:szCs w:val="21"/>
                    </w:rPr>
                    <w:t>3.2 针对建设用地污染风险重点管控区的管控要求。严格建设用地土壤污染风险管控。加强建设用地土壤污染风险管控和修复名录管理，实现污染地块安全利用率90%以上；加强全国土壤环境信息化管理平台管理与使用，及时动态更新污染地块目录；严控污染地块环境社会风险，以城镇人口密集区危险化学品生产企业搬迁改造以及长江经济带化工污染整治过程中的腾退企业用地为重点，结合建设用地治理修复和风险管控名录管理制度，进一步加强腾退土地污染风险管控，严格对企业拆除活动的环境监管。</w:t>
                  </w:r>
                </w:p>
                <w:p>
                  <w:pPr>
                    <w:adjustRightInd w:val="0"/>
                    <w:snapToGrid w:val="0"/>
                    <w:spacing w:line="276" w:lineRule="auto"/>
                    <w:jc w:val="both"/>
                    <w:rPr>
                      <w:color w:val="auto"/>
                      <w:sz w:val="21"/>
                      <w:szCs w:val="21"/>
                    </w:rPr>
                  </w:pPr>
                  <w:r>
                    <w:rPr>
                      <w:rFonts w:hint="eastAsia"/>
                      <w:color w:val="auto"/>
                      <w:sz w:val="21"/>
                      <w:szCs w:val="21"/>
                    </w:rPr>
                    <w:t>3.3 临湘桃矿独立工矿区：对矿区内银孔山及上塘冲塌陷区10平方公里范围内采空区进行治理，对因洞采及露天开采导致植被、水系、地质等破坏，极易发生地质灾害，进行地质灾害隐患治理；对矿区内1.5万平方公里被污染土壤进行有效管控，部分土壤采用污染土壤的原位修复、污染土壤的清理、污染土壤的异位稳定化固化处理，对污染土壤进行修复；对桃林河重金属污染实施二期治理，对8公里河道多处进行疏浚，包括施工围堵和边坡护砌，并对沿河道路进行维修和绿化种植；根据水体污染程度的差异以及水资源对居民生活的影响程度的差异，划分出重点治理区域，通过饮用水源保护、河道清淤、护砌工程、人工浮岛实施治理。</w:t>
                  </w:r>
                </w:p>
              </w:tc>
              <w:tc>
                <w:tcPr>
                  <w:tcW w:w="695" w:type="pct"/>
                  <w:vAlign w:val="center"/>
                </w:tcPr>
                <w:p>
                  <w:pPr>
                    <w:adjustRightInd w:val="0"/>
                    <w:snapToGrid w:val="0"/>
                    <w:spacing w:line="276" w:lineRule="auto"/>
                    <w:jc w:val="center"/>
                    <w:rPr>
                      <w:rFonts w:hint="eastAsia"/>
                      <w:color w:val="auto"/>
                      <w:sz w:val="21"/>
                      <w:szCs w:val="21"/>
                    </w:rPr>
                  </w:pPr>
                  <w:r>
                    <w:rPr>
                      <w:rFonts w:hint="eastAsia"/>
                      <w:color w:val="auto"/>
                      <w:sz w:val="21"/>
                      <w:szCs w:val="21"/>
                    </w:rPr>
                    <w:t>本项目建设地为</w:t>
                  </w:r>
                  <w:r>
                    <w:rPr>
                      <w:rFonts w:hint="eastAsia"/>
                      <w:color w:val="auto"/>
                      <w:sz w:val="21"/>
                      <w:szCs w:val="21"/>
                      <w:lang w:val="en-US" w:eastAsia="zh-CN"/>
                    </w:rPr>
                    <w:t>桃林镇中心地段</w:t>
                  </w:r>
                  <w:r>
                    <w:rPr>
                      <w:rFonts w:hint="eastAsia"/>
                      <w:color w:val="auto"/>
                      <w:sz w:val="21"/>
                      <w:szCs w:val="21"/>
                    </w:rPr>
                    <w:t>不涉及临</w:t>
                  </w:r>
                </w:p>
                <w:p>
                  <w:pPr>
                    <w:adjustRightInd w:val="0"/>
                    <w:snapToGrid w:val="0"/>
                    <w:spacing w:line="276" w:lineRule="auto"/>
                    <w:jc w:val="center"/>
                    <w:rPr>
                      <w:color w:val="FF0000"/>
                      <w:sz w:val="21"/>
                      <w:szCs w:val="21"/>
                    </w:rPr>
                  </w:pPr>
                  <w:r>
                    <w:rPr>
                      <w:rFonts w:hint="eastAsia"/>
                      <w:color w:val="auto"/>
                      <w:sz w:val="21"/>
                      <w:szCs w:val="21"/>
                    </w:rPr>
                    <w:t>湘桃矿独立工矿区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54" w:type="pct"/>
                  <w:vAlign w:val="center"/>
                </w:tcPr>
                <w:p>
                  <w:pPr>
                    <w:adjustRightInd w:val="0"/>
                    <w:snapToGrid w:val="0"/>
                    <w:spacing w:line="276" w:lineRule="auto"/>
                    <w:jc w:val="center"/>
                    <w:rPr>
                      <w:color w:val="auto"/>
                      <w:sz w:val="21"/>
                      <w:szCs w:val="21"/>
                    </w:rPr>
                  </w:pPr>
                  <w:r>
                    <w:rPr>
                      <w:rFonts w:hint="eastAsia"/>
                      <w:color w:val="auto"/>
                      <w:sz w:val="21"/>
                      <w:szCs w:val="21"/>
                    </w:rPr>
                    <w:t>资源开发效率要求</w:t>
                  </w:r>
                </w:p>
              </w:tc>
              <w:tc>
                <w:tcPr>
                  <w:tcW w:w="3549" w:type="pct"/>
                  <w:vAlign w:val="center"/>
                </w:tcPr>
                <w:p>
                  <w:pPr>
                    <w:adjustRightInd w:val="0"/>
                    <w:snapToGrid w:val="0"/>
                    <w:spacing w:line="276" w:lineRule="auto"/>
                    <w:jc w:val="both"/>
                    <w:rPr>
                      <w:rFonts w:hint="eastAsia"/>
                      <w:color w:val="auto"/>
                      <w:sz w:val="21"/>
                      <w:szCs w:val="21"/>
                    </w:rPr>
                  </w:pPr>
                  <w:r>
                    <w:rPr>
                      <w:rFonts w:hint="eastAsia"/>
                      <w:color w:val="auto"/>
                      <w:sz w:val="21"/>
                      <w:szCs w:val="21"/>
                    </w:rPr>
                    <w:t>4.1 积极推进农业节水，完成高效节水灌溉年度任务；推进循环发展，将再生水、雨水、矿井水等非常规水源纳入区域水资源统一配置。</w:t>
                  </w:r>
                </w:p>
                <w:p>
                  <w:pPr>
                    <w:adjustRightInd w:val="0"/>
                    <w:snapToGrid w:val="0"/>
                    <w:spacing w:line="276" w:lineRule="auto"/>
                    <w:jc w:val="both"/>
                    <w:rPr>
                      <w:rFonts w:hint="eastAsia"/>
                      <w:color w:val="auto"/>
                      <w:sz w:val="21"/>
                      <w:szCs w:val="21"/>
                    </w:rPr>
                  </w:pPr>
                  <w:r>
                    <w:rPr>
                      <w:rFonts w:hint="eastAsia"/>
                      <w:color w:val="auto"/>
                      <w:sz w:val="21"/>
                      <w:szCs w:val="21"/>
                    </w:rPr>
                    <w:t>4.2 水资源：临湘市万元国内生产总值用水量104m</w:t>
                  </w:r>
                  <w:r>
                    <w:rPr>
                      <w:rFonts w:hint="eastAsia"/>
                      <w:color w:val="auto"/>
                      <w:sz w:val="21"/>
                      <w:szCs w:val="21"/>
                      <w:vertAlign w:val="superscript"/>
                    </w:rPr>
                    <w:t>3</w:t>
                  </w:r>
                  <w:r>
                    <w:rPr>
                      <w:rFonts w:hint="eastAsia"/>
                      <w:color w:val="auto"/>
                      <w:sz w:val="21"/>
                      <w:szCs w:val="21"/>
                    </w:rPr>
                    <w:t>/万元，万元工业增加值用水量31m</w:t>
                  </w:r>
                  <w:r>
                    <w:rPr>
                      <w:rFonts w:hint="eastAsia"/>
                      <w:color w:val="auto"/>
                      <w:sz w:val="21"/>
                      <w:szCs w:val="21"/>
                      <w:vertAlign w:val="superscript"/>
                    </w:rPr>
                    <w:t>3</w:t>
                  </w:r>
                  <w:r>
                    <w:rPr>
                      <w:rFonts w:hint="eastAsia"/>
                      <w:color w:val="auto"/>
                      <w:sz w:val="21"/>
                      <w:szCs w:val="21"/>
                    </w:rPr>
                    <w:t>/万元，农田灌溉水有效利用系数0.55。</w:t>
                  </w:r>
                </w:p>
                <w:p>
                  <w:pPr>
                    <w:adjustRightInd w:val="0"/>
                    <w:snapToGrid w:val="0"/>
                    <w:spacing w:line="276" w:lineRule="auto"/>
                    <w:jc w:val="both"/>
                    <w:rPr>
                      <w:rFonts w:hint="eastAsia"/>
                      <w:color w:val="auto"/>
                      <w:sz w:val="21"/>
                      <w:szCs w:val="21"/>
                    </w:rPr>
                  </w:pPr>
                  <w:r>
                    <w:rPr>
                      <w:rFonts w:hint="eastAsia"/>
                      <w:color w:val="auto"/>
                      <w:sz w:val="21"/>
                      <w:szCs w:val="21"/>
                    </w:rPr>
                    <w:t>4.3 能源：临湘市“十三五”能耗强度降低目标18.5%，“十三五”能耗控制目标17.5万吨标准煤。</w:t>
                  </w:r>
                </w:p>
                <w:p>
                  <w:pPr>
                    <w:adjustRightInd w:val="0"/>
                    <w:snapToGrid w:val="0"/>
                    <w:spacing w:line="276" w:lineRule="auto"/>
                    <w:jc w:val="both"/>
                    <w:rPr>
                      <w:rFonts w:hint="eastAsia"/>
                      <w:color w:val="auto"/>
                      <w:sz w:val="21"/>
                      <w:szCs w:val="21"/>
                    </w:rPr>
                  </w:pPr>
                  <w:r>
                    <w:rPr>
                      <w:rFonts w:hint="eastAsia"/>
                      <w:color w:val="auto"/>
                      <w:sz w:val="21"/>
                      <w:szCs w:val="21"/>
                    </w:rPr>
                    <w:t>4.4 土地资源：</w:t>
                  </w:r>
                </w:p>
                <w:p>
                  <w:pPr>
                    <w:adjustRightInd w:val="0"/>
                    <w:snapToGrid w:val="0"/>
                    <w:spacing w:line="276" w:lineRule="auto"/>
                    <w:jc w:val="both"/>
                    <w:rPr>
                      <w:rFonts w:hint="eastAsia"/>
                      <w:color w:val="auto"/>
                      <w:sz w:val="21"/>
                      <w:szCs w:val="21"/>
                    </w:rPr>
                  </w:pPr>
                  <w:r>
                    <w:rPr>
                      <w:rFonts w:hint="eastAsia"/>
                      <w:color w:val="auto"/>
                      <w:sz w:val="21"/>
                      <w:szCs w:val="21"/>
                    </w:rPr>
                    <w:t>忠防镇（含桃矿街道）：城镇工矿用地建设规模为181.57公顷，耕地保有量1756.22公顷，建设用地总规模达到896.95公顷。</w:t>
                  </w:r>
                </w:p>
                <w:p>
                  <w:pPr>
                    <w:adjustRightInd w:val="0"/>
                    <w:snapToGrid w:val="0"/>
                    <w:spacing w:line="276" w:lineRule="auto"/>
                    <w:jc w:val="both"/>
                    <w:rPr>
                      <w:rFonts w:hint="eastAsia"/>
                      <w:color w:val="auto"/>
                      <w:sz w:val="21"/>
                      <w:szCs w:val="21"/>
                    </w:rPr>
                  </w:pPr>
                  <w:r>
                    <w:rPr>
                      <w:rFonts w:hint="eastAsia"/>
                      <w:color w:val="auto"/>
                      <w:sz w:val="21"/>
                      <w:szCs w:val="21"/>
                    </w:rPr>
                    <w:t>桃林镇：城镇工矿用地建设规模为258.12公顷，耕地保有量3274.85公顷，建设用地总规模达到1336.32公顷。</w:t>
                  </w:r>
                </w:p>
                <w:p>
                  <w:pPr>
                    <w:adjustRightInd w:val="0"/>
                    <w:snapToGrid w:val="0"/>
                    <w:spacing w:line="276" w:lineRule="auto"/>
                    <w:jc w:val="both"/>
                    <w:rPr>
                      <w:rFonts w:hint="eastAsia"/>
                      <w:color w:val="auto"/>
                      <w:sz w:val="21"/>
                      <w:szCs w:val="21"/>
                    </w:rPr>
                  </w:pPr>
                  <w:r>
                    <w:rPr>
                      <w:rFonts w:hint="eastAsia"/>
                      <w:color w:val="auto"/>
                      <w:sz w:val="21"/>
                      <w:szCs w:val="21"/>
                    </w:rPr>
                    <w:t>长安街道：城镇工矿用地建设规模为1668.09公顷，耕地保有量2021.79公顷，建设用地总规模达到2390.47公顷。</w:t>
                  </w:r>
                </w:p>
                <w:p>
                  <w:pPr>
                    <w:adjustRightInd w:val="0"/>
                    <w:snapToGrid w:val="0"/>
                    <w:spacing w:line="276" w:lineRule="auto"/>
                    <w:jc w:val="both"/>
                    <w:rPr>
                      <w:color w:val="auto"/>
                      <w:sz w:val="21"/>
                      <w:szCs w:val="21"/>
                    </w:rPr>
                  </w:pPr>
                  <w:r>
                    <w:rPr>
                      <w:rFonts w:hint="eastAsia"/>
                      <w:color w:val="auto"/>
                      <w:sz w:val="21"/>
                      <w:szCs w:val="21"/>
                    </w:rPr>
                    <w:t>五里牌街道：城镇工矿用地建设规模为744.24公顷，耕地保有量2261.21公顷，建设用地总规模达到1430.22公顷。</w:t>
                  </w:r>
                </w:p>
              </w:tc>
              <w:tc>
                <w:tcPr>
                  <w:tcW w:w="695" w:type="pct"/>
                  <w:vAlign w:val="center"/>
                </w:tcPr>
                <w:p>
                  <w:pPr>
                    <w:adjustRightInd w:val="0"/>
                    <w:snapToGrid w:val="0"/>
                    <w:spacing w:line="276" w:lineRule="auto"/>
                    <w:jc w:val="center"/>
                    <w:rPr>
                      <w:color w:val="auto"/>
                      <w:sz w:val="21"/>
                      <w:szCs w:val="21"/>
                    </w:rPr>
                  </w:pPr>
                  <w:r>
                    <w:rPr>
                      <w:rFonts w:hint="eastAsia"/>
                      <w:color w:val="auto"/>
                      <w:sz w:val="21"/>
                      <w:szCs w:val="21"/>
                    </w:rPr>
                    <w:t>本项目不属于高能耗项目，不涉及工矿及农耕，项目运营过程产生废水，经污水处理站处理达标后排放进入</w:t>
                  </w:r>
                  <w:r>
                    <w:rPr>
                      <w:rFonts w:hint="eastAsia"/>
                      <w:color w:val="auto"/>
                      <w:sz w:val="21"/>
                      <w:szCs w:val="21"/>
                      <w:lang w:val="en-US" w:eastAsia="zh-CN"/>
                    </w:rPr>
                    <w:t>桃林镇污水处理厂</w:t>
                  </w:r>
                  <w:r>
                    <w:rPr>
                      <w:rFonts w:hint="eastAsia"/>
                      <w:color w:val="auto"/>
                      <w:sz w:val="21"/>
                      <w:szCs w:val="21"/>
                    </w:rPr>
                    <w:t>处理达到一级A排放标准排放。</w:t>
                  </w:r>
                </w:p>
              </w:tc>
            </w:tr>
          </w:tbl>
          <w:p>
            <w:pPr>
              <w:pStyle w:val="7"/>
              <w:shd w:val="clear"/>
              <w:ind w:firstLine="480"/>
              <w:rPr>
                <w:color w:val="000000" w:themeColor="text1"/>
                <w14:textFill>
                  <w14:solidFill>
                    <w14:schemeClr w14:val="tx1"/>
                  </w14:solidFill>
                </w14:textFill>
              </w:rPr>
            </w:pPr>
            <w:r>
              <w:rPr>
                <w:color w:val="000000" w:themeColor="text1"/>
                <w14:textFill>
                  <w14:solidFill>
                    <w14:schemeClr w14:val="tx1"/>
                  </w14:solidFill>
                </w14:textFill>
              </w:rPr>
              <w:t>综上所述，本项目的建设符合《</w:t>
            </w:r>
            <w:r>
              <w:rPr>
                <w:rFonts w:hint="eastAsia"/>
                <w:color w:val="000000" w:themeColor="text1"/>
                <w14:textFill>
                  <w14:solidFill>
                    <w14:schemeClr w14:val="tx1"/>
                  </w14:solidFill>
                </w14:textFill>
              </w:rPr>
              <w:t>岳阳市“三线一单”生态环境分区管控的意见</w:t>
            </w:r>
            <w:r>
              <w:rPr>
                <w:color w:val="000000" w:themeColor="text1"/>
                <w14:textFill>
                  <w14:solidFill>
                    <w14:schemeClr w14:val="tx1"/>
                  </w14:solidFill>
                </w14:textFill>
              </w:rPr>
              <w:t>》相关要求。</w:t>
            </w:r>
          </w:p>
          <w:p>
            <w:pPr>
              <w:pStyle w:val="68"/>
              <w:spacing w:before="44" w:line="220" w:lineRule="auto"/>
              <w:ind w:left="106"/>
              <w:rPr>
                <w:rFonts w:ascii="Times New Roman" w:hAnsi="Times New Roman" w:eastAsia="Times New Roman" w:cs="Times New Roman"/>
                <w:b/>
                <w:bCs/>
                <w:spacing w:val="-2"/>
              </w:rPr>
            </w:pPr>
            <w:r>
              <w:rPr>
                <w:rFonts w:hint="eastAsia" w:ascii="Times New Roman" w:hAnsi="Times New Roman" w:eastAsia="Times New Roman" w:cs="Times New Roman"/>
                <w:b/>
                <w:bCs/>
                <w:spacing w:val="-2"/>
                <w:lang w:val="en-US" w:eastAsia="zh-CN"/>
              </w:rPr>
              <w:t>5</w:t>
            </w:r>
            <w:r>
              <w:rPr>
                <w:rFonts w:ascii="Times New Roman" w:hAnsi="Times New Roman" w:eastAsia="Times New Roman" w:cs="Times New Roman"/>
                <w:b/>
                <w:bCs/>
                <w:spacing w:val="-2"/>
              </w:rPr>
              <w:t>、产业政策符合性分析</w:t>
            </w:r>
          </w:p>
          <w:p>
            <w:pPr>
              <w:pStyle w:val="68"/>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本项目为医疗服务行业，根据《产业结构调整指导目录(2024年本)》，属于“鼓励类”中的第三十七项卫生健康第1条医疗服务设施建设，因此本项目的建设符合国家产业政策，</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6、选址合理性分析</w:t>
            </w:r>
          </w:p>
          <w:p>
            <w:pPr>
              <w:pStyle w:val="7"/>
              <w:shd w:val="clear"/>
              <w:ind w:firstLine="480"/>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lang w:val="en-US" w:eastAsia="zh-CN"/>
                <w14:textFill>
                  <w14:solidFill>
                    <w14:schemeClr w14:val="tx1"/>
                  </w14:solidFill>
                </w14:textFill>
              </w:rPr>
              <w:t>《临湘市“十四五”规划纲要》</w:t>
            </w:r>
            <w:r>
              <w:rPr>
                <w:color w:val="000000" w:themeColor="text1"/>
                <w:lang w:val="en-US" w:eastAsia="zh-CN"/>
                <w14:textFill>
                  <w14:solidFill>
                    <w14:schemeClr w14:val="tx1"/>
                  </w14:solidFill>
                </w14:textFill>
              </w:rPr>
              <w:t>第二</w:t>
            </w:r>
            <w:r>
              <w:rPr>
                <w:color w:val="000000" w:themeColor="text1"/>
                <w14:textFill>
                  <w14:solidFill>
                    <w14:schemeClr w14:val="tx1"/>
                  </w14:solidFill>
                </w14:textFill>
              </w:rPr>
              <w:t>十一章</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提高医疗卫生服务水平</w:t>
            </w:r>
            <w:r>
              <w:rPr>
                <w:rFonts w:hint="eastAsia"/>
                <w:color w:val="000000" w:themeColor="text1"/>
                <w:lang w:eastAsia="zh-CN"/>
                <w14:textFill>
                  <w14:solidFill>
                    <w14:schemeClr w14:val="tx1"/>
                  </w14:solidFill>
                </w14:textFill>
              </w:rPr>
              <w:t>”：</w:t>
            </w:r>
          </w:p>
          <w:p>
            <w:pPr>
              <w:pStyle w:val="7"/>
              <w:shd w:val="clear"/>
              <w:ind w:firstLine="48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需要</w:t>
            </w:r>
            <w:r>
              <w:rPr>
                <w:rFonts w:hint="eastAsia"/>
                <w:color w:val="000000" w:themeColor="text1"/>
                <w:lang w:eastAsia="zh-CN"/>
                <w14:textFill>
                  <w14:solidFill>
                    <w14:schemeClr w14:val="tx1"/>
                  </w14:solidFill>
                </w14:textFill>
              </w:rPr>
              <w:t>完善覆盖城乡的医疗资源供给，全面提高区域医疗设施的软硬件水平，加强公共卫生服务体系建设，提升突发公共卫生事件应急处置能力。构建面向全民、全生命周期的健康管理体系，稳步提高医疗卫生服务水平。</w:t>
            </w:r>
          </w:p>
          <w:p>
            <w:pPr>
              <w:pStyle w:val="7"/>
              <w:shd w:val="clear"/>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根据</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乡镇卫生</w:t>
            </w:r>
            <w:r>
              <w:rPr>
                <w:color w:val="000000" w:themeColor="text1"/>
                <w14:textFill>
                  <w14:solidFill>
                    <w14:schemeClr w14:val="tx1"/>
                  </w14:solidFill>
                </w14:textFill>
              </w:rPr>
              <w:t>院建</w:t>
            </w:r>
            <w:r>
              <w:rPr>
                <w:rFonts w:hint="eastAsia"/>
                <w:color w:val="000000" w:themeColor="text1"/>
                <w14:textFill>
                  <w14:solidFill>
                    <w14:schemeClr w14:val="tx1"/>
                  </w14:solidFill>
                </w14:textFill>
              </w:rPr>
              <w:t>设标准（建标107-2008）</w:t>
            </w:r>
            <w:r>
              <w:rPr>
                <w:color w:val="000000" w:themeColor="text1"/>
                <w14:textFill>
                  <w14:solidFill>
                    <w14:schemeClr w14:val="tx1"/>
                  </w14:solidFill>
                </w14:textFill>
              </w:rPr>
              <w:t>》，该</w:t>
            </w:r>
            <w:r>
              <w:rPr>
                <w:rFonts w:hint="eastAsia"/>
                <w:color w:val="000000" w:themeColor="text1"/>
                <w14:textFill>
                  <w14:solidFill>
                    <w14:schemeClr w14:val="tx1"/>
                  </w14:solidFill>
                </w14:textFill>
              </w:rPr>
              <w:t>标准第十六条</w:t>
            </w:r>
            <w:r>
              <w:rPr>
                <w:color w:val="000000" w:themeColor="text1"/>
                <w14:textFill>
                  <w14:solidFill>
                    <w14:schemeClr w14:val="tx1"/>
                  </w14:solidFill>
                </w14:textFill>
              </w:rPr>
              <w:t>中明确</w:t>
            </w:r>
            <w:r>
              <w:rPr>
                <w:rFonts w:hint="eastAsia"/>
                <w:color w:val="000000" w:themeColor="text1"/>
                <w14:textFill>
                  <w14:solidFill>
                    <w14:schemeClr w14:val="tx1"/>
                  </w14:solidFill>
                </w14:textFill>
              </w:rPr>
              <w:t>乡镇卫生</w:t>
            </w:r>
            <w:r>
              <w:rPr>
                <w:color w:val="000000" w:themeColor="text1"/>
                <w14:textFill>
                  <w14:solidFill>
                    <w14:schemeClr w14:val="tx1"/>
                  </w14:solidFill>
                </w14:textFill>
              </w:rPr>
              <w:t>院选址应</w:t>
            </w:r>
            <w:r>
              <w:rPr>
                <w:rFonts w:hint="eastAsia"/>
                <w:color w:val="000000" w:themeColor="text1"/>
                <w14:textFill>
                  <w14:solidFill>
                    <w14:schemeClr w14:val="tx1"/>
                  </w14:solidFill>
                </w14:textFill>
              </w:rPr>
              <w:t>符合下列规定</w:t>
            </w:r>
            <w:r>
              <w:rPr>
                <w:color w:val="000000" w:themeColor="text1"/>
                <w14:textFill>
                  <w14:solidFill>
                    <w14:schemeClr w14:val="tx1"/>
                  </w14:solidFill>
                </w14:textFill>
              </w:rPr>
              <w:t>：</w:t>
            </w:r>
          </w:p>
          <w:p>
            <w:pPr>
              <w:pStyle w:val="7"/>
              <w:shd w:val="clear"/>
              <w:ind w:firstLine="48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①应具备较好的工程地质条件和水文地质条件</w:t>
            </w:r>
            <w:r>
              <w:rPr>
                <w:rFonts w:hint="eastAsia"/>
                <w:color w:val="000000" w:themeColor="text1"/>
                <w:lang w:eastAsia="zh-CN"/>
                <w14:textFill>
                  <w14:solidFill>
                    <w14:schemeClr w14:val="tx1"/>
                  </w14:solidFill>
                </w14:textFill>
              </w:rPr>
              <w:t>；</w:t>
            </w:r>
          </w:p>
          <w:p>
            <w:pPr>
              <w:pStyle w:val="7"/>
              <w:shd w:val="clear"/>
              <w:ind w:firstLine="48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②应方便群众，交通方便</w:t>
            </w:r>
            <w:r>
              <w:rPr>
                <w:rFonts w:hint="eastAsia"/>
                <w:color w:val="000000" w:themeColor="text1"/>
                <w:lang w:eastAsia="zh-CN"/>
                <w14:textFill>
                  <w14:solidFill>
                    <w14:schemeClr w14:val="tx1"/>
                  </w14:solidFill>
                </w14:textFill>
              </w:rPr>
              <w:t>；</w:t>
            </w:r>
          </w:p>
          <w:p>
            <w:pPr>
              <w:pStyle w:val="7"/>
              <w:shd w:val="clear"/>
              <w:ind w:firstLine="48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③周边宜有便利的水、电、路等公用基础设施</w:t>
            </w:r>
            <w:r>
              <w:rPr>
                <w:rFonts w:hint="eastAsia"/>
                <w:color w:val="000000" w:themeColor="text1"/>
                <w:lang w:eastAsia="zh-CN"/>
                <w14:textFill>
                  <w14:solidFill>
                    <w14:schemeClr w14:val="tx1"/>
                  </w14:solidFill>
                </w14:textFill>
              </w:rPr>
              <w:t>；</w:t>
            </w:r>
          </w:p>
          <w:p>
            <w:pPr>
              <w:pStyle w:val="7"/>
              <w:shd w:val="clear"/>
              <w:ind w:firstLine="48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④应环境安静、远离污染源，并与少年儿童活动密集场所有一定距离</w:t>
            </w:r>
            <w:r>
              <w:rPr>
                <w:rFonts w:hint="eastAsia"/>
                <w:color w:val="000000" w:themeColor="text1"/>
                <w:lang w:eastAsia="zh-CN"/>
                <w14:textFill>
                  <w14:solidFill>
                    <w14:schemeClr w14:val="tx1"/>
                  </w14:solidFill>
                </w14:textFill>
              </w:rPr>
              <w:t>；</w:t>
            </w:r>
          </w:p>
          <w:p>
            <w:pPr>
              <w:pStyle w:val="7"/>
              <w:shd w:val="clea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⑤应远离易燃、易爆物品的生产和贮存区，高压线路及其设施。</w:t>
            </w:r>
          </w:p>
          <w:p>
            <w:pPr>
              <w:pStyle w:val="7"/>
              <w:shd w:val="clear"/>
              <w:ind w:firstLine="480"/>
              <w:rPr>
                <w:color w:val="000000" w:themeColor="text1"/>
                <w14:textFill>
                  <w14:solidFill>
                    <w14:schemeClr w14:val="tx1"/>
                  </w14:solidFill>
                </w14:textFill>
              </w:rPr>
            </w:pPr>
            <w:r>
              <w:rPr>
                <w:color w:val="000000" w:themeColor="text1"/>
                <w14:textFill>
                  <w14:solidFill>
                    <w14:schemeClr w14:val="tx1"/>
                  </w14:solidFill>
                </w14:textFill>
              </w:rPr>
              <w:t>本项目场址</w:t>
            </w:r>
            <w:r>
              <w:rPr>
                <w:rFonts w:hint="eastAsia"/>
                <w:color w:val="000000" w:themeColor="text1"/>
                <w:lang w:eastAsia="zh-CN"/>
                <w14:textFill>
                  <w14:solidFill>
                    <w14:schemeClr w14:val="tx1"/>
                  </w14:solidFill>
                </w14:textFill>
              </w:rPr>
              <w:t>临湘市桃林镇</w:t>
            </w:r>
            <w:r>
              <w:rPr>
                <w:color w:val="000000" w:themeColor="text1"/>
                <w14:textFill>
                  <w14:solidFill>
                    <w14:schemeClr w14:val="tx1"/>
                  </w14:solidFill>
                </w14:textFill>
              </w:rPr>
              <w:t>，能满足病人的转诊、物资和设备的运送等所需的交通条件和相对较近的交通距离；项目用地区域可利用的现有公共资源齐全，供电、供水、排水、通讯、网络等基础设施完备，同时为病人、病人家属、医院职工提供良好的生活保障和社会服务，能满足能源供应、信息交流、医疗及生活保障的需要。医院地块基本呈矩形，方便平面布置；用地周边没有污染型企业、高压线路及其设施。</w:t>
            </w:r>
          </w:p>
          <w:p>
            <w:pPr>
              <w:pStyle w:val="7"/>
              <w:shd w:val="clear"/>
              <w:ind w:firstLine="48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根据</w:t>
            </w:r>
            <w:r>
              <w:rPr>
                <w:color w:val="000000" w:themeColor="text1"/>
                <w:u w:val="none"/>
                <w14:textFill>
                  <w14:solidFill>
                    <w14:schemeClr w14:val="tx1"/>
                  </w14:solidFill>
                </w14:textFill>
              </w:rPr>
              <w:t>《岳阳市区域卫生规划》（2016-2030）</w:t>
            </w:r>
            <w:r>
              <w:rPr>
                <w:rFonts w:hint="eastAsia"/>
                <w:color w:val="000000" w:themeColor="text1"/>
                <w:u w:val="none"/>
                <w14:textFill>
                  <w14:solidFill>
                    <w14:schemeClr w14:val="tx1"/>
                  </w14:solidFill>
                </w14:textFill>
              </w:rPr>
              <w:t>要求中提出以县（市）级医院为龙头、乡镇卫生院为枢纽、村卫生室为网底的原则，规划农村三级医疗卫生服务网络。县级人民医院向三级综合医院发展；每个乡镇至少建设1个政府举办的乡镇卫生院，中心镇卫生院达到二级综合医院的规模和水平；原则上每个行政村规划建设1个村卫生室，建设面积不低于100平方米。本项目属于政府举办的乡镇卫生院，选址合理。</w:t>
            </w:r>
          </w:p>
          <w:p>
            <w:pPr>
              <w:pStyle w:val="7"/>
              <w:shd w:val="clear"/>
              <w:ind w:firstLine="480"/>
              <w:rPr>
                <w:color w:val="000000" w:themeColor="text1"/>
                <w14:textFill>
                  <w14:solidFill>
                    <w14:schemeClr w14:val="tx1"/>
                  </w14:solidFill>
                </w14:textFill>
              </w:rPr>
            </w:pPr>
            <w:r>
              <w:rPr>
                <w:color w:val="000000" w:themeColor="text1"/>
                <w:u w:val="none"/>
                <w14:textFill>
                  <w14:solidFill>
                    <w14:schemeClr w14:val="tx1"/>
                  </w14:solidFill>
                </w14:textFill>
              </w:rPr>
              <w:t>综上所述，项目选址符合</w:t>
            </w:r>
            <w:r>
              <w:rPr>
                <w:rFonts w:hint="eastAsia"/>
                <w:color w:val="000000" w:themeColor="text1"/>
                <w:u w:val="none"/>
                <w14:textFill>
                  <w14:solidFill>
                    <w14:schemeClr w14:val="tx1"/>
                  </w14:solidFill>
                </w14:textFill>
              </w:rPr>
              <w:t>乡镇卫生</w:t>
            </w:r>
            <w:r>
              <w:rPr>
                <w:color w:val="000000" w:themeColor="text1"/>
                <w:u w:val="none"/>
                <w14:textFill>
                  <w14:solidFill>
                    <w14:schemeClr w14:val="tx1"/>
                  </w14:solidFill>
                </w14:textFill>
              </w:rPr>
              <w:t>院的选址原则，选址是合理的</w:t>
            </w:r>
            <w:r>
              <w:rPr>
                <w:color w:val="000000" w:themeColor="text1"/>
                <w14:textFill>
                  <w14:solidFill>
                    <w14:schemeClr w14:val="tx1"/>
                  </w14:solidFill>
                </w14:textFill>
              </w:rPr>
              <w:t>。</w:t>
            </w:r>
          </w:p>
          <w:p>
            <w:pPr>
              <w:pStyle w:val="68"/>
              <w:spacing w:before="44" w:line="220" w:lineRule="auto"/>
              <w:ind w:left="106"/>
              <w:rPr>
                <w:rFonts w:ascii="Times New Roman" w:hAnsi="Times New Roman" w:eastAsia="Times New Roman" w:cs="Times New Roman"/>
                <w:b/>
                <w:bCs/>
                <w:spacing w:val="-2"/>
              </w:rPr>
            </w:pPr>
            <w:r>
              <w:rPr>
                <w:rFonts w:hint="eastAsia" w:ascii="Times New Roman" w:hAnsi="Times New Roman" w:eastAsia="Times New Roman" w:cs="Times New Roman"/>
                <w:b/>
                <w:bCs/>
                <w:spacing w:val="-2"/>
                <w:lang w:val="en-US" w:eastAsia="zh-CN"/>
              </w:rPr>
              <w:t>7</w:t>
            </w:r>
            <w:r>
              <w:rPr>
                <w:rFonts w:ascii="Times New Roman" w:hAnsi="Times New Roman" w:eastAsia="Times New Roman" w:cs="Times New Roman"/>
                <w:b/>
                <w:bCs/>
                <w:spacing w:val="-2"/>
              </w:rPr>
              <w:t>、平面布局合理性分析</w:t>
            </w:r>
          </w:p>
          <w:p>
            <w:pPr>
              <w:pStyle w:val="7"/>
              <w:ind w:firstLine="480"/>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项目大门出口布置于</w:t>
            </w:r>
            <w:r>
              <w:rPr>
                <w:rFonts w:hint="eastAsia"/>
                <w:color w:val="000000" w:themeColor="text1"/>
                <w:lang w:val="en-US" w:eastAsia="zh-CN"/>
                <w14:textFill>
                  <w14:solidFill>
                    <w14:schemeClr w14:val="tx1"/>
                  </w14:solidFill>
                </w14:textFill>
              </w:rPr>
              <w:t>北侧</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门诊位于项目西南侧</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公卫服务楼位于项目东南侧；</w:t>
            </w:r>
            <w:r>
              <w:rPr>
                <w:color w:val="auto"/>
              </w:rPr>
              <w:t>项目污水处理</w:t>
            </w:r>
            <w:r>
              <w:rPr>
                <w:rFonts w:hint="eastAsia"/>
                <w:color w:val="auto"/>
              </w:rPr>
              <w:t>设施</w:t>
            </w:r>
            <w:r>
              <w:rPr>
                <w:color w:val="auto"/>
              </w:rPr>
              <w:t>为</w:t>
            </w:r>
            <w:r>
              <w:rPr>
                <w:rFonts w:hint="eastAsia"/>
                <w:color w:val="auto"/>
                <w:lang w:eastAsia="zh-CN"/>
              </w:rPr>
              <w:t>“</w:t>
            </w:r>
            <w:r>
              <w:rPr>
                <w:rFonts w:hint="eastAsia"/>
                <w:color w:val="auto"/>
                <w:lang w:val="en-US" w:eastAsia="zh-CN"/>
              </w:rPr>
              <w:t>AO工艺+消毒</w:t>
            </w:r>
            <w:r>
              <w:rPr>
                <w:rFonts w:hint="eastAsia"/>
                <w:color w:val="auto"/>
                <w:lang w:eastAsia="zh-CN"/>
              </w:rPr>
              <w:t>”</w:t>
            </w:r>
            <w:r>
              <w:rPr>
                <w:rFonts w:hint="eastAsia"/>
                <w:color w:val="auto"/>
              </w:rPr>
              <w:t>设施，布置于门诊住</w:t>
            </w:r>
            <w:r>
              <w:rPr>
                <w:color w:val="auto"/>
              </w:rPr>
              <w:t>院</w:t>
            </w:r>
            <w:r>
              <w:rPr>
                <w:rFonts w:hint="eastAsia"/>
                <w:color w:val="auto"/>
              </w:rPr>
              <w:t>楼一楼的</w:t>
            </w:r>
            <w:r>
              <w:rPr>
                <w:rFonts w:hint="eastAsia"/>
                <w:color w:val="auto"/>
                <w:lang w:val="en-US" w:eastAsia="zh-CN"/>
              </w:rPr>
              <w:t>西</w:t>
            </w:r>
            <w:r>
              <w:rPr>
                <w:rFonts w:hint="eastAsia"/>
                <w:color w:val="auto"/>
              </w:rPr>
              <w:t>侧</w:t>
            </w:r>
            <w:r>
              <w:rPr>
                <w:color w:val="auto"/>
              </w:rPr>
              <w:t>；</w:t>
            </w:r>
            <w:r>
              <w:rPr>
                <w:rFonts w:hint="eastAsia"/>
                <w:color w:val="auto"/>
              </w:rPr>
              <w:t>产噪设备布置在房间内，生活垃圾收集在各层均有布置，</w:t>
            </w:r>
            <w:r>
              <w:rPr>
                <w:color w:val="000000" w:themeColor="text1"/>
                <w14:textFill>
                  <w14:solidFill>
                    <w14:schemeClr w14:val="tx1"/>
                  </w14:solidFill>
                </w14:textFill>
              </w:rPr>
              <w:t>医疗垃圾暂存间</w:t>
            </w:r>
            <w:r>
              <w:rPr>
                <w:rFonts w:hint="eastAsia"/>
                <w:color w:val="000000" w:themeColor="text1"/>
                <w14:textFill>
                  <w14:solidFill>
                    <w14:schemeClr w14:val="tx1"/>
                  </w14:solidFill>
                </w14:textFill>
              </w:rPr>
              <w:t>位于门诊住</w:t>
            </w:r>
            <w:r>
              <w:rPr>
                <w:color w:val="000000" w:themeColor="text1"/>
                <w14:textFill>
                  <w14:solidFill>
                    <w14:schemeClr w14:val="tx1"/>
                  </w14:solidFill>
                </w14:textFill>
              </w:rPr>
              <w:t>院</w:t>
            </w:r>
            <w:r>
              <w:rPr>
                <w:rFonts w:hint="eastAsia"/>
                <w:color w:val="000000" w:themeColor="text1"/>
                <w14:textFill>
                  <w14:solidFill>
                    <w14:schemeClr w14:val="tx1"/>
                  </w14:solidFill>
                </w14:textFill>
              </w:rPr>
              <w:t>楼的</w:t>
            </w:r>
            <w:r>
              <w:rPr>
                <w:rFonts w:hint="eastAsia"/>
                <w:color w:val="000000" w:themeColor="text1"/>
                <w:lang w:val="en-US" w:eastAsia="zh-CN"/>
                <w14:textFill>
                  <w14:solidFill>
                    <w14:schemeClr w14:val="tx1"/>
                  </w14:solidFill>
                </w14:textFill>
              </w:rPr>
              <w:t>南侧地下室。</w:t>
            </w:r>
            <w:r>
              <w:rPr>
                <w:rFonts w:hint="eastAsia"/>
                <w:color w:val="auto"/>
              </w:rPr>
              <w:t>从平面布置分布情况可以看出，项目布局流畅、人流、物流畅通，区域功能区划较为合理。</w:t>
            </w:r>
          </w:p>
          <w:p>
            <w:pPr>
              <w:pStyle w:val="7"/>
              <w:ind w:firstLine="480"/>
              <w:rPr>
                <w:rFonts w:hint="eastAsia"/>
                <w:color w:val="000000" w:themeColor="text1"/>
                <w14:textFill>
                  <w14:solidFill>
                    <w14:schemeClr w14:val="tx1"/>
                  </w14:solidFill>
                </w14:textFill>
              </w:rPr>
            </w:pPr>
            <w:r>
              <w:rPr>
                <w:color w:val="auto"/>
              </w:rPr>
              <w:t>同时配套建设绿化、消防、水电管网、污水处理系统等配套基础设施。</w:t>
            </w:r>
          </w:p>
          <w:p>
            <w:pPr>
              <w:pStyle w:val="7"/>
              <w:shd w:val="clear"/>
              <w:ind w:firstLine="480"/>
              <w:rPr>
                <w:color w:val="000000" w:themeColor="text1"/>
                <w14:textFill>
                  <w14:solidFill>
                    <w14:schemeClr w14:val="tx1"/>
                  </w14:solidFill>
                </w14:textFill>
              </w:rPr>
            </w:pPr>
            <w:r>
              <w:rPr>
                <w:color w:val="000000" w:themeColor="text1"/>
                <w14:textFill>
                  <w14:solidFill>
                    <w14:schemeClr w14:val="tx1"/>
                  </w14:solidFill>
                </w14:textFill>
              </w:rPr>
              <w:t>从平面布置和周边环境保护目标分布情况，结合项目布局及环评要求，项目污水处理站及医疗废物运输对周边环境保护目标影响较小，不会改变区域功能区划，布局及运输线路较为合理。</w:t>
            </w:r>
          </w:p>
          <w:p>
            <w:pPr>
              <w:pStyle w:val="7"/>
              <w:shd w:val="clear"/>
              <w:ind w:firstLine="480"/>
              <w:rPr>
                <w:color w:val="000000" w:themeColor="text1"/>
                <w14:textFill>
                  <w14:solidFill>
                    <w14:schemeClr w14:val="tx1"/>
                  </w14:solidFill>
                </w14:textFill>
              </w:rPr>
            </w:pPr>
            <w:r>
              <w:rPr>
                <w:color w:val="000000" w:themeColor="text1"/>
                <w14:textFill>
                  <w14:solidFill>
                    <w14:schemeClr w14:val="tx1"/>
                  </w14:solidFill>
                </w14:textFill>
              </w:rPr>
              <w:t>同时项目每层分区规划布置合理，平面布置基本合理。</w:t>
            </w:r>
            <w:r>
              <w:rPr>
                <w:rFonts w:hint="eastAsia"/>
                <w:color w:val="000000" w:themeColor="text1"/>
                <w14:textFill>
                  <w14:solidFill>
                    <w14:schemeClr w14:val="tx1"/>
                  </w14:solidFill>
                </w14:textFill>
              </w:rPr>
              <w:t>平面布局见附图</w:t>
            </w:r>
            <w:r>
              <w:rPr>
                <w:color w:val="000000" w:themeColor="text1"/>
                <w14:textFill>
                  <w14:solidFill>
                    <w14:schemeClr w14:val="tx1"/>
                  </w14:solidFill>
                </w14:textFill>
              </w:rPr>
              <w:t>。</w:t>
            </w:r>
          </w:p>
          <w:p>
            <w:pPr>
              <w:pStyle w:val="2"/>
            </w:pPr>
          </w:p>
          <w:p>
            <w:pPr>
              <w:pStyle w:val="7"/>
              <w:ind w:firstLine="0" w:firstLineChars="0"/>
              <w:rPr>
                <w:color w:val="000000" w:themeColor="text1"/>
                <w14:textFill>
                  <w14:solidFill>
                    <w14:schemeClr w14:val="tx1"/>
                  </w14:solidFill>
                </w14:textFill>
              </w:rPr>
            </w:pPr>
          </w:p>
        </w:tc>
      </w:tr>
    </w:tbl>
    <w:p>
      <w:pPr>
        <w:outlineLvl w:val="0"/>
        <w:rPr>
          <w:rFonts w:eastAsia="黑体"/>
          <w:color w:val="000000" w:themeColor="text1"/>
          <w:sz w:val="30"/>
          <w14:textFill>
            <w14:solidFill>
              <w14:schemeClr w14:val="tx1"/>
            </w14:solidFill>
          </w14:textFill>
        </w:rPr>
        <w:sectPr>
          <w:footerReference r:id="rId7" w:type="default"/>
          <w:pgSz w:w="11906" w:h="16838"/>
          <w:pgMar w:top="1440" w:right="1800" w:bottom="1440" w:left="1800" w:header="851" w:footer="1077" w:gutter="0"/>
          <w:pgNumType w:fmt="decimal" w:start="1"/>
          <w:cols w:space="720" w:num="1"/>
          <w:docGrid w:linePitch="312" w:charSpace="0"/>
        </w:sectPr>
      </w:pPr>
    </w:p>
    <w:p>
      <w:pPr>
        <w:pStyle w:val="2"/>
        <w:rPr>
          <w:color w:val="000000" w:themeColor="text1"/>
          <w14:textFill>
            <w14:solidFill>
              <w14:schemeClr w14:val="tx1"/>
            </w14:solidFill>
          </w14:textFill>
        </w:rPr>
      </w:pPr>
      <w:bookmarkStart w:id="17" w:name="_Toc4230"/>
      <w:bookmarkStart w:id="18" w:name="_Toc3011"/>
      <w:bookmarkStart w:id="19" w:name="_Toc30121"/>
      <w:bookmarkStart w:id="20" w:name="_Toc264"/>
      <w:bookmarkStart w:id="21" w:name="_Toc9609"/>
      <w:bookmarkStart w:id="22" w:name="_Toc3835"/>
      <w:bookmarkStart w:id="23" w:name="_Toc25959"/>
      <w:bookmarkStart w:id="24" w:name="_Toc21617"/>
      <w:bookmarkStart w:id="25" w:name="_Toc24489"/>
      <w:bookmarkStart w:id="26" w:name="_Toc13469"/>
      <w:bookmarkStart w:id="27" w:name="_Toc20154"/>
      <w:bookmarkStart w:id="28" w:name="_Toc17521"/>
      <w:bookmarkStart w:id="29" w:name="_Toc32187"/>
      <w:bookmarkStart w:id="30" w:name="_Toc25066"/>
      <w:r>
        <w:rPr>
          <w:rFonts w:hint="eastAsia"/>
          <w:color w:val="000000" w:themeColor="text1"/>
          <w14:textFill>
            <w14:solidFill>
              <w14:schemeClr w14:val="tx1"/>
            </w14:solidFill>
          </w14:textFill>
        </w:rPr>
        <w:t>二、建设项目工程分析</w:t>
      </w:r>
      <w:bookmarkEnd w:id="17"/>
      <w:bookmarkEnd w:id="18"/>
      <w:bookmarkEnd w:id="19"/>
      <w:bookmarkEnd w:id="20"/>
      <w:bookmarkEnd w:id="21"/>
      <w:bookmarkEnd w:id="22"/>
      <w:bookmarkEnd w:id="23"/>
      <w:bookmarkEnd w:id="24"/>
      <w:bookmarkEnd w:id="25"/>
      <w:bookmarkEnd w:id="26"/>
      <w:bookmarkEnd w:id="27"/>
      <w:bookmarkEnd w:id="28"/>
      <w:bookmarkEnd w:id="29"/>
      <w:bookmarkEnd w:id="30"/>
    </w:p>
    <w:tbl>
      <w:tblPr>
        <w:tblStyle w:val="31"/>
        <w:tblW w:w="85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0"/>
        <w:gridCol w:w="80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358" w:hRule="atLeast"/>
          <w:jc w:val="center"/>
        </w:trPr>
        <w:tc>
          <w:tcPr>
            <w:tcW w:w="460" w:type="dxa"/>
            <w:noWrap/>
            <w:vAlign w:val="center"/>
          </w:tcPr>
          <w:p>
            <w:pPr>
              <w:pStyle w:val="27"/>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Cs w:val="24"/>
                <w14:textFill>
                  <w14:solidFill>
                    <w14:schemeClr w14:val="tx1"/>
                  </w14:solidFill>
                </w14:textFill>
              </w:rPr>
              <w:t>建设内容</w:t>
            </w:r>
          </w:p>
        </w:tc>
        <w:tc>
          <w:tcPr>
            <w:tcW w:w="8080" w:type="dxa"/>
            <w:noWrap/>
          </w:tcPr>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一、项目由来</w:t>
            </w:r>
          </w:p>
          <w:p>
            <w:pPr>
              <w:pStyle w:val="7"/>
              <w:ind w:firstLine="48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临湘市桃林镇中心卫生院(临湘市桃林镇中心妇幼保健计划生育服务站）位于临湘市南路中心区域，是一所集医疗、预防、保健、康复于一体的中心卫生院。卫生院占地</w:t>
            </w:r>
            <w:r>
              <w:rPr>
                <w:rFonts w:hint="default" w:ascii="Times New Roman" w:hAnsi="Times New Roman" w:cs="Times New Roman"/>
                <w:color w:val="000000" w:themeColor="text1"/>
                <w:lang w:eastAsia="zh-CN"/>
                <w14:textFill>
                  <w14:solidFill>
                    <w14:schemeClr w14:val="tx1"/>
                  </w14:solidFill>
                </w14:textFill>
              </w:rPr>
              <w:t>面积</w:t>
            </w:r>
            <w:r>
              <w:rPr>
                <w:rFonts w:hint="eastAsia" w:cs="Times New Roman"/>
                <w:color w:val="000000" w:themeColor="text1"/>
                <w:lang w:val="en-US" w:eastAsia="zh-CN"/>
                <w14:textFill>
                  <w14:solidFill>
                    <w14:schemeClr w14:val="tx1"/>
                  </w14:solidFill>
                </w14:textFill>
              </w:rPr>
              <w:t>500</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²</w:t>
            </w:r>
            <w:r>
              <w:rPr>
                <w:rFonts w:hint="default" w:ascii="Times New Roman" w:hAnsi="Times New Roman" w:cs="Times New Roman"/>
                <w:color w:val="000000" w:themeColor="text1"/>
                <w:lang w:eastAsia="zh-CN"/>
                <w14:textFill>
                  <w14:solidFill>
                    <w14:schemeClr w14:val="tx1"/>
                  </w14:solidFill>
                </w14:textFill>
              </w:rPr>
              <w:t>，其中业务用房面积</w:t>
            </w:r>
            <w:r>
              <w:rPr>
                <w:rFonts w:hint="eastAsia" w:cs="Times New Roman"/>
                <w:color w:val="000000" w:themeColor="text1"/>
                <w:lang w:val="en-US" w:eastAsia="zh-CN"/>
                <w14:textFill>
                  <w14:solidFill>
                    <w14:schemeClr w14:val="tx1"/>
                  </w14:solidFill>
                </w14:textFill>
              </w:rPr>
              <w:t>1000</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²</w:t>
            </w:r>
            <w:r>
              <w:rPr>
                <w:rFonts w:hint="default" w:ascii="Times New Roman" w:hAnsi="Times New Roman" w:cs="Times New Roman"/>
                <w:color w:val="000000" w:themeColor="text1"/>
                <w:lang w:eastAsia="zh-CN"/>
                <w14:textFill>
                  <w14:solidFill>
                    <w14:schemeClr w14:val="tx1"/>
                  </w14:solidFill>
                </w14:textFill>
              </w:rPr>
              <w:t>。下设</w:t>
            </w:r>
            <w:r>
              <w:rPr>
                <w:rFonts w:hint="default" w:ascii="Times New Roman" w:hAnsi="Times New Roman" w:cs="Times New Roman"/>
                <w:color w:val="000000" w:themeColor="text1"/>
                <w:lang w:val="en-US" w:eastAsia="zh-CN"/>
                <w14:textFill>
                  <w14:solidFill>
                    <w14:schemeClr w14:val="tx1"/>
                  </w14:solidFill>
                </w14:textFill>
              </w:rPr>
              <w:t>13个村卫生室，</w:t>
            </w:r>
            <w:r>
              <w:rPr>
                <w:rFonts w:hint="default" w:ascii="Times New Roman" w:hAnsi="Times New Roman" w:cs="Times New Roman"/>
                <w:color w:val="000000" w:themeColor="text1"/>
                <w:lang w:eastAsia="zh-CN"/>
                <w14:textFill>
                  <w14:solidFill>
                    <w14:schemeClr w14:val="tx1"/>
                  </w14:solidFill>
                </w14:textFill>
              </w:rPr>
              <w:t>服务辖区常住3</w:t>
            </w:r>
            <w:r>
              <w:rPr>
                <w:rFonts w:hint="default" w:ascii="Times New Roman" w:hAnsi="Times New Roman" w:cs="Times New Roman"/>
                <w:color w:val="000000" w:themeColor="text1"/>
                <w:lang w:val="en-US" w:eastAsia="zh-CN"/>
                <w14:textFill>
                  <w14:solidFill>
                    <w14:schemeClr w14:val="tx1"/>
                  </w14:solidFill>
                </w14:textFill>
              </w:rPr>
              <w:t>3800</w:t>
            </w:r>
            <w:r>
              <w:rPr>
                <w:rFonts w:hint="default" w:ascii="Times New Roman" w:hAnsi="Times New Roman" w:cs="Times New Roman"/>
                <w:color w:val="000000" w:themeColor="text1"/>
                <w:lang w:eastAsia="zh-CN"/>
                <w14:textFill>
                  <w14:solidFill>
                    <w14:schemeClr w14:val="tx1"/>
                  </w14:solidFill>
                </w14:textFill>
              </w:rPr>
              <w:t>余人</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u w:val="single"/>
                <w:lang w:val="en-US" w:eastAsia="zh-CN"/>
                <w14:textFill>
                  <w14:solidFill>
                    <w14:schemeClr w14:val="tx1"/>
                  </w14:solidFill>
                </w14:textFill>
              </w:rPr>
              <w:t>桃林镇中心卫生院医疗执业许可证批办床位90张（详见附件3），</w:t>
            </w:r>
            <w:r>
              <w:rPr>
                <w:rFonts w:hint="eastAsia" w:cs="Times New Roman"/>
                <w:color w:val="auto"/>
                <w:u w:val="single"/>
                <w:lang w:val="en-US" w:eastAsia="zh-CN"/>
              </w:rPr>
              <w:t>在</w:t>
            </w:r>
            <w:r>
              <w:rPr>
                <w:rFonts w:hint="eastAsia" w:cs="Times New Roman"/>
                <w:color w:val="000000" w:themeColor="text1"/>
                <w:u w:val="single"/>
                <w:lang w:val="en-US" w:eastAsia="zh-CN"/>
                <w14:textFill>
                  <w14:solidFill>
                    <w14:schemeClr w14:val="tx1"/>
                  </w14:solidFill>
                </w14:textFill>
              </w:rPr>
              <w:t>岗人数45人，满足《岳阳市区域卫生规划（2016-2030）年》“中心乡镇卫生院床位数不超过100张”的要求。目前</w:t>
            </w:r>
            <w:r>
              <w:rPr>
                <w:rFonts w:hint="eastAsia" w:ascii="Times New Roman" w:hAnsi="Times New Roman" w:cs="Times New Roman"/>
                <w:color w:val="000000" w:themeColor="text1"/>
                <w:u w:val="single"/>
                <w:lang w:val="en-US" w:eastAsia="zh-CN"/>
                <w14:textFill>
                  <w14:solidFill>
                    <w14:schemeClr w14:val="tx1"/>
                  </w14:solidFill>
                </w14:textFill>
              </w:rPr>
              <w:t>医院场地以及人员需求量受限，本次环评设医疗床位40张，</w:t>
            </w:r>
            <w:r>
              <w:rPr>
                <w:rFonts w:hint="default" w:ascii="Times New Roman" w:hAnsi="Times New Roman" w:cs="Times New Roman"/>
                <w:color w:val="000000" w:themeColor="text1"/>
                <w:u w:val="single"/>
                <w:lang w:val="en-US" w:eastAsia="zh-CN"/>
                <w14:textFill>
                  <w14:solidFill>
                    <w14:schemeClr w14:val="tx1"/>
                  </w14:solidFill>
                </w14:textFill>
              </w:rPr>
              <w:t>目前开放</w:t>
            </w:r>
            <w:r>
              <w:rPr>
                <w:rFonts w:hint="default" w:ascii="Times New Roman" w:hAnsi="Times New Roman" w:cs="Times New Roman"/>
                <w:color w:val="auto"/>
                <w:u w:val="single"/>
                <w:lang w:val="en-US" w:eastAsia="zh-CN"/>
              </w:rPr>
              <w:t>床位</w:t>
            </w:r>
            <w:r>
              <w:rPr>
                <w:rFonts w:hint="eastAsia" w:cs="Times New Roman"/>
                <w:color w:val="auto"/>
                <w:u w:val="single"/>
                <w:shd w:val="clear"/>
                <w:lang w:val="en-US" w:eastAsia="zh-CN"/>
              </w:rPr>
              <w:t>28</w:t>
            </w:r>
            <w:r>
              <w:rPr>
                <w:rFonts w:hint="default" w:ascii="Times New Roman" w:hAnsi="Times New Roman" w:cs="Times New Roman"/>
                <w:color w:val="auto"/>
                <w:u w:val="single"/>
                <w:shd w:val="clear"/>
                <w:lang w:val="en-US" w:eastAsia="zh-CN"/>
              </w:rPr>
              <w:t>张</w:t>
            </w:r>
            <w:r>
              <w:rPr>
                <w:rFonts w:hint="default" w:ascii="Times New Roman" w:hAnsi="Times New Roman" w:cs="Times New Roman"/>
                <w:color w:val="auto"/>
                <w:u w:val="single"/>
                <w:lang w:val="en-US" w:eastAsia="zh-CN"/>
              </w:rPr>
              <w:t>，</w:t>
            </w:r>
            <w:r>
              <w:rPr>
                <w:rFonts w:hint="eastAsia" w:ascii="Times New Roman" w:hAnsi="Times New Roman" w:cs="Times New Roman"/>
                <w:color w:val="000000" w:themeColor="text1"/>
                <w:u w:val="single"/>
                <w:lang w:val="en-US" w:eastAsia="zh-CN"/>
                <w14:textFill>
                  <w14:solidFill>
                    <w14:schemeClr w14:val="tx1"/>
                  </w14:solidFill>
                </w14:textFill>
              </w:rPr>
              <w:t>后续新增床位可增加住院楼</w:t>
            </w:r>
            <w:r>
              <w:rPr>
                <w:rFonts w:hint="eastAsia" w:cs="Times New Roman"/>
                <w:color w:val="000000" w:themeColor="text1"/>
                <w:u w:val="single"/>
                <w:lang w:val="en-US" w:eastAsia="zh-CN"/>
                <w14:textFill>
                  <w14:solidFill>
                    <w14:schemeClr w14:val="tx1"/>
                  </w14:solidFill>
                </w14:textFill>
              </w:rPr>
              <w:t>空余位置</w:t>
            </w:r>
            <w:r>
              <w:rPr>
                <w:rFonts w:hint="eastAsia" w:ascii="Times New Roman" w:hAnsi="Times New Roman" w:cs="Times New Roman"/>
                <w:color w:val="000000" w:themeColor="text1"/>
                <w:u w:val="single"/>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临湘市桃林镇中心卫生院(临湘市桃林镇中心妇幼保健计划生育服务站）</w:t>
            </w:r>
            <w:r>
              <w:rPr>
                <w:rFonts w:hint="eastAsia"/>
                <w:color w:val="000000" w:themeColor="text1"/>
                <w:u w:val="none"/>
                <w:lang w:eastAsia="zh-CN"/>
                <w14:textFill>
                  <w14:solidFill>
                    <w14:schemeClr w14:val="tx1"/>
                  </w14:solidFill>
                </w14:textFill>
              </w:rPr>
              <w:t>于2001年由桃林中心医院和桃林镇卫生院合并组建成立</w:t>
            </w:r>
            <w:r>
              <w:rPr>
                <w:rFonts w:hint="eastAsia"/>
                <w:color w:val="000000" w:themeColor="text1"/>
                <w:u w:val="none"/>
                <w14:textFill>
                  <w14:solidFill>
                    <w14:schemeClr w14:val="tx1"/>
                  </w14:solidFill>
                </w14:textFill>
              </w:rPr>
              <w:t>，</w:t>
            </w:r>
            <w:r>
              <w:rPr>
                <w:color w:val="000000" w:themeColor="text1"/>
                <w:kern w:val="0"/>
                <w:u w:val="none"/>
                <w14:textFill>
                  <w14:solidFill>
                    <w14:schemeClr w14:val="tx1"/>
                  </w14:solidFill>
                </w14:textFill>
              </w:rPr>
              <w:t>该院一直未履行环保手续</w:t>
            </w:r>
            <w:r>
              <w:rPr>
                <w:rFonts w:hint="eastAsia"/>
                <w:color w:val="000000" w:themeColor="text1"/>
                <w:kern w:val="0"/>
                <w:u w:val="none"/>
                <w14:textFill>
                  <w14:solidFill>
                    <w14:schemeClr w14:val="tx1"/>
                  </w14:solidFill>
                </w14:textFill>
              </w:rPr>
              <w:t>。</w:t>
            </w:r>
            <w:r>
              <w:rPr>
                <w:color w:val="000000" w:themeColor="text1"/>
                <w:kern w:val="0"/>
                <w:u w:val="none"/>
                <w14:textFill>
                  <w14:solidFill>
                    <w14:schemeClr w14:val="tx1"/>
                  </w14:solidFill>
                </w14:textFill>
              </w:rPr>
              <w:t>由于乡镇人口数量的增长，卫生医疗需求也越多，再加上人们环保意识的增强，根据</w:t>
            </w:r>
            <w:r>
              <w:rPr>
                <w:kern w:val="0"/>
                <w:u w:val="none"/>
              </w:rPr>
              <w:t>《湖南省卫生健康委员会和湖南省生态环境厅关于做好一级医疗机构污水处理问题排查整治工作的通知》（湘卫函〔2023〕60号文件要求）和《岳阳市卫生健康委、岳阳市生态环境局关于做好一级医疗机构污水处理问题排查整治工作内容的通知》（岳卫函〔2023〕42号）要求，项目作为一级医院需完善医疗机构内部规范管理，其中要求环评报告表手续齐全，</w:t>
            </w:r>
            <w:r>
              <w:rPr>
                <w:color w:val="000000" w:themeColor="text1"/>
                <w:kern w:val="0"/>
                <w:u w:val="none"/>
                <w14:textFill>
                  <w14:solidFill>
                    <w14:schemeClr w14:val="tx1"/>
                  </w14:solidFill>
                </w14:textFill>
              </w:rPr>
              <w:t>故卫生院拟对已建的项目履行补办环评手续。</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w:t>
            </w:r>
            <w:r>
              <w:rPr>
                <w:color w:val="000000" w:themeColor="text1"/>
                <w14:textFill>
                  <w14:solidFill>
                    <w14:schemeClr w14:val="tx1"/>
                  </w14:solidFill>
                </w14:textFill>
              </w:rPr>
              <w:t>据《中华人民共和国环境保护法》（2015年）、《中华人民共和国环境影响评价法》（2018年12月29日修订）、《建设项目环境保护管理条例》（2017年10月）和《建设项目环境影响评价分类管理名录》（2021年版），本项目属于管理名录中</w:t>
            </w:r>
            <w:r>
              <w:rPr>
                <w:rFonts w:hint="eastAsia"/>
                <w:color w:val="000000" w:themeColor="text1"/>
                <w14:textFill>
                  <w14:solidFill>
                    <w14:schemeClr w14:val="tx1"/>
                  </w14:solidFill>
                </w14:textFill>
              </w:rPr>
              <w:t>“四十九 卫生”</w:t>
            </w:r>
            <w:r>
              <w:rPr>
                <w:color w:val="000000" w:themeColor="text1"/>
                <w14:textFill>
                  <w14:solidFill>
                    <w14:schemeClr w14:val="tx1"/>
                  </w14:solidFill>
                </w14:textFill>
              </w:rPr>
              <w:t>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108</w:t>
            </w:r>
            <w:r>
              <w:rPr>
                <w:rFonts w:hint="eastAsia"/>
                <w:color w:val="000000" w:themeColor="text1"/>
                <w14:textFill>
                  <w14:solidFill>
                    <w14:schemeClr w14:val="tx1"/>
                  </w14:solidFill>
                </w14:textFill>
              </w:rPr>
              <w:t>基层医疗卫生服务</w:t>
            </w:r>
            <w:r>
              <w:rPr>
                <w:color w:val="000000" w:themeColor="text1"/>
                <w14:textFill>
                  <w14:solidFill>
                    <w14:schemeClr w14:val="tx1"/>
                  </w14:solidFill>
                </w14:textFill>
              </w:rPr>
              <w:t>84</w:t>
            </w:r>
            <w:r>
              <w:rPr>
                <w:rFonts w:hint="eastAsia"/>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其他（住院床位20张以下的除</w:t>
            </w:r>
            <w:r>
              <w:rPr>
                <w:rFonts w:hint="eastAsia"/>
                <w:color w:val="000000" w:themeColor="text1"/>
                <w14:textFill>
                  <w14:solidFill>
                    <w14:schemeClr w14:val="tx1"/>
                  </w14:solidFill>
                </w14:textFill>
              </w:rPr>
              <w:t>外）”</w:t>
            </w:r>
            <w:r>
              <w:rPr>
                <w:color w:val="000000" w:themeColor="text1"/>
                <w14:textFill>
                  <w14:solidFill>
                    <w14:schemeClr w14:val="tx1"/>
                  </w14:solidFill>
                </w14:textFill>
              </w:rPr>
              <w:t>类别，因此项目需编制环境影响报告表，并报生态环境主管部门审批。为此，</w:t>
            </w:r>
            <w:r>
              <w:rPr>
                <w:rFonts w:hint="eastAsia"/>
                <w:color w:val="000000" w:themeColor="text1"/>
                <w:lang w:eastAsia="zh-CN"/>
                <w14:textFill>
                  <w14:solidFill>
                    <w14:schemeClr w14:val="tx1"/>
                  </w14:solidFill>
                </w14:textFill>
              </w:rPr>
              <w:t>临湘市桃林镇中心卫生院(临湘市桃林镇中心妇幼保健计划生育服务站）</w:t>
            </w:r>
            <w:r>
              <w:rPr>
                <w:color w:val="000000" w:themeColor="text1"/>
                <w14:textFill>
                  <w14:solidFill>
                    <w14:schemeClr w14:val="tx1"/>
                  </w14:solidFill>
                </w14:textFill>
              </w:rPr>
              <w:t>委托</w:t>
            </w:r>
            <w:r>
              <w:rPr>
                <w:rFonts w:hint="eastAsia"/>
                <w:color w:val="000000" w:themeColor="text1"/>
                <w:lang w:eastAsia="zh-CN"/>
                <w14:textFill>
                  <w14:solidFill>
                    <w14:schemeClr w14:val="tx1"/>
                  </w14:solidFill>
                </w14:textFill>
              </w:rPr>
              <w:t>湖南衡润科技有限公司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以下简称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我公司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承担该项目的环境影响评价工作。我公司接受委托后，在现场踏勘、监测和资料收集等的基础上，根据环评技术规则</w:t>
            </w:r>
            <w:r>
              <w:rPr>
                <w:rFonts w:hint="eastAsia"/>
                <w:color w:val="000000" w:themeColor="text1"/>
                <w:lang w:eastAsia="zh-CN"/>
                <w14:textFill>
                  <w14:solidFill>
                    <w14:schemeClr w14:val="tx1"/>
                  </w14:solidFill>
                </w14:textFill>
              </w:rPr>
              <w:t>及其他有关文件</w:t>
            </w:r>
            <w:r>
              <w:rPr>
                <w:color w:val="000000" w:themeColor="text1"/>
                <w14:textFill>
                  <w14:solidFill>
                    <w14:schemeClr w14:val="tx1"/>
                  </w14:solidFill>
                </w14:textFill>
              </w:rPr>
              <w:t>，编制了该项目的环境影响报告表，报请当地生态环境主管部门审批。</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本项目已获得岳阳市生态环境局颁发的辐射安全许可证〔湘环辐证F0025〕（详见附件</w:t>
            </w:r>
            <w:r>
              <w:rPr>
                <w:rFonts w:hint="eastAsia" w:cs="Times New Roman"/>
                <w:color w:val="000000" w:themeColor="text1"/>
                <w:kern w:val="2"/>
                <w:sz w:val="24"/>
                <w:szCs w:val="24"/>
                <w:lang w:val="en-US" w:eastAsia="zh-CN" w:bidi="ar-SA"/>
                <w14:textFill>
                  <w14:solidFill>
                    <w14:schemeClr w14:val="tx1"/>
                  </w14:solidFill>
                </w14:textFill>
              </w:rPr>
              <w:t>8</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b/>
                <w:bCs/>
                <w:color w:val="000000" w:themeColor="text1"/>
                <w14:textFill>
                  <w14:solidFill>
                    <w14:schemeClr w14:val="tx1"/>
                  </w14:solidFill>
                </w14:textFill>
              </w:rPr>
              <w:t>二、工程内容及规模</w:t>
            </w:r>
          </w:p>
          <w:p>
            <w:pPr>
              <w:pStyle w:val="7"/>
              <w:ind w:firstLine="480"/>
              <w:rPr>
                <w:b/>
                <w:bCs/>
                <w:color w:val="000000" w:themeColor="text1"/>
                <w14:textFill>
                  <w14:solidFill>
                    <w14:schemeClr w14:val="tx1"/>
                  </w14:solidFill>
                </w14:textFill>
              </w:rPr>
            </w:pPr>
            <w:r>
              <w:rPr>
                <w:b/>
                <w:bCs/>
                <w:color w:val="000000" w:themeColor="text1"/>
                <w14:textFill>
                  <w14:solidFill>
                    <w14:schemeClr w14:val="tx1"/>
                  </w14:solidFill>
                </w14:textFill>
              </w:rPr>
              <w:t>1、建设项目内容</w:t>
            </w:r>
          </w:p>
          <w:p>
            <w:pPr>
              <w:pStyle w:val="7"/>
              <w:ind w:firstLine="480"/>
              <w:rPr>
                <w:rFonts w:hint="eastAsia" w:eastAsia="宋体"/>
                <w:color w:val="0000FF"/>
                <w:u w:val="single"/>
                <w:lang w:eastAsia="zh-CN"/>
              </w:rPr>
            </w:pPr>
            <w:r>
              <w:rPr>
                <w:rFonts w:hint="eastAsia"/>
                <w:color w:val="000000" w:themeColor="text1"/>
                <w14:textFill>
                  <w14:solidFill>
                    <w14:schemeClr w14:val="tx1"/>
                  </w14:solidFill>
                </w14:textFill>
              </w:rPr>
              <w:t>项目总占地面积</w:t>
            </w:r>
            <w:r>
              <w:rPr>
                <w:rFonts w:hint="eastAsia"/>
                <w:color w:val="000000" w:themeColor="text1"/>
                <w:lang w:val="en-US" w:eastAsia="zh-CN"/>
                <w14:textFill>
                  <w14:solidFill>
                    <w14:schemeClr w14:val="tx1"/>
                  </w14:solidFill>
                </w14:textFill>
              </w:rPr>
              <w:t>500</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²</w:t>
            </w:r>
            <w:r>
              <w:rPr>
                <w:rFonts w:hint="eastAsia"/>
                <w:color w:val="000000" w:themeColor="text1"/>
                <w14:textFill>
                  <w14:solidFill>
                    <w14:schemeClr w14:val="tx1"/>
                  </w14:solidFill>
                </w14:textFill>
              </w:rPr>
              <w:t>，</w:t>
            </w:r>
            <w:r>
              <w:rPr>
                <w:rFonts w:hint="eastAsia" w:ascii="宋体" w:hAnsi="宋体" w:eastAsia="宋体" w:cs="宋体"/>
                <w:color w:val="000000"/>
                <w:kern w:val="0"/>
                <w:sz w:val="24"/>
                <w:szCs w:val="24"/>
                <w:lang w:val="en-US" w:eastAsia="zh-CN" w:bidi="ar"/>
              </w:rPr>
              <w:t>根据医疗机构执业许可证副本</w:t>
            </w:r>
            <w:r>
              <w:rPr>
                <w:rFonts w:hint="eastAsia"/>
                <w:bCs/>
                <w:color w:val="000000" w:themeColor="text1"/>
                <w:lang w:val="en-US" w:eastAsia="zh-CN"/>
                <w14:textFill>
                  <w14:solidFill>
                    <w14:schemeClr w14:val="tx1"/>
                  </w14:solidFill>
                </w14:textFill>
              </w:rPr>
              <w:t>建设有门诊住院楼、公卫服务楼、污水处理站以及危废暂存间等配套设施</w:t>
            </w:r>
            <w:r>
              <w:rPr>
                <w:rFonts w:hint="eastAsia"/>
                <w:color w:val="000000" w:themeColor="text1"/>
                <w:lang w:eastAsia="zh-CN"/>
                <w14:textFill>
                  <w14:solidFill>
                    <w14:schemeClr w14:val="tx1"/>
                  </w14:solidFill>
                </w14:textFill>
              </w:rPr>
              <w:t>，</w:t>
            </w:r>
            <w:r>
              <w:rPr>
                <w:rFonts w:hint="eastAsia"/>
                <w:color w:val="000000" w:themeColor="text1"/>
                <w:u w:val="single"/>
                <w:lang w:val="en-US" w:eastAsia="zh-CN"/>
                <w14:textFill>
                  <w14:solidFill>
                    <w14:schemeClr w14:val="tx1"/>
                  </w14:solidFill>
                </w14:textFill>
              </w:rPr>
              <w:t>本次环评设计床位40张，现开设28张。</w:t>
            </w:r>
            <w:r>
              <w:rPr>
                <w:rFonts w:hint="eastAsia"/>
                <w:color w:val="000000" w:themeColor="text1"/>
                <w:u w:val="none"/>
                <w:lang w:val="en-US" w:eastAsia="zh-CN"/>
                <w14:textFill>
                  <w14:solidFill>
                    <w14:schemeClr w14:val="tx1"/>
                  </w14:solidFill>
                </w14:textFill>
              </w:rPr>
              <w:t>本院</w:t>
            </w:r>
            <w:r>
              <w:rPr>
                <w:rFonts w:hint="eastAsia"/>
                <w:color w:val="000000" w:themeColor="text1"/>
                <w:lang w:val="en-US" w:eastAsia="zh-CN"/>
                <w14:textFill>
                  <w14:solidFill>
                    <w14:schemeClr w14:val="tx1"/>
                  </w14:solidFill>
                </w14:textFill>
              </w:rPr>
              <w:t>日接诊</w:t>
            </w:r>
            <w:r>
              <w:rPr>
                <w:rFonts w:hint="eastAsia"/>
                <w:color w:val="000000" w:themeColor="text1"/>
                <w:shd w:val="clear"/>
                <w:lang w:val="en-US" w:eastAsia="zh-CN"/>
                <w14:textFill>
                  <w14:solidFill>
                    <w14:schemeClr w14:val="tx1"/>
                  </w14:solidFill>
                </w14:textFill>
              </w:rPr>
              <w:t>人数80</w:t>
            </w:r>
            <w:r>
              <w:rPr>
                <w:rFonts w:hint="eastAsia"/>
                <w:color w:val="000000" w:themeColor="text1"/>
                <w:lang w:val="en-US" w:eastAsia="zh-CN"/>
                <w14:textFill>
                  <w14:solidFill>
                    <w14:schemeClr w14:val="tx1"/>
                  </w14:solidFill>
                </w14:textFill>
              </w:rPr>
              <w:t>人。设置</w:t>
            </w:r>
            <w:r>
              <w:rPr>
                <w:rFonts w:hint="eastAsia"/>
                <w:color w:val="000000" w:themeColor="text1"/>
                <w14:textFill>
                  <w14:solidFill>
                    <w14:schemeClr w14:val="tx1"/>
                  </w14:solidFill>
                </w14:textFill>
              </w:rPr>
              <w:t>内科、外科、妇科、中医科、针灸</w:t>
            </w:r>
            <w:r>
              <w:rPr>
                <w:rFonts w:hint="eastAsia"/>
                <w:color w:val="000000" w:themeColor="text1"/>
                <w:lang w:eastAsia="zh-CN"/>
                <w14:textFill>
                  <w14:solidFill>
                    <w14:schemeClr w14:val="tx1"/>
                  </w14:solidFill>
                </w14:textFill>
              </w:rPr>
              <w:t>推拿科、</w:t>
            </w:r>
            <w:r>
              <w:rPr>
                <w:rFonts w:hint="eastAsia"/>
                <w:color w:val="000000" w:themeColor="text1"/>
                <w14:textFill>
                  <w14:solidFill>
                    <w14:schemeClr w14:val="tx1"/>
                  </w14:solidFill>
                </w14:textFill>
              </w:rPr>
              <w:t>检验科、放射科、B超室、</w:t>
            </w:r>
            <w:r>
              <w:rPr>
                <w:rFonts w:hint="eastAsia"/>
                <w:color w:val="000000" w:themeColor="text1"/>
                <w:lang w:eastAsia="zh-CN"/>
                <w14:textFill>
                  <w14:solidFill>
                    <w14:schemeClr w14:val="tx1"/>
                  </w14:solidFill>
                </w14:textFill>
              </w:rPr>
              <w:t>公共卫生服务</w:t>
            </w:r>
            <w:r>
              <w:rPr>
                <w:rFonts w:hint="eastAsia"/>
                <w:color w:val="000000" w:themeColor="text1"/>
                <w14:textFill>
                  <w14:solidFill>
                    <w14:schemeClr w14:val="tx1"/>
                  </w14:solidFill>
                </w14:textFill>
              </w:rPr>
              <w:t>等科室</w:t>
            </w:r>
            <w:r>
              <w:rPr>
                <w:rFonts w:hint="eastAsia"/>
                <w:color w:val="000000" w:themeColor="text1"/>
                <w:lang w:val="en-US" w:eastAsia="zh-CN"/>
                <w14:textFill>
                  <w14:solidFill>
                    <w14:schemeClr w14:val="tx1"/>
                  </w14:solidFill>
                </w14:textFill>
              </w:rPr>
              <w:t>等</w:t>
            </w:r>
            <w:r>
              <w:rPr>
                <w:rFonts w:hint="eastAsia"/>
                <w:color w:val="000000" w:themeColor="text1"/>
                <w:lang w:eastAsia="zh-CN"/>
                <w14:textFill>
                  <w14:solidFill>
                    <w14:schemeClr w14:val="tx1"/>
                  </w14:solidFill>
                </w14:textFill>
              </w:rPr>
              <w:t>；</w:t>
            </w:r>
            <w:r>
              <w:rPr>
                <w:rFonts w:hint="eastAsia"/>
                <w:color w:val="000000" w:themeColor="text1"/>
                <w:u w:val="single"/>
                <w:shd w:val="clear"/>
                <w14:textFill>
                  <w14:solidFill>
                    <w14:schemeClr w14:val="tx1"/>
                  </w14:solidFill>
                </w14:textFill>
              </w:rPr>
              <w:t>项目无传染病房</w:t>
            </w:r>
            <w:r>
              <w:rPr>
                <w:rFonts w:hint="eastAsia"/>
                <w:color w:val="000000" w:themeColor="text1"/>
                <w:u w:val="single"/>
                <w:shd w:val="clear"/>
                <w:lang w:eastAsia="zh-CN"/>
                <w14:textFill>
                  <w14:solidFill>
                    <w14:schemeClr w14:val="tx1"/>
                  </w14:solidFill>
                </w14:textFill>
              </w:rPr>
              <w:t>，</w:t>
            </w:r>
            <w:r>
              <w:rPr>
                <w:rFonts w:hint="eastAsia"/>
                <w:color w:val="000000" w:themeColor="text1"/>
                <w:u w:val="single"/>
                <w:shd w:val="clear"/>
                <w:lang w:val="en-US" w:eastAsia="zh-CN"/>
                <w14:textFill>
                  <w14:solidFill>
                    <w14:schemeClr w14:val="tx1"/>
                  </w14:solidFill>
                </w14:textFill>
              </w:rPr>
              <w:t>不设锅炉，未开办牙科等含重金属的科室</w:t>
            </w:r>
            <w:r>
              <w:rPr>
                <w:rFonts w:hint="eastAsia"/>
                <w:color w:val="000000" w:themeColor="text1"/>
                <w:u w:val="single"/>
                <w:shd w:val="clear"/>
                <w14:textFill>
                  <w14:solidFill>
                    <w14:schemeClr w14:val="tx1"/>
                  </w14:solidFill>
                </w14:textFill>
              </w:rPr>
              <w:t>。</w:t>
            </w:r>
            <w:r>
              <w:rPr>
                <w:color w:val="000000" w:themeColor="text1"/>
                <w:u w:val="single"/>
                <w14:textFill>
                  <w14:solidFill>
                    <w14:schemeClr w14:val="tx1"/>
                  </w14:solidFill>
                </w14:textFill>
              </w:rPr>
              <w:t>项目主要工程情况见下表</w:t>
            </w:r>
            <w:r>
              <w:rPr>
                <w:color w:val="000000" w:themeColor="text1"/>
                <w14:textFill>
                  <w14:solidFill>
                    <w14:schemeClr w14:val="tx1"/>
                  </w14:solidFill>
                </w14:textFill>
              </w:rPr>
              <w:t>。</w:t>
            </w:r>
          </w:p>
          <w:p>
            <w:pPr>
              <w:pStyle w:val="49"/>
              <w:rPr>
                <w:color w:val="000000" w:themeColor="text1"/>
                <w:u w:val="none"/>
                <w14:textFill>
                  <w14:solidFill>
                    <w14:schemeClr w14:val="tx1"/>
                  </w14:solidFill>
                </w14:textFill>
              </w:rPr>
            </w:pPr>
            <w:r>
              <w:rPr>
                <w:color w:val="000000" w:themeColor="text1"/>
                <w:u w:val="none"/>
                <w14:textFill>
                  <w14:solidFill>
                    <w14:schemeClr w14:val="tx1"/>
                  </w14:solidFill>
                </w14:textFill>
              </w:rPr>
              <w:t>表2.1-1项目</w:t>
            </w:r>
            <w:r>
              <w:rPr>
                <w:rFonts w:hint="eastAsia"/>
                <w:color w:val="000000" w:themeColor="text1"/>
                <w:u w:val="none"/>
                <w14:textFill>
                  <w14:solidFill>
                    <w14:schemeClr w14:val="tx1"/>
                  </w14:solidFill>
                </w14:textFill>
              </w:rPr>
              <w:t>组成</w:t>
            </w:r>
            <w:r>
              <w:rPr>
                <w:color w:val="000000" w:themeColor="text1"/>
                <w:u w:val="none"/>
                <w14:textFill>
                  <w14:solidFill>
                    <w14:schemeClr w14:val="tx1"/>
                  </w14:solidFill>
                </w14:textFill>
              </w:rPr>
              <w:t>一览表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688"/>
              <w:gridCol w:w="1051"/>
              <w:gridCol w:w="636"/>
              <w:gridCol w:w="4035"/>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序号</w:t>
                  </w:r>
                </w:p>
              </w:tc>
              <w:tc>
                <w:tcPr>
                  <w:tcW w:w="438" w:type="pct"/>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类别</w:t>
                  </w:r>
                </w:p>
              </w:tc>
              <w:tc>
                <w:tcPr>
                  <w:tcW w:w="1074" w:type="pct"/>
                  <w:gridSpan w:val="2"/>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工程内容</w:t>
                  </w:r>
                </w:p>
              </w:tc>
              <w:tc>
                <w:tcPr>
                  <w:tcW w:w="2568" w:type="pct"/>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工程规模</w:t>
                  </w:r>
                </w:p>
              </w:tc>
              <w:tc>
                <w:tcPr>
                  <w:tcW w:w="506" w:type="pct"/>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restar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1</w:t>
                  </w:r>
                </w:p>
              </w:tc>
              <w:tc>
                <w:tcPr>
                  <w:tcW w:w="438" w:type="pct"/>
                  <w:vMerge w:val="restart"/>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主体工程</w:t>
                  </w:r>
                </w:p>
              </w:tc>
              <w:tc>
                <w:tcPr>
                  <w:tcW w:w="669" w:type="pct"/>
                  <w:vMerge w:val="restar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门诊住院楼（</w:t>
                  </w:r>
                  <w:r>
                    <w:rPr>
                      <w:color w:val="000000" w:themeColor="text1"/>
                      <w:u w:val="none"/>
                      <w14:textFill>
                        <w14:solidFill>
                          <w14:schemeClr w14:val="tx1"/>
                        </w14:solidFill>
                      </w14:textFill>
                    </w:rPr>
                    <w:t>1栋</w:t>
                  </w:r>
                  <w:r>
                    <w:rPr>
                      <w:rFonts w:hint="eastAsia"/>
                      <w:color w:val="000000" w:themeColor="text1"/>
                      <w:u w:val="none"/>
                      <w14:textFill>
                        <w14:solidFill>
                          <w14:schemeClr w14:val="tx1"/>
                        </w14:solidFill>
                      </w14:textFill>
                    </w:rPr>
                    <w:t>）</w:t>
                  </w:r>
                </w:p>
              </w:tc>
              <w:tc>
                <w:tcPr>
                  <w:tcW w:w="405"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1</w:t>
                  </w:r>
                  <w:r>
                    <w:rPr>
                      <w:color w:val="000000" w:themeColor="text1"/>
                      <w:u w:val="none"/>
                      <w14:textFill>
                        <w14:solidFill>
                          <w14:schemeClr w14:val="tx1"/>
                        </w14:solidFill>
                      </w14:textFill>
                    </w:rPr>
                    <w:t>F</w:t>
                  </w:r>
                </w:p>
              </w:tc>
              <w:tc>
                <w:tcPr>
                  <w:tcW w:w="2568" w:type="pct"/>
                  <w:vAlign w:val="center"/>
                </w:tcPr>
                <w:p>
                  <w:pPr>
                    <w:pStyle w:val="48"/>
                    <w:rPr>
                      <w:color w:val="000000" w:themeColor="text1"/>
                      <w:u w:val="none"/>
                      <w14:textFill>
                        <w14:solidFill>
                          <w14:schemeClr w14:val="tx1"/>
                        </w14:solidFill>
                      </w14:textFill>
                    </w:rPr>
                  </w:pPr>
                  <w:r>
                    <w:rPr>
                      <w:rFonts w:hint="eastAsia"/>
                      <w:color w:val="000000" w:themeColor="text1"/>
                      <w:u w:val="none"/>
                      <w:shd w:val="clear"/>
                      <w14:textFill>
                        <w14:solidFill>
                          <w14:schemeClr w14:val="tx1"/>
                        </w14:solidFill>
                      </w14:textFill>
                    </w:rPr>
                    <w:t>内科、外科、妇科、中医科、针灸</w:t>
                  </w:r>
                  <w:r>
                    <w:rPr>
                      <w:rFonts w:hint="eastAsia"/>
                      <w:color w:val="000000" w:themeColor="text1"/>
                      <w:u w:val="none"/>
                      <w:shd w:val="clear"/>
                      <w:lang w:eastAsia="zh-CN"/>
                      <w14:textFill>
                        <w14:solidFill>
                          <w14:schemeClr w14:val="tx1"/>
                        </w14:solidFill>
                      </w14:textFill>
                    </w:rPr>
                    <w:t>推拿科、</w:t>
                  </w:r>
                  <w:r>
                    <w:rPr>
                      <w:rFonts w:hint="eastAsia"/>
                      <w:color w:val="000000" w:themeColor="text1"/>
                      <w:u w:val="none"/>
                      <w:shd w:val="clear"/>
                      <w14:textFill>
                        <w14:solidFill>
                          <w14:schemeClr w14:val="tx1"/>
                        </w14:solidFill>
                      </w14:textFill>
                    </w:rPr>
                    <w:t>检验科、放射科、B超室、</w:t>
                  </w:r>
                  <w:r>
                    <w:rPr>
                      <w:rFonts w:hint="eastAsia"/>
                      <w:color w:val="000000" w:themeColor="text1"/>
                      <w:u w:val="none"/>
                      <w:shd w:val="clear"/>
                      <w:lang w:eastAsia="zh-CN"/>
                      <w14:textFill>
                        <w14:solidFill>
                          <w14:schemeClr w14:val="tx1"/>
                        </w14:solidFill>
                      </w14:textFill>
                    </w:rPr>
                    <w:t>公共卫生服务</w:t>
                  </w:r>
                  <w:r>
                    <w:rPr>
                      <w:rFonts w:hint="eastAsia"/>
                      <w:color w:val="000000" w:themeColor="text1"/>
                      <w:u w:val="none"/>
                      <w:shd w:val="clear"/>
                      <w14:textFill>
                        <w14:solidFill>
                          <w14:schemeClr w14:val="tx1"/>
                        </w14:solidFill>
                      </w14:textFill>
                    </w:rPr>
                    <w:t>等科室</w:t>
                  </w:r>
                </w:p>
              </w:tc>
              <w:tc>
                <w:tcPr>
                  <w:tcW w:w="506" w:type="pct"/>
                  <w:vMerge w:val="restar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vAlign w:val="center"/>
                </w:tcPr>
                <w:p>
                  <w:pPr>
                    <w:pStyle w:val="48"/>
                    <w:rPr>
                      <w:color w:val="000000" w:themeColor="text1"/>
                      <w:u w:val="none"/>
                      <w14:textFill>
                        <w14:solidFill>
                          <w14:schemeClr w14:val="tx1"/>
                        </w14:solidFill>
                      </w14:textFill>
                    </w:rPr>
                  </w:pPr>
                </w:p>
              </w:tc>
              <w:tc>
                <w:tcPr>
                  <w:tcW w:w="438" w:type="pct"/>
                  <w:vMerge w:val="continue"/>
                  <w:vAlign w:val="center"/>
                </w:tcPr>
                <w:p>
                  <w:pPr>
                    <w:pStyle w:val="48"/>
                    <w:rPr>
                      <w:color w:val="000000" w:themeColor="text1"/>
                      <w:u w:val="none"/>
                      <w14:textFill>
                        <w14:solidFill>
                          <w14:schemeClr w14:val="tx1"/>
                        </w14:solidFill>
                      </w14:textFill>
                    </w:rPr>
                  </w:pPr>
                </w:p>
              </w:tc>
              <w:tc>
                <w:tcPr>
                  <w:tcW w:w="669" w:type="pct"/>
                  <w:vMerge w:val="continue"/>
                  <w:vAlign w:val="center"/>
                </w:tcPr>
                <w:p>
                  <w:pPr>
                    <w:pStyle w:val="48"/>
                    <w:rPr>
                      <w:color w:val="000000" w:themeColor="text1"/>
                      <w:u w:val="none"/>
                      <w14:textFill>
                        <w14:solidFill>
                          <w14:schemeClr w14:val="tx1"/>
                        </w14:solidFill>
                      </w14:textFill>
                    </w:rPr>
                  </w:pPr>
                </w:p>
              </w:tc>
              <w:tc>
                <w:tcPr>
                  <w:tcW w:w="405" w:type="pct"/>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2F</w:t>
                  </w:r>
                </w:p>
              </w:tc>
              <w:tc>
                <w:tcPr>
                  <w:tcW w:w="2568" w:type="pct"/>
                  <w:vAlign w:val="center"/>
                </w:tcPr>
                <w:p>
                  <w:pPr>
                    <w:pStyle w:val="48"/>
                    <w:rPr>
                      <w:color w:val="000000" w:themeColor="text1"/>
                      <w:u w:val="none"/>
                      <w14:textFill>
                        <w14:solidFill>
                          <w14:schemeClr w14:val="tx1"/>
                        </w14:solidFill>
                      </w14:textFill>
                    </w:rPr>
                  </w:pPr>
                  <w:r>
                    <w:rPr>
                      <w:rFonts w:hint="eastAsia"/>
                      <w:color w:val="000000" w:themeColor="text1"/>
                      <w:u w:val="none"/>
                      <w:shd w:val="clear"/>
                      <w:lang w:val="en-US" w:eastAsia="zh-CN"/>
                      <w14:textFill>
                        <w14:solidFill>
                          <w14:schemeClr w14:val="tx1"/>
                        </w14:solidFill>
                      </w14:textFill>
                    </w:rPr>
                    <w:t>住院部</w:t>
                  </w:r>
                </w:p>
              </w:tc>
              <w:tc>
                <w:tcPr>
                  <w:tcW w:w="506" w:type="pct"/>
                  <w:vMerge w:val="continue"/>
                  <w:vAlign w:val="center"/>
                </w:tcPr>
                <w:p>
                  <w:pPr>
                    <w:pStyle w:val="48"/>
                    <w:rPr>
                      <w:color w:val="000000" w:themeColor="text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vAlign w:val="center"/>
                </w:tcPr>
                <w:p>
                  <w:pPr>
                    <w:pStyle w:val="48"/>
                    <w:rPr>
                      <w:color w:val="000000" w:themeColor="text1"/>
                      <w:u w:val="none"/>
                      <w14:textFill>
                        <w14:solidFill>
                          <w14:schemeClr w14:val="tx1"/>
                        </w14:solidFill>
                      </w14:textFill>
                    </w:rPr>
                  </w:pPr>
                </w:p>
              </w:tc>
              <w:tc>
                <w:tcPr>
                  <w:tcW w:w="438" w:type="pct"/>
                  <w:vMerge w:val="continue"/>
                  <w:vAlign w:val="center"/>
                </w:tcPr>
                <w:p>
                  <w:pPr>
                    <w:pStyle w:val="48"/>
                    <w:rPr>
                      <w:color w:val="000000" w:themeColor="text1"/>
                      <w:u w:val="none"/>
                      <w14:textFill>
                        <w14:solidFill>
                          <w14:schemeClr w14:val="tx1"/>
                        </w14:solidFill>
                      </w14:textFill>
                    </w:rPr>
                  </w:pPr>
                </w:p>
              </w:tc>
              <w:tc>
                <w:tcPr>
                  <w:tcW w:w="669" w:type="pct"/>
                  <w:vMerge w:val="continue"/>
                  <w:vAlign w:val="center"/>
                </w:tcPr>
                <w:p>
                  <w:pPr>
                    <w:pStyle w:val="48"/>
                    <w:rPr>
                      <w:color w:val="000000" w:themeColor="text1"/>
                      <w:u w:val="none"/>
                      <w14:textFill>
                        <w14:solidFill>
                          <w14:schemeClr w14:val="tx1"/>
                        </w14:solidFill>
                      </w14:textFill>
                    </w:rPr>
                  </w:pPr>
                </w:p>
              </w:tc>
              <w:tc>
                <w:tcPr>
                  <w:tcW w:w="405" w:type="pct"/>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3F</w:t>
                  </w:r>
                </w:p>
              </w:tc>
              <w:tc>
                <w:tcPr>
                  <w:tcW w:w="2568" w:type="pct"/>
                  <w:vAlign w:val="center"/>
                </w:tcPr>
                <w:p>
                  <w:pPr>
                    <w:pStyle w:val="48"/>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t>行政办公区域</w:t>
                  </w:r>
                </w:p>
              </w:tc>
              <w:tc>
                <w:tcPr>
                  <w:tcW w:w="506" w:type="pct"/>
                  <w:vMerge w:val="continue"/>
                  <w:vAlign w:val="center"/>
                </w:tcPr>
                <w:p>
                  <w:pPr>
                    <w:pStyle w:val="48"/>
                    <w:rPr>
                      <w:color w:val="000000" w:themeColor="text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vAlign w:val="center"/>
                </w:tcPr>
                <w:p>
                  <w:pPr>
                    <w:pStyle w:val="48"/>
                    <w:rPr>
                      <w:color w:val="000000" w:themeColor="text1"/>
                      <w:u w:val="none"/>
                      <w14:textFill>
                        <w14:solidFill>
                          <w14:schemeClr w14:val="tx1"/>
                        </w14:solidFill>
                      </w14:textFill>
                    </w:rPr>
                  </w:pPr>
                </w:p>
              </w:tc>
              <w:tc>
                <w:tcPr>
                  <w:tcW w:w="438" w:type="pct"/>
                  <w:vMerge w:val="continue"/>
                  <w:vAlign w:val="center"/>
                </w:tcPr>
                <w:p>
                  <w:pPr>
                    <w:pStyle w:val="48"/>
                    <w:rPr>
                      <w:color w:val="000000" w:themeColor="text1"/>
                      <w:u w:val="none"/>
                      <w14:textFill>
                        <w14:solidFill>
                          <w14:schemeClr w14:val="tx1"/>
                        </w14:solidFill>
                      </w14:textFill>
                    </w:rPr>
                  </w:pPr>
                </w:p>
              </w:tc>
              <w:tc>
                <w:tcPr>
                  <w:tcW w:w="669" w:type="pct"/>
                  <w:vMerge w:val="restart"/>
                  <w:vAlign w:val="center"/>
                </w:tcPr>
                <w:p>
                  <w:pPr>
                    <w:pStyle w:val="48"/>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t>公卫服务楼</w:t>
                  </w:r>
                  <w:r>
                    <w:rPr>
                      <w:rFonts w:hint="eastAsia"/>
                      <w:color w:val="000000" w:themeColor="text1"/>
                      <w:u w:val="none"/>
                      <w14:textFill>
                        <w14:solidFill>
                          <w14:schemeClr w14:val="tx1"/>
                        </w14:solidFill>
                      </w14:textFill>
                    </w:rPr>
                    <w:t>（</w:t>
                  </w:r>
                  <w:r>
                    <w:rPr>
                      <w:color w:val="000000" w:themeColor="text1"/>
                      <w:u w:val="none"/>
                      <w14:textFill>
                        <w14:solidFill>
                          <w14:schemeClr w14:val="tx1"/>
                        </w14:solidFill>
                      </w14:textFill>
                    </w:rPr>
                    <w:t>1栋</w:t>
                  </w:r>
                  <w:r>
                    <w:rPr>
                      <w:rFonts w:hint="eastAsia"/>
                      <w:color w:val="000000" w:themeColor="text1"/>
                      <w:u w:val="none"/>
                      <w14:textFill>
                        <w14:solidFill>
                          <w14:schemeClr w14:val="tx1"/>
                        </w14:solidFill>
                      </w14:textFill>
                    </w:rPr>
                    <w:t>）</w:t>
                  </w:r>
                </w:p>
              </w:tc>
              <w:tc>
                <w:tcPr>
                  <w:tcW w:w="405"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1</w:t>
                  </w:r>
                  <w:r>
                    <w:rPr>
                      <w:color w:val="000000" w:themeColor="text1"/>
                      <w:u w:val="none"/>
                      <w14:textFill>
                        <w14:solidFill>
                          <w14:schemeClr w14:val="tx1"/>
                        </w14:solidFill>
                      </w14:textFill>
                    </w:rPr>
                    <w:t>F</w:t>
                  </w:r>
                </w:p>
              </w:tc>
              <w:tc>
                <w:tcPr>
                  <w:tcW w:w="2568" w:type="pct"/>
                  <w:vAlign w:val="center"/>
                </w:tcPr>
                <w:p>
                  <w:pPr>
                    <w:pStyle w:val="48"/>
                    <w:rPr>
                      <w:rFonts w:hint="eastAsia"/>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预防接种 儿保</w:t>
                  </w:r>
                </w:p>
              </w:tc>
              <w:tc>
                <w:tcPr>
                  <w:tcW w:w="506" w:type="pct"/>
                  <w:vMerge w:val="restar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411" w:type="pct"/>
                  <w:vMerge w:val="continue"/>
                  <w:vAlign w:val="center"/>
                </w:tcPr>
                <w:p>
                  <w:pPr>
                    <w:pStyle w:val="48"/>
                    <w:rPr>
                      <w:color w:val="000000" w:themeColor="text1"/>
                      <w:u w:val="none"/>
                      <w14:textFill>
                        <w14:solidFill>
                          <w14:schemeClr w14:val="tx1"/>
                        </w14:solidFill>
                      </w14:textFill>
                    </w:rPr>
                  </w:pPr>
                </w:p>
              </w:tc>
              <w:tc>
                <w:tcPr>
                  <w:tcW w:w="438" w:type="pct"/>
                  <w:vMerge w:val="continue"/>
                  <w:vAlign w:val="center"/>
                </w:tcPr>
                <w:p>
                  <w:pPr>
                    <w:pStyle w:val="48"/>
                    <w:rPr>
                      <w:color w:val="000000" w:themeColor="text1"/>
                      <w:u w:val="none"/>
                      <w14:textFill>
                        <w14:solidFill>
                          <w14:schemeClr w14:val="tx1"/>
                        </w14:solidFill>
                      </w14:textFill>
                    </w:rPr>
                  </w:pPr>
                </w:p>
              </w:tc>
              <w:tc>
                <w:tcPr>
                  <w:tcW w:w="669" w:type="pct"/>
                  <w:vMerge w:val="continue"/>
                  <w:vAlign w:val="center"/>
                </w:tcPr>
                <w:p>
                  <w:pPr>
                    <w:pStyle w:val="48"/>
                    <w:rPr>
                      <w:color w:val="000000" w:themeColor="text1"/>
                      <w:u w:val="none"/>
                      <w14:textFill>
                        <w14:solidFill>
                          <w14:schemeClr w14:val="tx1"/>
                        </w14:solidFill>
                      </w14:textFill>
                    </w:rPr>
                  </w:pPr>
                </w:p>
              </w:tc>
              <w:tc>
                <w:tcPr>
                  <w:tcW w:w="405" w:type="pct"/>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2F</w:t>
                  </w:r>
                </w:p>
              </w:tc>
              <w:tc>
                <w:tcPr>
                  <w:tcW w:w="2568" w:type="pct"/>
                  <w:vAlign w:val="center"/>
                </w:tcPr>
                <w:p>
                  <w:pPr>
                    <w:pStyle w:val="48"/>
                    <w:rPr>
                      <w:rFonts w:hint="eastAsia"/>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检验科</w:t>
                  </w:r>
                </w:p>
              </w:tc>
              <w:tc>
                <w:tcPr>
                  <w:tcW w:w="506" w:type="pct"/>
                  <w:vMerge w:val="continue"/>
                  <w:vAlign w:val="center"/>
                </w:tcPr>
                <w:p>
                  <w:pPr>
                    <w:pStyle w:val="48"/>
                    <w:rPr>
                      <w:color w:val="000000" w:themeColor="text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vAlign w:val="center"/>
                </w:tcPr>
                <w:p>
                  <w:pPr>
                    <w:pStyle w:val="48"/>
                    <w:rPr>
                      <w:color w:val="000000" w:themeColor="text1"/>
                      <w:u w:val="none"/>
                      <w14:textFill>
                        <w14:solidFill>
                          <w14:schemeClr w14:val="tx1"/>
                        </w14:solidFill>
                      </w14:textFill>
                    </w:rPr>
                  </w:pPr>
                </w:p>
              </w:tc>
              <w:tc>
                <w:tcPr>
                  <w:tcW w:w="438" w:type="pct"/>
                  <w:vMerge w:val="continue"/>
                  <w:vAlign w:val="center"/>
                </w:tcPr>
                <w:p>
                  <w:pPr>
                    <w:pStyle w:val="48"/>
                    <w:rPr>
                      <w:color w:val="000000" w:themeColor="text1"/>
                      <w:u w:val="none"/>
                      <w14:textFill>
                        <w14:solidFill>
                          <w14:schemeClr w14:val="tx1"/>
                        </w14:solidFill>
                      </w14:textFill>
                    </w:rPr>
                  </w:pPr>
                </w:p>
              </w:tc>
              <w:tc>
                <w:tcPr>
                  <w:tcW w:w="669" w:type="pct"/>
                  <w:vMerge w:val="continue"/>
                  <w:vAlign w:val="center"/>
                </w:tcPr>
                <w:p>
                  <w:pPr>
                    <w:pStyle w:val="48"/>
                    <w:rPr>
                      <w:color w:val="000000" w:themeColor="text1"/>
                      <w:u w:val="none"/>
                      <w14:textFill>
                        <w14:solidFill>
                          <w14:schemeClr w14:val="tx1"/>
                        </w14:solidFill>
                      </w14:textFill>
                    </w:rPr>
                  </w:pPr>
                </w:p>
              </w:tc>
              <w:tc>
                <w:tcPr>
                  <w:tcW w:w="405" w:type="pct"/>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3F</w:t>
                  </w:r>
                </w:p>
              </w:tc>
              <w:tc>
                <w:tcPr>
                  <w:tcW w:w="2568" w:type="pct"/>
                  <w:vAlign w:val="center"/>
                </w:tcPr>
                <w:p>
                  <w:pPr>
                    <w:pStyle w:val="48"/>
                    <w:rPr>
                      <w:rFonts w:hint="eastAsia"/>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慢病室</w:t>
                  </w:r>
                </w:p>
              </w:tc>
              <w:tc>
                <w:tcPr>
                  <w:tcW w:w="506" w:type="pct"/>
                  <w:vMerge w:val="continue"/>
                  <w:vAlign w:val="center"/>
                </w:tcPr>
                <w:p>
                  <w:pPr>
                    <w:pStyle w:val="48"/>
                    <w:rPr>
                      <w:color w:val="000000" w:themeColor="text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restar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2</w:t>
                  </w:r>
                </w:p>
              </w:tc>
              <w:tc>
                <w:tcPr>
                  <w:tcW w:w="438" w:type="pct"/>
                  <w:vMerge w:val="restart"/>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辅助工程</w:t>
                  </w:r>
                </w:p>
              </w:tc>
              <w:tc>
                <w:tcPr>
                  <w:tcW w:w="1074" w:type="pct"/>
                  <w:gridSpan w:val="2"/>
                  <w:vAlign w:val="center"/>
                </w:tcPr>
                <w:p>
                  <w:pPr>
                    <w:pStyle w:val="48"/>
                    <w:rPr>
                      <w:rFonts w:hint="eastAsia" w:eastAsia="宋体"/>
                      <w:color w:val="000000" w:themeColor="text1"/>
                      <w:u w:val="none"/>
                      <w:lang w:val="en-US" w:eastAsia="zh-CN"/>
                      <w14:textFill>
                        <w14:solidFill>
                          <w14:schemeClr w14:val="tx1"/>
                        </w14:solidFill>
                      </w14:textFill>
                    </w:rPr>
                  </w:pPr>
                  <w:r>
                    <w:rPr>
                      <w:color w:val="000000" w:themeColor="text1"/>
                      <w:u w:val="none"/>
                      <w14:textFill>
                        <w14:solidFill>
                          <w14:schemeClr w14:val="tx1"/>
                        </w14:solidFill>
                      </w14:textFill>
                    </w:rPr>
                    <w:t>污水处理</w:t>
                  </w:r>
                  <w:r>
                    <w:rPr>
                      <w:rFonts w:hint="eastAsia"/>
                      <w:color w:val="000000" w:themeColor="text1"/>
                      <w:u w:val="none"/>
                      <w:lang w:val="en-US" w:eastAsia="zh-CN"/>
                      <w14:textFill>
                        <w14:solidFill>
                          <w14:schemeClr w14:val="tx1"/>
                        </w14:solidFill>
                      </w14:textFill>
                    </w:rPr>
                    <w:t>设备</w:t>
                  </w:r>
                </w:p>
              </w:tc>
              <w:tc>
                <w:tcPr>
                  <w:tcW w:w="2568" w:type="pct"/>
                  <w:vAlign w:val="center"/>
                </w:tcPr>
                <w:p>
                  <w:pPr>
                    <w:pStyle w:val="48"/>
                    <w:rPr>
                      <w:rFonts w:hint="eastAsia" w:eastAsia="宋体"/>
                      <w:color w:val="000000" w:themeColor="text1"/>
                      <w:u w:val="none"/>
                      <w:lang w:eastAsia="zh-CN"/>
                      <w14:textFill>
                        <w14:solidFill>
                          <w14:schemeClr w14:val="tx1"/>
                        </w14:solidFill>
                      </w14:textFill>
                    </w:rPr>
                  </w:pPr>
                  <w:r>
                    <w:rPr>
                      <w:color w:val="000000" w:themeColor="text1"/>
                      <w:u w:val="none"/>
                      <w14:textFill>
                        <w14:solidFill>
                          <w14:schemeClr w14:val="tx1"/>
                        </w14:solidFill>
                      </w14:textFill>
                    </w:rPr>
                    <w:t>位于</w:t>
                  </w:r>
                  <w:r>
                    <w:rPr>
                      <w:rFonts w:hint="eastAsia"/>
                      <w:color w:val="000000" w:themeColor="text1"/>
                      <w:u w:val="none"/>
                      <w14:textFill>
                        <w14:solidFill>
                          <w14:schemeClr w14:val="tx1"/>
                        </w14:solidFill>
                      </w14:textFill>
                    </w:rPr>
                    <w:t>门诊住院楼的</w:t>
                  </w:r>
                  <w:r>
                    <w:rPr>
                      <w:rFonts w:hint="eastAsia"/>
                      <w:color w:val="000000" w:themeColor="text1"/>
                      <w:u w:val="none"/>
                      <w:lang w:val="en-US" w:eastAsia="zh-CN"/>
                      <w14:textFill>
                        <w14:solidFill>
                          <w14:schemeClr w14:val="tx1"/>
                        </w14:solidFill>
                      </w14:textFill>
                    </w:rPr>
                    <w:t>西</w:t>
                  </w:r>
                  <w:r>
                    <w:rPr>
                      <w:rFonts w:hint="eastAsia"/>
                      <w:color w:val="000000" w:themeColor="text1"/>
                      <w:u w:val="none"/>
                      <w14:textFill>
                        <w14:solidFill>
                          <w14:schemeClr w14:val="tx1"/>
                        </w14:solidFill>
                      </w14:textFill>
                    </w:rPr>
                    <w:t>侧，</w:t>
                  </w:r>
                  <w:r>
                    <w:rPr>
                      <w:rFonts w:hint="eastAsia"/>
                      <w:color w:val="000000" w:themeColor="text1"/>
                      <w:u w:val="none"/>
                      <w:lang w:val="en-US" w:eastAsia="zh-CN"/>
                      <w14:textFill>
                        <w14:solidFill>
                          <w14:schemeClr w14:val="tx1"/>
                        </w14:solidFill>
                      </w14:textFill>
                    </w:rPr>
                    <w:t>10</w:t>
                  </w:r>
                  <w:r>
                    <w:rPr>
                      <w:color w:val="000000" w:themeColor="text1"/>
                      <w:u w:val="none"/>
                      <w14:textFill>
                        <w14:solidFill>
                          <w14:schemeClr w14:val="tx1"/>
                        </w14:solidFill>
                      </w14:textFill>
                    </w:rPr>
                    <w:t>m</w:t>
                  </w:r>
                  <w:r>
                    <w:rPr>
                      <w:rFonts w:hint="eastAsia"/>
                      <w:color w:val="000000" w:themeColor="text1"/>
                      <w:u w:val="none"/>
                      <w:vertAlign w:val="superscript"/>
                      <w:lang w:val="en-US" w:eastAsia="zh-CN"/>
                      <w14:textFill>
                        <w14:solidFill>
                          <w14:schemeClr w14:val="tx1"/>
                        </w14:solidFill>
                      </w14:textFill>
                    </w:rPr>
                    <w:t>3</w:t>
                  </w:r>
                </w:p>
              </w:tc>
              <w:tc>
                <w:tcPr>
                  <w:tcW w:w="506"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vAlign w:val="center"/>
                </w:tcPr>
                <w:p>
                  <w:pPr>
                    <w:pStyle w:val="48"/>
                    <w:rPr>
                      <w:color w:val="000000" w:themeColor="text1"/>
                      <w:u w:val="none"/>
                      <w14:textFill>
                        <w14:solidFill>
                          <w14:schemeClr w14:val="tx1"/>
                        </w14:solidFill>
                      </w14:textFill>
                    </w:rPr>
                  </w:pPr>
                </w:p>
              </w:tc>
              <w:tc>
                <w:tcPr>
                  <w:tcW w:w="438" w:type="pct"/>
                  <w:vMerge w:val="continue"/>
                  <w:vAlign w:val="center"/>
                </w:tcPr>
                <w:p>
                  <w:pPr>
                    <w:pStyle w:val="48"/>
                    <w:rPr>
                      <w:color w:val="000000" w:themeColor="text1"/>
                      <w:u w:val="none"/>
                      <w14:textFill>
                        <w14:solidFill>
                          <w14:schemeClr w14:val="tx1"/>
                        </w14:solidFill>
                      </w14:textFill>
                    </w:rPr>
                  </w:pPr>
                </w:p>
              </w:tc>
              <w:tc>
                <w:tcPr>
                  <w:tcW w:w="1074" w:type="pct"/>
                  <w:gridSpan w:val="2"/>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医疗废物暂存间</w:t>
                  </w:r>
                </w:p>
              </w:tc>
              <w:tc>
                <w:tcPr>
                  <w:tcW w:w="2568" w:type="pct"/>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位于</w:t>
                  </w:r>
                  <w:r>
                    <w:rPr>
                      <w:rFonts w:hint="eastAsia"/>
                      <w:color w:val="000000" w:themeColor="text1"/>
                      <w:u w:val="none"/>
                      <w14:textFill>
                        <w14:solidFill>
                          <w14:schemeClr w14:val="tx1"/>
                        </w14:solidFill>
                      </w14:textFill>
                    </w:rPr>
                    <w:t>门诊住院楼的东侧</w:t>
                  </w:r>
                  <w:r>
                    <w:rPr>
                      <w:rFonts w:hint="eastAsia"/>
                      <w:color w:val="000000" w:themeColor="text1"/>
                      <w:u w:val="none"/>
                      <w:shd w:val="clear"/>
                      <w14:textFill>
                        <w14:solidFill>
                          <w14:schemeClr w14:val="tx1"/>
                        </w14:solidFill>
                      </w14:textFill>
                    </w:rPr>
                    <w:t>，</w:t>
                  </w:r>
                  <w:r>
                    <w:rPr>
                      <w:rFonts w:hint="eastAsia"/>
                      <w:color w:val="000000" w:themeColor="text1"/>
                      <w:u w:val="none"/>
                      <w:shd w:val="clear"/>
                      <w:lang w:val="en-US" w:eastAsia="zh-CN"/>
                      <w14:textFill>
                        <w14:solidFill>
                          <w14:schemeClr w14:val="tx1"/>
                        </w14:solidFill>
                      </w14:textFill>
                    </w:rPr>
                    <w:t>12</w:t>
                  </w:r>
                  <w:r>
                    <w:rPr>
                      <w:color w:val="000000" w:themeColor="text1"/>
                      <w:u w:val="none"/>
                      <w:shd w:val="clear"/>
                      <w14:textFill>
                        <w14:solidFill>
                          <w14:schemeClr w14:val="tx1"/>
                        </w14:solidFill>
                      </w14:textFill>
                    </w:rPr>
                    <w:t>m²</w:t>
                  </w:r>
                </w:p>
              </w:tc>
              <w:tc>
                <w:tcPr>
                  <w:tcW w:w="506"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411" w:type="pct"/>
                  <w:vMerge w:val="restar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3</w:t>
                  </w:r>
                </w:p>
              </w:tc>
              <w:tc>
                <w:tcPr>
                  <w:tcW w:w="438" w:type="pct"/>
                  <w:vMerge w:val="restart"/>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公用工程</w:t>
                  </w:r>
                </w:p>
              </w:tc>
              <w:tc>
                <w:tcPr>
                  <w:tcW w:w="1074" w:type="pct"/>
                  <w:gridSpan w:val="2"/>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供水</w:t>
                  </w:r>
                </w:p>
              </w:tc>
              <w:tc>
                <w:tcPr>
                  <w:tcW w:w="2568" w:type="pct"/>
                  <w:vAlign w:val="center"/>
                </w:tcPr>
                <w:p>
                  <w:pPr>
                    <w:pStyle w:val="48"/>
                    <w:rPr>
                      <w:color w:val="000000" w:themeColor="text1"/>
                      <w:u w:val="single"/>
                      <w14:textFill>
                        <w14:solidFill>
                          <w14:schemeClr w14:val="tx1"/>
                        </w14:solidFill>
                      </w14:textFill>
                    </w:rPr>
                  </w:pPr>
                  <w:r>
                    <w:rPr>
                      <w:rFonts w:hint="eastAsia" w:ascii="Times New Roman" w:hAnsi="Times New Roman" w:eastAsia="宋体" w:cs="Times New Roman"/>
                      <w:color w:val="auto"/>
                      <w:sz w:val="21"/>
                      <w:szCs w:val="21"/>
                      <w:u w:val="single"/>
                      <w:lang w:val="en-US" w:eastAsia="zh-CN"/>
                    </w:rPr>
                    <w:t>用水来源为市政自来水，满足项目生产生活用水要求</w:t>
                  </w:r>
                </w:p>
              </w:tc>
              <w:tc>
                <w:tcPr>
                  <w:tcW w:w="506"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411" w:type="pct"/>
                  <w:vMerge w:val="continue"/>
                  <w:vAlign w:val="center"/>
                </w:tcPr>
                <w:p>
                  <w:pPr>
                    <w:pStyle w:val="48"/>
                    <w:rPr>
                      <w:color w:val="000000" w:themeColor="text1"/>
                      <w:u w:val="none"/>
                      <w14:textFill>
                        <w14:solidFill>
                          <w14:schemeClr w14:val="tx1"/>
                        </w14:solidFill>
                      </w14:textFill>
                    </w:rPr>
                  </w:pPr>
                </w:p>
              </w:tc>
              <w:tc>
                <w:tcPr>
                  <w:tcW w:w="438" w:type="pct"/>
                  <w:vMerge w:val="continue"/>
                  <w:vAlign w:val="center"/>
                </w:tcPr>
                <w:p>
                  <w:pPr>
                    <w:pStyle w:val="48"/>
                    <w:rPr>
                      <w:color w:val="000000" w:themeColor="text1"/>
                      <w:u w:val="none"/>
                      <w14:textFill>
                        <w14:solidFill>
                          <w14:schemeClr w14:val="tx1"/>
                        </w14:solidFill>
                      </w14:textFill>
                    </w:rPr>
                  </w:pPr>
                </w:p>
              </w:tc>
              <w:tc>
                <w:tcPr>
                  <w:tcW w:w="1074" w:type="pct"/>
                  <w:gridSpan w:val="2"/>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供电</w:t>
                  </w:r>
                </w:p>
              </w:tc>
              <w:tc>
                <w:tcPr>
                  <w:tcW w:w="2568" w:type="pct"/>
                  <w:vAlign w:val="center"/>
                </w:tcPr>
                <w:p>
                  <w:pPr>
                    <w:pStyle w:val="48"/>
                    <w:rPr>
                      <w:rFonts w:hint="default"/>
                      <w:color w:val="000000" w:themeColor="text1"/>
                      <w:u w:val="single"/>
                      <w:lang w:val="en-US"/>
                      <w14:textFill>
                        <w14:solidFill>
                          <w14:schemeClr w14:val="tx1"/>
                        </w14:solidFill>
                      </w14:textFill>
                    </w:rPr>
                  </w:pPr>
                  <w:r>
                    <w:rPr>
                      <w:rFonts w:hint="eastAsia" w:ascii="Times New Roman" w:hAnsi="Times New Roman" w:eastAsia="宋体" w:cs="Times New Roman"/>
                      <w:color w:val="auto"/>
                      <w:sz w:val="21"/>
                      <w:szCs w:val="21"/>
                      <w:u w:val="single"/>
                      <w:lang w:val="en-US" w:eastAsia="zh-CN"/>
                    </w:rPr>
                    <w:t>区域供电管网直接引入</w:t>
                  </w:r>
                </w:p>
              </w:tc>
              <w:tc>
                <w:tcPr>
                  <w:tcW w:w="506"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vAlign w:val="center"/>
                </w:tcPr>
                <w:p>
                  <w:pPr>
                    <w:pStyle w:val="48"/>
                    <w:rPr>
                      <w:color w:val="000000" w:themeColor="text1"/>
                      <w:u w:val="none"/>
                      <w14:textFill>
                        <w14:solidFill>
                          <w14:schemeClr w14:val="tx1"/>
                        </w14:solidFill>
                      </w14:textFill>
                    </w:rPr>
                  </w:pPr>
                </w:p>
              </w:tc>
              <w:tc>
                <w:tcPr>
                  <w:tcW w:w="438" w:type="pct"/>
                  <w:vMerge w:val="continue"/>
                  <w:vAlign w:val="center"/>
                </w:tcPr>
                <w:p>
                  <w:pPr>
                    <w:pStyle w:val="48"/>
                    <w:rPr>
                      <w:color w:val="000000" w:themeColor="text1"/>
                      <w:u w:val="none"/>
                      <w14:textFill>
                        <w14:solidFill>
                          <w14:schemeClr w14:val="tx1"/>
                        </w14:solidFill>
                      </w14:textFill>
                    </w:rPr>
                  </w:pPr>
                </w:p>
              </w:tc>
              <w:tc>
                <w:tcPr>
                  <w:tcW w:w="1074" w:type="pct"/>
                  <w:gridSpan w:val="2"/>
                  <w:vAlign w:val="center"/>
                </w:tcPr>
                <w:p>
                  <w:pPr>
                    <w:pStyle w:val="48"/>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color w:val="000000" w:themeColor="text1"/>
                      <w:u w:val="none"/>
                      <w14:textFill>
                        <w14:solidFill>
                          <w14:schemeClr w14:val="tx1"/>
                        </w14:solidFill>
                      </w14:textFill>
                    </w:rPr>
                    <w:t>排水</w:t>
                  </w:r>
                </w:p>
              </w:tc>
              <w:tc>
                <w:tcPr>
                  <w:tcW w:w="2568" w:type="pct"/>
                  <w:vAlign w:val="center"/>
                </w:tcPr>
                <w:p>
                  <w:pPr>
                    <w:pStyle w:val="48"/>
                    <w:rPr>
                      <w:rFonts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color w:val="000000" w:themeColor="text1"/>
                      <w:u w:val="none"/>
                      <w:lang w:val="en-US" w:eastAsia="zh-CN"/>
                      <w14:textFill>
                        <w14:solidFill>
                          <w14:schemeClr w14:val="tx1"/>
                        </w14:solidFill>
                      </w14:textFill>
                    </w:rPr>
                    <w:t>采用</w:t>
                  </w:r>
                  <w:r>
                    <w:rPr>
                      <w:color w:val="000000" w:themeColor="text1"/>
                      <w:u w:val="none"/>
                      <w14:textFill>
                        <w14:solidFill>
                          <w14:schemeClr w14:val="tx1"/>
                        </w14:solidFill>
                      </w14:textFill>
                    </w:rPr>
                    <w:t>雨污分流</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雨水排入雨水管网，</w:t>
                  </w:r>
                  <w:r>
                    <w:rPr>
                      <w:rFonts w:hint="eastAsia"/>
                      <w:color w:val="000000" w:themeColor="text1"/>
                      <w:u w:val="none"/>
                      <w14:textFill>
                        <w14:solidFill>
                          <w14:schemeClr w14:val="tx1"/>
                        </w14:solidFill>
                      </w14:textFill>
                    </w:rPr>
                    <w:t>污水经“化粪池+格栅井+调节池+AO工艺+沉淀池+消毒”工艺</w:t>
                  </w:r>
                  <w:r>
                    <w:rPr>
                      <w:color w:val="000000" w:themeColor="text1"/>
                      <w:u w:val="none"/>
                      <w14:textFill>
                        <w14:solidFill>
                          <w14:schemeClr w14:val="tx1"/>
                        </w14:solidFill>
                      </w14:textFill>
                    </w:rPr>
                    <w:t>处理后</w:t>
                  </w:r>
                  <w:r>
                    <w:rPr>
                      <w:rFonts w:hint="eastAsia"/>
                      <w:color w:val="000000" w:themeColor="text1"/>
                      <w:u w:val="none"/>
                      <w14:textFill>
                        <w14:solidFill>
                          <w14:schemeClr w14:val="tx1"/>
                        </w14:solidFill>
                      </w14:textFill>
                    </w:rPr>
                    <w:t>一起</w:t>
                  </w:r>
                  <w:r>
                    <w:rPr>
                      <w:color w:val="000000" w:themeColor="text1"/>
                      <w:u w:val="none"/>
                      <w14:textFill>
                        <w14:solidFill>
                          <w14:schemeClr w14:val="tx1"/>
                        </w14:solidFill>
                      </w14:textFill>
                    </w:rPr>
                    <w:t>排入</w:t>
                  </w:r>
                  <w:r>
                    <w:rPr>
                      <w:rFonts w:hint="eastAsia"/>
                      <w:color w:val="000000" w:themeColor="text1"/>
                      <w:u w:val="none"/>
                      <w:lang w:val="en-US" w:eastAsia="zh-CN"/>
                      <w14:textFill>
                        <w14:solidFill>
                          <w14:schemeClr w14:val="tx1"/>
                        </w14:solidFill>
                      </w14:textFill>
                    </w:rPr>
                    <w:t>桃林镇</w:t>
                  </w:r>
                  <w:r>
                    <w:rPr>
                      <w:color w:val="000000" w:themeColor="text1"/>
                      <w:u w:val="none"/>
                      <w14:textFill>
                        <w14:solidFill>
                          <w14:schemeClr w14:val="tx1"/>
                        </w14:solidFill>
                      </w14:textFill>
                    </w:rPr>
                    <w:t>污水</w:t>
                  </w:r>
                  <w:r>
                    <w:rPr>
                      <w:rFonts w:hint="eastAsia"/>
                      <w:color w:val="000000" w:themeColor="text1"/>
                      <w:u w:val="none"/>
                      <w:lang w:val="en-US" w:eastAsia="zh-CN"/>
                      <w14:textFill>
                        <w14:solidFill>
                          <w14:schemeClr w14:val="tx1"/>
                        </w14:solidFill>
                      </w14:textFill>
                    </w:rPr>
                    <w:t>处理厂</w:t>
                  </w:r>
                  <w:r>
                    <w:rPr>
                      <w:rFonts w:hint="eastAsia"/>
                      <w:color w:val="000000" w:themeColor="text1"/>
                      <w:u w:val="none"/>
                      <w14:textFill>
                        <w14:solidFill>
                          <w14:schemeClr w14:val="tx1"/>
                        </w14:solidFill>
                      </w14:textFill>
                    </w:rPr>
                    <w:t>。</w:t>
                  </w:r>
                </w:p>
              </w:tc>
              <w:tc>
                <w:tcPr>
                  <w:tcW w:w="506" w:type="pct"/>
                  <w:vAlign w:val="center"/>
                </w:tcPr>
                <w:p>
                  <w:pPr>
                    <w:pStyle w:val="48"/>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restar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4</w:t>
                  </w:r>
                </w:p>
              </w:tc>
              <w:tc>
                <w:tcPr>
                  <w:tcW w:w="438" w:type="pct"/>
                  <w:vMerge w:val="restart"/>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环保工程</w:t>
                  </w:r>
                </w:p>
              </w:tc>
              <w:tc>
                <w:tcPr>
                  <w:tcW w:w="1074" w:type="pct"/>
                  <w:gridSpan w:val="2"/>
                  <w:vAlign w:val="center"/>
                </w:tcPr>
                <w:p>
                  <w:pPr>
                    <w:pStyle w:val="48"/>
                    <w:rPr>
                      <w:rFonts w:hint="eastAsia" w:eastAsia="宋体"/>
                      <w:lang w:eastAsia="zh-CN"/>
                    </w:rPr>
                  </w:pPr>
                  <w:r>
                    <w:rPr>
                      <w:color w:val="000000" w:themeColor="text1"/>
                      <w:u w:val="none"/>
                      <w14:textFill>
                        <w14:solidFill>
                          <w14:schemeClr w14:val="tx1"/>
                        </w14:solidFill>
                      </w14:textFill>
                    </w:rPr>
                    <w:t>废水处理</w:t>
                  </w:r>
                </w:p>
              </w:tc>
              <w:tc>
                <w:tcPr>
                  <w:tcW w:w="2568" w:type="pct"/>
                  <w:vAlign w:val="center"/>
                </w:tcPr>
                <w:p>
                  <w:pPr>
                    <w:pStyle w:val="48"/>
                    <w:rPr>
                      <w:color w:val="000000" w:themeColor="text1"/>
                      <w:u w:val="none"/>
                      <w14:textFill>
                        <w14:solidFill>
                          <w14:schemeClr w14:val="tx1"/>
                        </w14:solidFill>
                      </w14:textFill>
                    </w:rPr>
                  </w:pPr>
                  <w:r>
                    <w:rPr>
                      <w:rFonts w:hint="eastAsia"/>
                      <w:color w:val="000000" w:themeColor="text1"/>
                      <w:u w:val="single"/>
                      <w:lang w:val="en-US" w:eastAsia="zh-CN"/>
                      <w14:textFill>
                        <w14:solidFill>
                          <w14:schemeClr w14:val="tx1"/>
                        </w14:solidFill>
                      </w14:textFill>
                    </w:rPr>
                    <w:t>院内污水处理站位院区西侧，40m</w:t>
                  </w:r>
                  <w:r>
                    <w:rPr>
                      <w:rFonts w:hint="eastAsia"/>
                      <w:color w:val="000000" w:themeColor="text1"/>
                      <w:u w:val="single"/>
                      <w:vertAlign w:val="superscript"/>
                      <w:lang w:val="en-US" w:eastAsia="zh-CN"/>
                      <w14:textFill>
                        <w14:solidFill>
                          <w14:schemeClr w14:val="tx1"/>
                        </w14:solidFill>
                      </w14:textFill>
                    </w:rPr>
                    <w:t>2</w:t>
                  </w:r>
                  <w:r>
                    <w:rPr>
                      <w:rFonts w:hint="eastAsia"/>
                      <w:color w:val="000000" w:themeColor="text1"/>
                      <w:u w:val="single"/>
                      <w:vertAlign w:val="baseline"/>
                      <w:lang w:val="en-US" w:eastAsia="zh-CN"/>
                      <w14:textFill>
                        <w14:solidFill>
                          <w14:schemeClr w14:val="tx1"/>
                        </w14:solidFill>
                      </w14:textFill>
                    </w:rPr>
                    <w:t>，设计处理规模10m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vertAlign w:val="baseline"/>
                      <w:lang w:val="en-US" w:eastAsia="zh-CN"/>
                      <w14:textFill>
                        <w14:solidFill>
                          <w14:schemeClr w14:val="tx1"/>
                        </w14:solidFill>
                      </w14:textFill>
                    </w:rPr>
                    <w:t>/d，</w:t>
                  </w:r>
                  <w:r>
                    <w:rPr>
                      <w:color w:val="000000" w:themeColor="text1"/>
                      <w:u w:val="none"/>
                      <w14:textFill>
                        <w14:solidFill>
                          <w14:schemeClr w14:val="tx1"/>
                        </w14:solidFill>
                      </w14:textFill>
                    </w:rPr>
                    <w:t>采用</w:t>
                  </w:r>
                  <w:r>
                    <w:rPr>
                      <w:rFonts w:hint="eastAsia"/>
                      <w:color w:val="000000" w:themeColor="text1"/>
                      <w:u w:val="none"/>
                      <w14:textFill>
                        <w14:solidFill>
                          <w14:schemeClr w14:val="tx1"/>
                        </w14:solidFill>
                      </w14:textFill>
                    </w:rPr>
                    <w:t>“化粪池+格栅井+调节池+AO工艺+沉淀池+消毒”</w:t>
                  </w:r>
                  <w:r>
                    <w:rPr>
                      <w:color w:val="000000" w:themeColor="text1"/>
                      <w:u w:val="none"/>
                      <w14:textFill>
                        <w14:solidFill>
                          <w14:schemeClr w14:val="tx1"/>
                        </w14:solidFill>
                      </w14:textFill>
                    </w:rPr>
                    <w:t>工艺进行处理，废水处理达到《医疗机构水污染排放标准》（GB18466-2005）中表2的预处理标准</w:t>
                  </w:r>
                  <w:r>
                    <w:rPr>
                      <w:rFonts w:hint="eastAsia"/>
                      <w:color w:val="000000" w:themeColor="text1"/>
                      <w:u w:val="none"/>
                      <w:lang w:val="en-US" w:eastAsia="zh-CN"/>
                      <w14:textFill>
                        <w14:solidFill>
                          <w14:schemeClr w14:val="tx1"/>
                        </w14:solidFill>
                      </w14:textFill>
                    </w:rPr>
                    <w:t>和污水处理厂接管标准后</w:t>
                  </w:r>
                  <w:r>
                    <w:rPr>
                      <w:color w:val="000000" w:themeColor="text1"/>
                      <w:u w:val="none"/>
                      <w14:textFill>
                        <w14:solidFill>
                          <w14:schemeClr w14:val="tx1"/>
                        </w14:solidFill>
                      </w14:textFill>
                    </w:rPr>
                    <w:t>，排入</w:t>
                  </w:r>
                  <w:r>
                    <w:rPr>
                      <w:rFonts w:hint="eastAsia"/>
                      <w:color w:val="000000" w:themeColor="text1"/>
                      <w:u w:val="none"/>
                      <w:lang w:val="en-US" w:eastAsia="zh-CN"/>
                      <w14:textFill>
                        <w14:solidFill>
                          <w14:schemeClr w14:val="tx1"/>
                        </w14:solidFill>
                      </w14:textFill>
                    </w:rPr>
                    <w:t>桃林镇</w:t>
                  </w:r>
                  <w:r>
                    <w:rPr>
                      <w:color w:val="000000" w:themeColor="text1"/>
                      <w:u w:val="none"/>
                      <w14:textFill>
                        <w14:solidFill>
                          <w14:schemeClr w14:val="tx1"/>
                        </w14:solidFill>
                      </w14:textFill>
                    </w:rPr>
                    <w:t>污水</w:t>
                  </w:r>
                  <w:r>
                    <w:rPr>
                      <w:rFonts w:hint="eastAsia"/>
                      <w:color w:val="000000" w:themeColor="text1"/>
                      <w:u w:val="none"/>
                      <w:lang w:val="en-US" w:eastAsia="zh-CN"/>
                      <w14:textFill>
                        <w14:solidFill>
                          <w14:schemeClr w14:val="tx1"/>
                        </w14:solidFill>
                      </w14:textFill>
                    </w:rPr>
                    <w:t>处理厂</w:t>
                  </w:r>
                  <w:r>
                    <w:rPr>
                      <w:rFonts w:hint="eastAsia"/>
                      <w:color w:val="000000" w:themeColor="text1"/>
                      <w:u w:val="none"/>
                      <w14:textFill>
                        <w14:solidFill>
                          <w14:schemeClr w14:val="tx1"/>
                        </w14:solidFill>
                      </w14:textFill>
                    </w:rPr>
                    <w:t>，处理</w:t>
                  </w:r>
                  <w:r>
                    <w:rPr>
                      <w:rFonts w:hint="eastAsia"/>
                      <w:color w:val="000000" w:themeColor="text1"/>
                      <w:u w:val="none"/>
                      <w:lang w:val="en-US" w:eastAsia="zh-CN"/>
                      <w14:textFill>
                        <w14:solidFill>
                          <w14:schemeClr w14:val="tx1"/>
                        </w14:solidFill>
                      </w14:textFill>
                    </w:rPr>
                    <w:t>达标</w:t>
                  </w:r>
                  <w:r>
                    <w:rPr>
                      <w:rFonts w:hint="eastAsia"/>
                      <w:color w:val="000000" w:themeColor="text1"/>
                      <w:u w:val="none"/>
                      <w14:textFill>
                        <w14:solidFill>
                          <w14:schemeClr w14:val="tx1"/>
                        </w14:solidFill>
                      </w14:textFill>
                    </w:rPr>
                    <w:t>后排入桃林河</w:t>
                  </w:r>
                  <w:r>
                    <w:rPr>
                      <w:rFonts w:hint="eastAsia"/>
                      <w:color w:val="auto"/>
                      <w:u w:val="single"/>
                    </w:rPr>
                    <w:t>（</w:t>
                  </w:r>
                  <w:r>
                    <w:rPr>
                      <w:rFonts w:hint="eastAsia"/>
                      <w:color w:val="auto"/>
                      <w:u w:val="single"/>
                      <w:lang w:eastAsia="zh-CN"/>
                    </w:rPr>
                    <w:t>游</w:t>
                  </w:r>
                  <w:r>
                    <w:rPr>
                      <w:rFonts w:hint="eastAsia"/>
                      <w:color w:val="000000" w:themeColor="text1"/>
                      <w:u w:val="single"/>
                      <w14:textFill>
                        <w14:solidFill>
                          <w14:schemeClr w14:val="tx1"/>
                        </w14:solidFill>
                      </w14:textFill>
                    </w:rPr>
                    <w:t>港河）</w:t>
                  </w:r>
                  <w:r>
                    <w:rPr>
                      <w:rFonts w:hint="eastAsia"/>
                      <w:color w:val="000000" w:themeColor="text1"/>
                      <w:u w:val="none"/>
                      <w14:textFill>
                        <w14:solidFill>
                          <w14:schemeClr w14:val="tx1"/>
                        </w14:solidFill>
                      </w14:textFill>
                    </w:rPr>
                    <w:t>。</w:t>
                  </w:r>
                </w:p>
              </w:tc>
              <w:tc>
                <w:tcPr>
                  <w:tcW w:w="506"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vAlign w:val="center"/>
                </w:tcPr>
                <w:p>
                  <w:pPr>
                    <w:pStyle w:val="48"/>
                    <w:rPr>
                      <w:color w:val="000000" w:themeColor="text1"/>
                      <w:u w:val="none"/>
                      <w14:textFill>
                        <w14:solidFill>
                          <w14:schemeClr w14:val="tx1"/>
                        </w14:solidFill>
                      </w14:textFill>
                    </w:rPr>
                  </w:pPr>
                </w:p>
              </w:tc>
              <w:tc>
                <w:tcPr>
                  <w:tcW w:w="438" w:type="pct"/>
                  <w:vMerge w:val="continue"/>
                  <w:vAlign w:val="center"/>
                </w:tcPr>
                <w:p>
                  <w:pPr>
                    <w:pStyle w:val="48"/>
                    <w:rPr>
                      <w:color w:val="000000" w:themeColor="text1"/>
                      <w:u w:val="none"/>
                      <w14:textFill>
                        <w14:solidFill>
                          <w14:schemeClr w14:val="tx1"/>
                        </w14:solidFill>
                      </w14:textFill>
                    </w:rPr>
                  </w:pPr>
                </w:p>
              </w:tc>
              <w:tc>
                <w:tcPr>
                  <w:tcW w:w="1074" w:type="pct"/>
                  <w:gridSpan w:val="2"/>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废气处理</w:t>
                  </w:r>
                </w:p>
              </w:tc>
              <w:tc>
                <w:tcPr>
                  <w:tcW w:w="2568" w:type="pct"/>
                  <w:vAlign w:val="center"/>
                </w:tcPr>
                <w:p>
                  <w:pPr>
                    <w:pStyle w:val="48"/>
                    <w:rPr>
                      <w:rFonts w:hint="default" w:eastAsia="宋体"/>
                      <w:color w:val="000000" w:themeColor="text1"/>
                      <w:u w:val="none"/>
                      <w:lang w:val="en-US" w:eastAsia="zh-CN"/>
                      <w14:textFill>
                        <w14:solidFill>
                          <w14:schemeClr w14:val="tx1"/>
                        </w14:solidFill>
                      </w14:textFill>
                    </w:rPr>
                  </w:pPr>
                  <w:r>
                    <w:rPr>
                      <w:color w:val="000000" w:themeColor="text1"/>
                      <w:u w:val="none"/>
                      <w14:textFill>
                        <w14:solidFill>
                          <w14:schemeClr w14:val="tx1"/>
                        </w14:solidFill>
                      </w14:textFill>
                    </w:rPr>
                    <w:t>污水处理</w:t>
                  </w:r>
                  <w:r>
                    <w:rPr>
                      <w:color w:val="auto"/>
                      <w:u w:val="none"/>
                    </w:rPr>
                    <w:t>站恶臭</w:t>
                  </w:r>
                  <w:r>
                    <w:rPr>
                      <w:rFonts w:hint="eastAsia"/>
                      <w:color w:val="auto"/>
                      <w:u w:val="none"/>
                    </w:rPr>
                    <w:t>：</w:t>
                  </w:r>
                  <w:r>
                    <w:rPr>
                      <w:color w:val="auto"/>
                      <w:u w:val="single"/>
                    </w:rPr>
                    <w:t>所有水池均采用地埋封闭式，污水池采用密闭设计，可有效防止病菌通过空气传播和污水气味对环境的影响，</w:t>
                  </w:r>
                  <w:r>
                    <w:rPr>
                      <w:rFonts w:hint="eastAsia"/>
                      <w:color w:val="auto"/>
                      <w:u w:val="single"/>
                    </w:rPr>
                    <w:t>能起到较好的控制污染的</w:t>
                  </w:r>
                  <w:r>
                    <w:rPr>
                      <w:rFonts w:hint="eastAsia"/>
                      <w:color w:val="auto"/>
                      <w:u w:val="single"/>
                      <w:lang w:val="en-GB"/>
                    </w:rPr>
                    <w:t>作用</w:t>
                  </w:r>
                  <w:r>
                    <w:rPr>
                      <w:rFonts w:hint="eastAsia"/>
                      <w:color w:val="auto"/>
                      <w:u w:val="single"/>
                    </w:rPr>
                    <w:t>。</w:t>
                  </w:r>
                  <w:r>
                    <w:rPr>
                      <w:rFonts w:hint="eastAsia"/>
                      <w:color w:val="auto"/>
                      <w:u w:val="single"/>
                      <w:lang w:val="en-US" w:eastAsia="zh-CN"/>
                    </w:rPr>
                    <w:t>无组织排放。</w:t>
                  </w:r>
                </w:p>
              </w:tc>
              <w:tc>
                <w:tcPr>
                  <w:tcW w:w="506"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vAlign w:val="center"/>
                </w:tcPr>
                <w:p>
                  <w:pPr>
                    <w:pStyle w:val="48"/>
                    <w:rPr>
                      <w:color w:val="000000" w:themeColor="text1"/>
                      <w:u w:val="none"/>
                      <w14:textFill>
                        <w14:solidFill>
                          <w14:schemeClr w14:val="tx1"/>
                        </w14:solidFill>
                      </w14:textFill>
                    </w:rPr>
                  </w:pPr>
                </w:p>
              </w:tc>
              <w:tc>
                <w:tcPr>
                  <w:tcW w:w="438" w:type="pct"/>
                  <w:vMerge w:val="continue"/>
                  <w:vAlign w:val="center"/>
                </w:tcPr>
                <w:p>
                  <w:pPr>
                    <w:pStyle w:val="48"/>
                    <w:rPr>
                      <w:color w:val="000000" w:themeColor="text1"/>
                      <w:u w:val="none"/>
                      <w14:textFill>
                        <w14:solidFill>
                          <w14:schemeClr w14:val="tx1"/>
                        </w14:solidFill>
                      </w14:textFill>
                    </w:rPr>
                  </w:pPr>
                </w:p>
              </w:tc>
              <w:tc>
                <w:tcPr>
                  <w:tcW w:w="1074" w:type="pct"/>
                  <w:gridSpan w:val="2"/>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噪声治理</w:t>
                  </w:r>
                </w:p>
              </w:tc>
              <w:tc>
                <w:tcPr>
                  <w:tcW w:w="2568" w:type="pct"/>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隔声、减振、消声。</w:t>
                  </w:r>
                </w:p>
              </w:tc>
              <w:tc>
                <w:tcPr>
                  <w:tcW w:w="506"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Merge w:val="continue"/>
                  <w:vAlign w:val="center"/>
                </w:tcPr>
                <w:p>
                  <w:pPr>
                    <w:pStyle w:val="48"/>
                    <w:rPr>
                      <w:color w:val="000000" w:themeColor="text1"/>
                      <w:u w:val="none"/>
                      <w14:textFill>
                        <w14:solidFill>
                          <w14:schemeClr w14:val="tx1"/>
                        </w14:solidFill>
                      </w14:textFill>
                    </w:rPr>
                  </w:pPr>
                </w:p>
              </w:tc>
              <w:tc>
                <w:tcPr>
                  <w:tcW w:w="438" w:type="pct"/>
                  <w:vMerge w:val="continue"/>
                  <w:vAlign w:val="center"/>
                </w:tcPr>
                <w:p>
                  <w:pPr>
                    <w:pStyle w:val="48"/>
                    <w:rPr>
                      <w:color w:val="000000" w:themeColor="text1"/>
                      <w:u w:val="none"/>
                      <w14:textFill>
                        <w14:solidFill>
                          <w14:schemeClr w14:val="tx1"/>
                        </w14:solidFill>
                      </w14:textFill>
                    </w:rPr>
                  </w:pPr>
                </w:p>
              </w:tc>
              <w:tc>
                <w:tcPr>
                  <w:tcW w:w="1074" w:type="pct"/>
                  <w:gridSpan w:val="2"/>
                  <w:vAlign w:val="center"/>
                </w:tcPr>
                <w:p>
                  <w:pPr>
                    <w:pStyle w:val="48"/>
                    <w:rPr>
                      <w:rFonts w:hint="eastAsia" w:eastAsia="宋体"/>
                      <w:color w:val="000000" w:themeColor="text1"/>
                      <w:u w:val="none"/>
                      <w:lang w:eastAsia="zh-CN"/>
                      <w14:textFill>
                        <w14:solidFill>
                          <w14:schemeClr w14:val="tx1"/>
                        </w14:solidFill>
                      </w14:textFill>
                    </w:rPr>
                  </w:pPr>
                  <w:r>
                    <w:rPr>
                      <w:color w:val="000000" w:themeColor="text1"/>
                      <w:u w:val="none"/>
                      <w14:textFill>
                        <w14:solidFill>
                          <w14:schemeClr w14:val="tx1"/>
                        </w14:solidFill>
                      </w14:textFill>
                    </w:rPr>
                    <w:t>固废处置</w:t>
                  </w:r>
                </w:p>
              </w:tc>
              <w:tc>
                <w:tcPr>
                  <w:tcW w:w="2568" w:type="pct"/>
                  <w:vAlign w:val="center"/>
                </w:tcPr>
                <w:p>
                  <w:pPr>
                    <w:pStyle w:val="48"/>
                    <w:rPr>
                      <w:rFonts w:hint="eastAsia" w:eastAsia="宋体"/>
                      <w:color w:val="000000" w:themeColor="text1"/>
                      <w:u w:val="none"/>
                      <w:lang w:eastAsia="zh-CN"/>
                      <w14:textFill>
                        <w14:solidFill>
                          <w14:schemeClr w14:val="tx1"/>
                        </w14:solidFill>
                      </w14:textFill>
                    </w:rPr>
                  </w:pPr>
                  <w:r>
                    <w:rPr>
                      <w:rFonts w:hint="eastAsia" w:ascii="Times New Roman" w:hAnsi="Times New Roman" w:eastAsia="宋体" w:cs="Times New Roman"/>
                      <w:color w:val="auto"/>
                      <w:sz w:val="21"/>
                      <w:szCs w:val="21"/>
                      <w:lang w:val="en-US" w:eastAsia="zh-CN"/>
                    </w:rPr>
                    <w:t>医疗废物：院区内设置医疗废物垃圾桶，收集后暂存于医疗废物暂存间（12m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），定期交由岳阳市方向固废安全处置有限公司；一般固废：一次性塑料输液瓶（袋）收集后暂存于医疗废物暂存间后，定期交由专门单位转运</w:t>
                  </w:r>
                  <w:r>
                    <w:rPr>
                      <w:rFonts w:hint="eastAsia" w:cs="Times New Roman"/>
                      <w:color w:val="auto"/>
                      <w:sz w:val="21"/>
                      <w:szCs w:val="21"/>
                      <w:lang w:val="en-US" w:eastAsia="zh-CN"/>
                    </w:rPr>
                    <w:t>并处置</w:t>
                  </w:r>
                  <w:r>
                    <w:rPr>
                      <w:color w:val="000000" w:themeColor="text1"/>
                      <w:u w:val="none"/>
                      <w14:textFill>
                        <w14:solidFill>
                          <w14:schemeClr w14:val="tx1"/>
                        </w14:solidFill>
                      </w14:textFill>
                    </w:rPr>
                    <w:t>；生活垃圾：院区设置垃圾桶和垃圾收集点由当地环卫部门清运处理</w:t>
                  </w:r>
                  <w:r>
                    <w:rPr>
                      <w:rFonts w:hint="eastAsia"/>
                      <w:color w:val="000000" w:themeColor="text1"/>
                      <w:u w:val="none"/>
                      <w:lang w:eastAsia="zh-CN"/>
                      <w14:textFill>
                        <w14:solidFill>
                          <w14:schemeClr w14:val="tx1"/>
                        </w14:solidFill>
                      </w14:textFill>
                    </w:rPr>
                    <w:t>；</w:t>
                  </w:r>
                  <w:r>
                    <w:rPr>
                      <w:rFonts w:hint="eastAsia"/>
                      <w:u w:val="single"/>
                      <w:lang w:val="en-US" w:eastAsia="zh-CN"/>
                    </w:rPr>
                    <w:t>污泥属于危险废物，评价要求污泥清掏前应进行消毒和检测，分类暂存于危废暂存间，定期委托有资质单位处理。</w:t>
                  </w:r>
                </w:p>
              </w:tc>
              <w:tc>
                <w:tcPr>
                  <w:tcW w:w="506"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已建</w:t>
                  </w:r>
                </w:p>
              </w:tc>
            </w:tr>
          </w:tbl>
          <w:p>
            <w:pPr>
              <w:pStyle w:val="7"/>
              <w:ind w:firstLine="480"/>
              <w:rPr>
                <w:color w:val="000000" w:themeColor="text1"/>
                <w14:textFill>
                  <w14:solidFill>
                    <w14:schemeClr w14:val="tx1"/>
                  </w14:solidFill>
                </w14:textFill>
              </w:rPr>
            </w:pPr>
            <w:r>
              <w:rPr>
                <w:color w:val="000000" w:themeColor="text1"/>
                <w14:textFill>
                  <w14:solidFill>
                    <w14:schemeClr w14:val="tx1"/>
                  </w14:solidFill>
                </w14:textFill>
              </w:rPr>
              <w:t>本次环评不对放射科设备的电磁辐射进行评价，放射科设备需单独办理相关环评手续。</w:t>
            </w:r>
          </w:p>
          <w:p>
            <w:pPr>
              <w:pStyle w:val="7"/>
              <w:ind w:firstLine="48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w:t>
            </w:r>
            <w:r>
              <w:rPr>
                <w:b/>
                <w:bCs/>
                <w:color w:val="000000" w:themeColor="text1"/>
                <w14:textFill>
                  <w14:solidFill>
                    <w14:schemeClr w14:val="tx1"/>
                  </w14:solidFill>
                </w14:textFill>
              </w:rPr>
              <w:t>主要设备</w:t>
            </w:r>
          </w:p>
          <w:p>
            <w:pPr>
              <w:pStyle w:val="7"/>
              <w:ind w:firstLine="480"/>
              <w:rPr>
                <w:rFonts w:hint="eastAsia" w:eastAsia="宋体"/>
                <w:color w:val="0000FF"/>
                <w:lang w:eastAsia="zh-CN"/>
              </w:rPr>
            </w:pPr>
            <w:r>
              <w:rPr>
                <w:color w:val="000000" w:themeColor="text1"/>
                <w14:textFill>
                  <w14:solidFill>
                    <w14:schemeClr w14:val="tx1"/>
                  </w14:solidFill>
                </w14:textFill>
              </w:rPr>
              <w:t>项目主要设备详见</w:t>
            </w:r>
            <w:r>
              <w:rPr>
                <w:rFonts w:hint="eastAsia"/>
                <w:color w:val="000000" w:themeColor="text1"/>
                <w14:textFill>
                  <w14:solidFill>
                    <w14:schemeClr w14:val="tx1"/>
                  </w14:solidFill>
                </w14:textFill>
              </w:rPr>
              <w:t>下</w:t>
            </w:r>
            <w:r>
              <w:rPr>
                <w:color w:val="000000" w:themeColor="text1"/>
                <w14:textFill>
                  <w14:solidFill>
                    <w14:schemeClr w14:val="tx1"/>
                  </w14:solidFill>
                </w14:textFill>
              </w:rPr>
              <w:t>表。</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2.1-2</w:t>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主要设备一览表</w:t>
            </w:r>
          </w:p>
          <w:tbl>
            <w:tblPr>
              <w:tblStyle w:val="31"/>
              <w:tblW w:w="7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8"/>
              <w:gridCol w:w="3570"/>
              <w:gridCol w:w="1680"/>
              <w:gridCol w:w="900"/>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18" w:type="dxa"/>
                  <w:shd w:val="clear" w:color="auto" w:fill="auto"/>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序号</w:t>
                  </w:r>
                </w:p>
              </w:tc>
              <w:tc>
                <w:tcPr>
                  <w:tcW w:w="3570" w:type="dxa"/>
                  <w:shd w:val="clear" w:color="auto" w:fill="auto"/>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设备名称</w:t>
                  </w:r>
                </w:p>
              </w:tc>
              <w:tc>
                <w:tcPr>
                  <w:tcW w:w="1680"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型号</w:t>
                  </w:r>
                </w:p>
              </w:tc>
              <w:tc>
                <w:tcPr>
                  <w:tcW w:w="900" w:type="dxa"/>
                  <w:shd w:val="clear" w:color="auto" w:fill="auto"/>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数量</w:t>
                  </w:r>
                </w:p>
              </w:tc>
              <w:tc>
                <w:tcPr>
                  <w:tcW w:w="966" w:type="dxa"/>
                  <w:shd w:val="clear" w:color="auto" w:fill="auto"/>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1</w:t>
                  </w:r>
                </w:p>
              </w:tc>
              <w:tc>
                <w:tcPr>
                  <w:tcW w:w="3570" w:type="dxa"/>
                  <w:shd w:val="clear" w:color="auto" w:fill="auto"/>
                  <w:vAlign w:val="center"/>
                </w:tcPr>
                <w:p>
                  <w:pPr>
                    <w:pStyle w:val="48"/>
                    <w:jc w:val="center"/>
                    <w:rPr>
                      <w:color w:val="000000" w:themeColor="text1"/>
                      <w:u w:val="single"/>
                      <w14:textFill>
                        <w14:solidFill>
                          <w14:schemeClr w14:val="tx1"/>
                        </w14:solidFill>
                      </w14:textFill>
                    </w:rPr>
                  </w:pPr>
                  <w:r>
                    <w:rPr>
                      <w:rFonts w:hint="eastAsia" w:eastAsia="宋体"/>
                      <w:color w:val="auto"/>
                      <w:u w:val="none"/>
                      <w:lang w:val="en-US" w:eastAsia="zh-CN"/>
                    </w:rPr>
                    <w:t>五分类血常规分析仪</w:t>
                  </w:r>
                </w:p>
              </w:tc>
              <w:tc>
                <w:tcPr>
                  <w:tcW w:w="1680" w:type="dxa"/>
                  <w:shd w:val="clear" w:color="auto" w:fill="auto"/>
                  <w:vAlign w:val="center"/>
                </w:tcPr>
                <w:p>
                  <w:pPr>
                    <w:pStyle w:val="48"/>
                    <w:jc w:val="center"/>
                    <w:rPr>
                      <w:color w:val="000000" w:themeColor="text1"/>
                      <w:u w:val="single"/>
                      <w14:textFill>
                        <w14:solidFill>
                          <w14:schemeClr w14:val="tx1"/>
                        </w14:solidFill>
                      </w14:textFill>
                    </w:rPr>
                  </w:pPr>
                  <w:r>
                    <w:rPr>
                      <w:rFonts w:hint="eastAsia" w:eastAsia="宋体"/>
                      <w:color w:val="auto"/>
                      <w:u w:val="none"/>
                      <w:lang w:val="en-US" w:eastAsia="zh-CN"/>
                    </w:rPr>
                    <w:t>VRIT 5380</w:t>
                  </w:r>
                </w:p>
              </w:tc>
              <w:tc>
                <w:tcPr>
                  <w:tcW w:w="900"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1</w:t>
                  </w:r>
                </w:p>
              </w:tc>
              <w:tc>
                <w:tcPr>
                  <w:tcW w:w="966"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2</w:t>
                  </w:r>
                </w:p>
              </w:tc>
              <w:tc>
                <w:tcPr>
                  <w:tcW w:w="3570" w:type="dxa"/>
                  <w:shd w:val="clear" w:color="auto" w:fill="auto"/>
                  <w:vAlign w:val="center"/>
                </w:tcPr>
                <w:p>
                  <w:pPr>
                    <w:pStyle w:val="48"/>
                    <w:jc w:val="center"/>
                    <w:rPr>
                      <w:color w:val="000000" w:themeColor="text1"/>
                      <w:u w:val="single"/>
                      <w14:textFill>
                        <w14:solidFill>
                          <w14:schemeClr w14:val="tx1"/>
                        </w14:solidFill>
                      </w14:textFill>
                    </w:rPr>
                  </w:pPr>
                  <w:r>
                    <w:rPr>
                      <w:rFonts w:hint="eastAsia" w:eastAsia="宋体"/>
                      <w:color w:val="auto"/>
                      <w:u w:val="none"/>
                      <w:lang w:val="en-US" w:eastAsia="zh-CN"/>
                    </w:rPr>
                    <w:t>电解质分析仪</w:t>
                  </w:r>
                </w:p>
              </w:tc>
              <w:tc>
                <w:tcPr>
                  <w:tcW w:w="1680" w:type="dxa"/>
                  <w:shd w:val="clear" w:color="auto" w:fill="auto"/>
                  <w:vAlign w:val="center"/>
                </w:tcPr>
                <w:p>
                  <w:pPr>
                    <w:pStyle w:val="48"/>
                    <w:jc w:val="center"/>
                    <w:rPr>
                      <w:color w:val="000000" w:themeColor="text1"/>
                      <w:u w:val="single"/>
                      <w14:textFill>
                        <w14:solidFill>
                          <w14:schemeClr w14:val="tx1"/>
                        </w14:solidFill>
                      </w14:textFill>
                    </w:rPr>
                  </w:pPr>
                  <w:r>
                    <w:rPr>
                      <w:rFonts w:hint="eastAsia" w:ascii="Times New Roman" w:hAnsi="Times New Roman" w:eastAsia="宋体" w:cs="Times New Roman"/>
                      <w:color w:val="auto"/>
                      <w:u w:val="none"/>
                      <w:lang w:val="en-US" w:eastAsia="zh-CN"/>
                    </w:rPr>
                    <w:t>VRII 910cplus</w:t>
                  </w:r>
                </w:p>
              </w:tc>
              <w:tc>
                <w:tcPr>
                  <w:tcW w:w="900"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1</w:t>
                  </w:r>
                </w:p>
              </w:tc>
              <w:tc>
                <w:tcPr>
                  <w:tcW w:w="966" w:type="dxa"/>
                  <w:shd w:val="clear" w:color="auto" w:fill="auto"/>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3</w:t>
                  </w:r>
                </w:p>
              </w:tc>
              <w:tc>
                <w:tcPr>
                  <w:tcW w:w="3570" w:type="dxa"/>
                  <w:shd w:val="clear" w:color="auto" w:fill="auto"/>
                  <w:vAlign w:val="center"/>
                </w:tcPr>
                <w:p>
                  <w:pPr>
                    <w:pStyle w:val="48"/>
                    <w:jc w:val="center"/>
                    <w:rPr>
                      <w:color w:val="000000" w:themeColor="text1"/>
                      <w:u w:val="single"/>
                      <w14:textFill>
                        <w14:solidFill>
                          <w14:schemeClr w14:val="tx1"/>
                        </w14:solidFill>
                      </w14:textFill>
                    </w:rPr>
                  </w:pPr>
                  <w:r>
                    <w:rPr>
                      <w:rFonts w:hint="eastAsia" w:eastAsia="宋体"/>
                      <w:color w:val="auto"/>
                      <w:u w:val="none"/>
                      <w:lang w:val="en-US" w:eastAsia="zh-CN"/>
                    </w:rPr>
                    <w:t>特定蛋白分析仪</w:t>
                  </w:r>
                </w:p>
              </w:tc>
              <w:tc>
                <w:tcPr>
                  <w:tcW w:w="1680" w:type="dxa"/>
                  <w:shd w:val="clear" w:color="auto" w:fill="auto"/>
                  <w:vAlign w:val="center"/>
                </w:tcPr>
                <w:p>
                  <w:pPr>
                    <w:pStyle w:val="48"/>
                    <w:jc w:val="center"/>
                    <w:rPr>
                      <w:color w:val="000000" w:themeColor="text1"/>
                      <w:u w:val="single"/>
                      <w14:textFill>
                        <w14:solidFill>
                          <w14:schemeClr w14:val="tx1"/>
                        </w14:solidFill>
                      </w14:textFill>
                    </w:rPr>
                  </w:pPr>
                  <w:r>
                    <w:rPr>
                      <w:rFonts w:hint="eastAsia" w:ascii="Times New Roman" w:hAnsi="Times New Roman" w:eastAsia="宋体" w:cs="Times New Roman"/>
                      <w:color w:val="auto"/>
                      <w:u w:val="none"/>
                      <w:lang w:val="en-US" w:eastAsia="zh-CN"/>
                    </w:rPr>
                    <w:t>锦瑞PA120</w:t>
                  </w:r>
                </w:p>
              </w:tc>
              <w:tc>
                <w:tcPr>
                  <w:tcW w:w="900"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1</w:t>
                  </w:r>
                </w:p>
              </w:tc>
              <w:tc>
                <w:tcPr>
                  <w:tcW w:w="966" w:type="dxa"/>
                  <w:shd w:val="clear" w:color="auto" w:fill="auto"/>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4</w:t>
                  </w:r>
                </w:p>
              </w:tc>
              <w:tc>
                <w:tcPr>
                  <w:tcW w:w="3570" w:type="dxa"/>
                  <w:shd w:val="clear" w:color="auto" w:fill="auto"/>
                  <w:vAlign w:val="center"/>
                </w:tcPr>
                <w:p>
                  <w:pPr>
                    <w:pStyle w:val="48"/>
                    <w:jc w:val="center"/>
                    <w:rPr>
                      <w:color w:val="000000" w:themeColor="text1"/>
                      <w:u w:val="single"/>
                      <w14:textFill>
                        <w14:solidFill>
                          <w14:schemeClr w14:val="tx1"/>
                        </w14:solidFill>
                      </w14:textFill>
                    </w:rPr>
                  </w:pPr>
                  <w:r>
                    <w:rPr>
                      <w:rFonts w:hint="eastAsia"/>
                      <w:color w:val="auto"/>
                      <w:u w:val="none"/>
                      <w:lang w:val="en-US" w:eastAsia="zh-CN"/>
                    </w:rPr>
                    <w:t>全自动移动功能检测仪</w:t>
                  </w:r>
                </w:p>
              </w:tc>
              <w:tc>
                <w:tcPr>
                  <w:tcW w:w="1680" w:type="dxa"/>
                  <w:shd w:val="clear" w:color="auto" w:fill="auto"/>
                  <w:vAlign w:val="center"/>
                </w:tcPr>
                <w:p>
                  <w:pPr>
                    <w:pStyle w:val="48"/>
                    <w:jc w:val="center"/>
                    <w:rPr>
                      <w:color w:val="000000" w:themeColor="text1"/>
                      <w:u w:val="single"/>
                      <w14:textFill>
                        <w14:solidFill>
                          <w14:schemeClr w14:val="tx1"/>
                        </w14:solidFill>
                      </w14:textFill>
                    </w:rPr>
                  </w:pPr>
                  <w:r>
                    <w:rPr>
                      <w:rFonts w:hint="eastAsia" w:ascii="Times New Roman" w:hAnsi="Times New Roman" w:eastAsia="宋体" w:cs="Times New Roman"/>
                      <w:color w:val="auto"/>
                      <w:u w:val="none"/>
                      <w:lang w:val="en-US" w:eastAsia="zh-CN"/>
                    </w:rPr>
                    <w:t>iCARE-2200</w:t>
                  </w:r>
                </w:p>
              </w:tc>
              <w:tc>
                <w:tcPr>
                  <w:tcW w:w="900"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1</w:t>
                  </w:r>
                </w:p>
              </w:tc>
              <w:tc>
                <w:tcPr>
                  <w:tcW w:w="966" w:type="dxa"/>
                  <w:shd w:val="clear" w:color="auto" w:fill="auto"/>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5</w:t>
                  </w:r>
                </w:p>
              </w:tc>
              <w:tc>
                <w:tcPr>
                  <w:tcW w:w="3570" w:type="dxa"/>
                  <w:shd w:val="clear" w:color="auto" w:fill="auto"/>
                  <w:vAlign w:val="center"/>
                </w:tcPr>
                <w:p>
                  <w:pPr>
                    <w:pStyle w:val="48"/>
                    <w:jc w:val="center"/>
                    <w:rPr>
                      <w:color w:val="000000" w:themeColor="text1"/>
                      <w:u w:val="single"/>
                      <w14:textFill>
                        <w14:solidFill>
                          <w14:schemeClr w14:val="tx1"/>
                        </w14:solidFill>
                      </w14:textFill>
                    </w:rPr>
                  </w:pPr>
                  <w:r>
                    <w:rPr>
                      <w:rFonts w:hint="eastAsia"/>
                      <w:color w:val="auto"/>
                      <w:u w:val="none"/>
                      <w:lang w:val="en-US" w:eastAsia="zh-CN"/>
                    </w:rPr>
                    <w:t>全生化分析仪</w:t>
                  </w:r>
                </w:p>
              </w:tc>
              <w:tc>
                <w:tcPr>
                  <w:tcW w:w="1680" w:type="dxa"/>
                  <w:shd w:val="clear" w:color="auto" w:fill="auto"/>
                  <w:vAlign w:val="center"/>
                </w:tcPr>
                <w:p>
                  <w:pPr>
                    <w:pStyle w:val="48"/>
                    <w:jc w:val="center"/>
                    <w:rPr>
                      <w:color w:val="000000" w:themeColor="text1"/>
                      <w:u w:val="single"/>
                      <w14:textFill>
                        <w14:solidFill>
                          <w14:schemeClr w14:val="tx1"/>
                        </w14:solidFill>
                      </w14:textFill>
                    </w:rPr>
                  </w:pPr>
                  <w:r>
                    <w:rPr>
                      <w:rFonts w:hint="eastAsia" w:ascii="Times New Roman" w:hAnsi="Times New Roman" w:eastAsia="宋体" w:cs="Times New Roman"/>
                      <w:color w:val="auto"/>
                      <w:u w:val="none"/>
                      <w:lang w:val="en-US" w:eastAsia="zh-CN"/>
                    </w:rPr>
                    <w:t>VRIT-8400</w:t>
                  </w:r>
                </w:p>
              </w:tc>
              <w:tc>
                <w:tcPr>
                  <w:tcW w:w="900"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1</w:t>
                  </w:r>
                </w:p>
              </w:tc>
              <w:tc>
                <w:tcPr>
                  <w:tcW w:w="966" w:type="dxa"/>
                  <w:shd w:val="clear" w:color="auto" w:fill="auto"/>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18"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6</w:t>
                  </w:r>
                </w:p>
              </w:tc>
              <w:tc>
                <w:tcPr>
                  <w:tcW w:w="3570" w:type="dxa"/>
                  <w:shd w:val="clear" w:color="auto" w:fill="auto"/>
                  <w:vAlign w:val="center"/>
                </w:tcPr>
                <w:p>
                  <w:pPr>
                    <w:pStyle w:val="48"/>
                    <w:jc w:val="center"/>
                    <w:rPr>
                      <w:color w:val="000000" w:themeColor="text1"/>
                      <w:u w:val="single"/>
                      <w14:textFill>
                        <w14:solidFill>
                          <w14:schemeClr w14:val="tx1"/>
                        </w14:solidFill>
                      </w14:textFill>
                    </w:rPr>
                  </w:pPr>
                  <w:r>
                    <w:rPr>
                      <w:rFonts w:hint="eastAsia"/>
                      <w:color w:val="auto"/>
                      <w:u w:val="none"/>
                      <w:lang w:val="en-US" w:eastAsia="zh-CN"/>
                    </w:rPr>
                    <w:t>全生化分析仪</w:t>
                  </w:r>
                </w:p>
              </w:tc>
              <w:tc>
                <w:tcPr>
                  <w:tcW w:w="1680" w:type="dxa"/>
                  <w:shd w:val="clear" w:color="auto" w:fill="auto"/>
                  <w:vAlign w:val="center"/>
                </w:tcPr>
                <w:p>
                  <w:pPr>
                    <w:pStyle w:val="48"/>
                    <w:jc w:val="center"/>
                    <w:rPr>
                      <w:color w:val="000000" w:themeColor="text1"/>
                      <w:u w:val="single"/>
                      <w14:textFill>
                        <w14:solidFill>
                          <w14:schemeClr w14:val="tx1"/>
                        </w14:solidFill>
                      </w14:textFill>
                    </w:rPr>
                  </w:pPr>
                  <w:r>
                    <w:rPr>
                      <w:rFonts w:hint="eastAsia" w:ascii="Times New Roman" w:hAnsi="Times New Roman" w:eastAsia="宋体" w:cs="Times New Roman"/>
                      <w:color w:val="auto"/>
                      <w:u w:val="none"/>
                      <w:lang w:val="en-US" w:eastAsia="zh-CN"/>
                    </w:rPr>
                    <w:t>DEROM-600</w:t>
                  </w:r>
                </w:p>
              </w:tc>
              <w:tc>
                <w:tcPr>
                  <w:tcW w:w="900"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1</w:t>
                  </w:r>
                </w:p>
              </w:tc>
              <w:tc>
                <w:tcPr>
                  <w:tcW w:w="966" w:type="dxa"/>
                  <w:shd w:val="clear" w:color="auto" w:fill="auto"/>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7</w:t>
                  </w:r>
                </w:p>
              </w:tc>
              <w:tc>
                <w:tcPr>
                  <w:tcW w:w="3570" w:type="dxa"/>
                  <w:shd w:val="clear" w:color="auto" w:fill="auto"/>
                  <w:vAlign w:val="center"/>
                </w:tcPr>
                <w:p>
                  <w:pPr>
                    <w:pStyle w:val="48"/>
                    <w:jc w:val="center"/>
                    <w:rPr>
                      <w:color w:val="000000" w:themeColor="text1"/>
                      <w:u w:val="single"/>
                      <w14:textFill>
                        <w14:solidFill>
                          <w14:schemeClr w14:val="tx1"/>
                        </w14:solidFill>
                      </w14:textFill>
                    </w:rPr>
                  </w:pPr>
                  <w:r>
                    <w:rPr>
                      <w:rFonts w:hint="eastAsia"/>
                      <w:color w:val="auto"/>
                      <w:u w:val="none"/>
                      <w:lang w:val="en-US" w:eastAsia="zh-CN"/>
                    </w:rPr>
                    <w:t>尿液分析仪</w:t>
                  </w:r>
                </w:p>
              </w:tc>
              <w:tc>
                <w:tcPr>
                  <w:tcW w:w="1680" w:type="dxa"/>
                  <w:shd w:val="clear" w:color="auto" w:fill="auto"/>
                  <w:vAlign w:val="center"/>
                </w:tcPr>
                <w:p>
                  <w:pPr>
                    <w:pStyle w:val="48"/>
                    <w:jc w:val="center"/>
                    <w:rPr>
                      <w:color w:val="000000" w:themeColor="text1"/>
                      <w:u w:val="single"/>
                      <w14:textFill>
                        <w14:solidFill>
                          <w14:schemeClr w14:val="tx1"/>
                        </w14:solidFill>
                      </w14:textFill>
                    </w:rPr>
                  </w:pPr>
                  <w:r>
                    <w:rPr>
                      <w:rFonts w:hint="eastAsia" w:ascii="Times New Roman" w:hAnsi="Times New Roman" w:eastAsia="宋体" w:cs="Times New Roman"/>
                      <w:color w:val="auto"/>
                      <w:u w:val="none"/>
                      <w:lang w:val="en-US" w:eastAsia="zh-CN"/>
                    </w:rPr>
                    <w:t>VRIT VC-200B</w:t>
                  </w:r>
                </w:p>
              </w:tc>
              <w:tc>
                <w:tcPr>
                  <w:tcW w:w="900"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1</w:t>
                  </w:r>
                </w:p>
              </w:tc>
              <w:tc>
                <w:tcPr>
                  <w:tcW w:w="966" w:type="dxa"/>
                  <w:shd w:val="clear" w:color="auto" w:fill="auto"/>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8</w:t>
                  </w:r>
                </w:p>
              </w:tc>
              <w:tc>
                <w:tcPr>
                  <w:tcW w:w="3570" w:type="dxa"/>
                  <w:shd w:val="clear" w:color="auto" w:fill="auto"/>
                  <w:vAlign w:val="center"/>
                </w:tcPr>
                <w:p>
                  <w:pPr>
                    <w:pStyle w:val="48"/>
                    <w:jc w:val="center"/>
                    <w:rPr>
                      <w:color w:val="000000" w:themeColor="text1"/>
                      <w:u w:val="single"/>
                      <w14:textFill>
                        <w14:solidFill>
                          <w14:schemeClr w14:val="tx1"/>
                        </w14:solidFill>
                      </w14:textFill>
                    </w:rPr>
                  </w:pPr>
                  <w:r>
                    <w:rPr>
                      <w:rFonts w:hint="eastAsia"/>
                      <w:color w:val="auto"/>
                      <w:u w:val="none"/>
                      <w:lang w:val="en-US" w:eastAsia="zh-CN"/>
                    </w:rPr>
                    <w:t>血球计数仪</w:t>
                  </w:r>
                </w:p>
              </w:tc>
              <w:tc>
                <w:tcPr>
                  <w:tcW w:w="1680" w:type="dxa"/>
                  <w:shd w:val="clear" w:color="auto" w:fill="auto"/>
                  <w:vAlign w:val="center"/>
                </w:tcPr>
                <w:p>
                  <w:pPr>
                    <w:pStyle w:val="48"/>
                    <w:jc w:val="center"/>
                    <w:rPr>
                      <w:color w:val="000000" w:themeColor="text1"/>
                      <w:u w:val="single"/>
                      <w14:textFill>
                        <w14:solidFill>
                          <w14:schemeClr w14:val="tx1"/>
                        </w14:solidFill>
                      </w14:textFill>
                    </w:rPr>
                  </w:pPr>
                  <w:r>
                    <w:rPr>
                      <w:rFonts w:hint="eastAsia" w:ascii="Times New Roman" w:hAnsi="Times New Roman" w:eastAsia="宋体" w:cs="Times New Roman"/>
                      <w:color w:val="auto"/>
                      <w:u w:val="none"/>
                      <w:lang w:val="en-US" w:eastAsia="zh-CN"/>
                    </w:rPr>
                    <w:t>DF 56</w:t>
                  </w:r>
                </w:p>
              </w:tc>
              <w:tc>
                <w:tcPr>
                  <w:tcW w:w="900"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1</w:t>
                  </w:r>
                </w:p>
              </w:tc>
              <w:tc>
                <w:tcPr>
                  <w:tcW w:w="966" w:type="dxa"/>
                  <w:shd w:val="clear" w:color="auto" w:fill="auto"/>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18"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9</w:t>
                  </w:r>
                </w:p>
              </w:tc>
              <w:tc>
                <w:tcPr>
                  <w:tcW w:w="3570" w:type="dxa"/>
                  <w:shd w:val="clear" w:color="auto" w:fill="auto"/>
                  <w:vAlign w:val="center"/>
                </w:tcPr>
                <w:p>
                  <w:pPr>
                    <w:pStyle w:val="48"/>
                    <w:jc w:val="center"/>
                    <w:rPr>
                      <w:color w:val="000000" w:themeColor="text1"/>
                      <w:u w:val="single"/>
                      <w14:textFill>
                        <w14:solidFill>
                          <w14:schemeClr w14:val="tx1"/>
                        </w14:solidFill>
                      </w14:textFill>
                    </w:rPr>
                  </w:pPr>
                  <w:r>
                    <w:rPr>
                      <w:rFonts w:hint="eastAsia"/>
                      <w:color w:val="auto"/>
                      <w:u w:val="none"/>
                      <w:lang w:val="en-US" w:eastAsia="zh-CN"/>
                    </w:rPr>
                    <w:t>彩色B超</w:t>
                  </w:r>
                </w:p>
              </w:tc>
              <w:tc>
                <w:tcPr>
                  <w:tcW w:w="1680" w:type="dxa"/>
                  <w:shd w:val="clear" w:color="auto" w:fill="auto"/>
                  <w:vAlign w:val="center"/>
                </w:tcPr>
                <w:p>
                  <w:pPr>
                    <w:pStyle w:val="48"/>
                    <w:jc w:val="center"/>
                    <w:rPr>
                      <w:color w:val="000000" w:themeColor="text1"/>
                      <w:u w:val="single"/>
                      <w14:textFill>
                        <w14:solidFill>
                          <w14:schemeClr w14:val="tx1"/>
                        </w14:solidFill>
                      </w14:textFill>
                    </w:rPr>
                  </w:pPr>
                  <w:r>
                    <w:rPr>
                      <w:rFonts w:hint="eastAsia"/>
                      <w:color w:val="auto"/>
                      <w:u w:val="none"/>
                    </w:rPr>
                    <w:t>Apoge</w:t>
                  </w:r>
                  <w:r>
                    <w:rPr>
                      <w:rFonts w:hint="eastAsia"/>
                      <w:color w:val="auto"/>
                      <w:u w:val="none"/>
                      <w:lang w:val="en-US" w:eastAsia="zh-CN"/>
                    </w:rPr>
                    <w:t>e-1100Lite</w:t>
                  </w:r>
                </w:p>
              </w:tc>
              <w:tc>
                <w:tcPr>
                  <w:tcW w:w="900"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1</w:t>
                  </w:r>
                </w:p>
              </w:tc>
              <w:tc>
                <w:tcPr>
                  <w:tcW w:w="966" w:type="dxa"/>
                  <w:shd w:val="clear" w:color="auto" w:fill="auto"/>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18"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10</w:t>
                  </w:r>
                </w:p>
              </w:tc>
              <w:tc>
                <w:tcPr>
                  <w:tcW w:w="3570" w:type="dxa"/>
                  <w:shd w:val="clear" w:color="auto" w:fill="auto"/>
                  <w:vAlign w:val="center"/>
                </w:tcPr>
                <w:p>
                  <w:pPr>
                    <w:pStyle w:val="48"/>
                    <w:jc w:val="center"/>
                    <w:rPr>
                      <w:color w:val="000000" w:themeColor="text1"/>
                      <w:u w:val="single"/>
                      <w14:textFill>
                        <w14:solidFill>
                          <w14:schemeClr w14:val="tx1"/>
                        </w14:solidFill>
                      </w14:textFill>
                    </w:rPr>
                  </w:pPr>
                  <w:r>
                    <w:rPr>
                      <w:rFonts w:hint="eastAsia"/>
                      <w:color w:val="auto"/>
                      <w:u w:val="none"/>
                      <w:lang w:eastAsia="zh-CN"/>
                    </w:rPr>
                    <w:t>彩色</w:t>
                  </w:r>
                  <w:r>
                    <w:rPr>
                      <w:rFonts w:hint="eastAsia"/>
                      <w:color w:val="auto"/>
                      <w:u w:val="none"/>
                      <w:lang w:val="en-US" w:eastAsia="zh-CN"/>
                    </w:rPr>
                    <w:t>B超</w:t>
                  </w:r>
                </w:p>
              </w:tc>
              <w:tc>
                <w:tcPr>
                  <w:tcW w:w="1680" w:type="dxa"/>
                  <w:shd w:val="clear" w:color="auto" w:fill="auto"/>
                  <w:vAlign w:val="center"/>
                </w:tcPr>
                <w:p>
                  <w:pPr>
                    <w:pStyle w:val="48"/>
                    <w:jc w:val="center"/>
                    <w:rPr>
                      <w:color w:val="000000" w:themeColor="text1"/>
                      <w:u w:val="single"/>
                      <w14:textFill>
                        <w14:solidFill>
                          <w14:schemeClr w14:val="tx1"/>
                        </w14:solidFill>
                      </w14:textFill>
                    </w:rPr>
                  </w:pPr>
                  <w:r>
                    <w:rPr>
                      <w:rFonts w:hint="eastAsia"/>
                      <w:color w:val="auto"/>
                      <w:u w:val="none"/>
                      <w:lang w:val="en-US" w:eastAsia="zh-CN"/>
                    </w:rPr>
                    <w:t>DL-58S</w:t>
                  </w:r>
                </w:p>
              </w:tc>
              <w:tc>
                <w:tcPr>
                  <w:tcW w:w="900"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1</w:t>
                  </w:r>
                </w:p>
              </w:tc>
              <w:tc>
                <w:tcPr>
                  <w:tcW w:w="966" w:type="dxa"/>
                  <w:shd w:val="clear" w:color="auto" w:fill="auto"/>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18"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11</w:t>
                  </w:r>
                </w:p>
              </w:tc>
              <w:tc>
                <w:tcPr>
                  <w:tcW w:w="3570" w:type="dxa"/>
                  <w:shd w:val="clear" w:color="auto" w:fill="auto"/>
                  <w:vAlign w:val="center"/>
                </w:tcPr>
                <w:p>
                  <w:pPr>
                    <w:pStyle w:val="48"/>
                    <w:jc w:val="center"/>
                    <w:rPr>
                      <w:color w:val="000000" w:themeColor="text1"/>
                      <w:u w:val="single"/>
                      <w14:textFill>
                        <w14:solidFill>
                          <w14:schemeClr w14:val="tx1"/>
                        </w14:solidFill>
                      </w14:textFill>
                    </w:rPr>
                  </w:pPr>
                  <w:r>
                    <w:rPr>
                      <w:rFonts w:hint="eastAsia" w:ascii="Times New Roman" w:hAnsi="Times New Roman" w:eastAsia="宋体" w:cs="Times New Roman"/>
                      <w:color w:val="auto"/>
                      <w:u w:val="none"/>
                      <w:lang w:val="en-US" w:eastAsia="zh-CN"/>
                    </w:rPr>
                    <w:t>DR</w:t>
                  </w:r>
                </w:p>
              </w:tc>
              <w:tc>
                <w:tcPr>
                  <w:tcW w:w="1680" w:type="dxa"/>
                  <w:shd w:val="clear" w:color="auto" w:fill="auto"/>
                  <w:vAlign w:val="center"/>
                </w:tcPr>
                <w:p>
                  <w:pPr>
                    <w:pStyle w:val="48"/>
                    <w:jc w:val="center"/>
                    <w:rPr>
                      <w:color w:val="000000" w:themeColor="text1"/>
                      <w:u w:val="single"/>
                      <w14:textFill>
                        <w14:solidFill>
                          <w14:schemeClr w14:val="tx1"/>
                        </w14:solidFill>
                      </w14:textFill>
                    </w:rPr>
                  </w:pPr>
                  <w:r>
                    <w:rPr>
                      <w:rFonts w:hint="eastAsia" w:ascii="Times New Roman" w:hAnsi="Times New Roman" w:eastAsia="宋体" w:cs="Times New Roman"/>
                      <w:color w:val="auto"/>
                      <w:u w:val="none"/>
                      <w:lang w:val="en-US" w:eastAsia="zh-CN"/>
                    </w:rPr>
                    <w:t>新东方1000M</w:t>
                  </w:r>
                </w:p>
              </w:tc>
              <w:tc>
                <w:tcPr>
                  <w:tcW w:w="900"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1</w:t>
                  </w:r>
                </w:p>
              </w:tc>
              <w:tc>
                <w:tcPr>
                  <w:tcW w:w="966" w:type="dxa"/>
                  <w:shd w:val="clear" w:color="auto" w:fill="auto"/>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18" w:type="dxa"/>
                  <w:shd w:val="clear" w:color="auto" w:fill="auto"/>
                  <w:vAlign w:val="center"/>
                </w:tcPr>
                <w:p>
                  <w:pPr>
                    <w:pStyle w:val="48"/>
                    <w:jc w:val="center"/>
                    <w:rPr>
                      <w:rFonts w:hint="default" w:eastAsia="宋体"/>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12</w:t>
                  </w:r>
                </w:p>
              </w:tc>
              <w:tc>
                <w:tcPr>
                  <w:tcW w:w="3570" w:type="dxa"/>
                  <w:shd w:val="clear" w:color="auto" w:fill="auto"/>
                  <w:vAlign w:val="center"/>
                </w:tcPr>
                <w:p>
                  <w:pPr>
                    <w:pStyle w:val="48"/>
                    <w:jc w:val="center"/>
                    <w:rPr>
                      <w:color w:val="000000" w:themeColor="text1"/>
                      <w:u w:val="single"/>
                      <w14:textFill>
                        <w14:solidFill>
                          <w14:schemeClr w14:val="tx1"/>
                        </w14:solidFill>
                      </w14:textFill>
                    </w:rPr>
                  </w:pPr>
                  <w:r>
                    <w:rPr>
                      <w:rFonts w:hint="eastAsia"/>
                      <w:color w:val="auto"/>
                      <w:u w:val="none"/>
                      <w:lang w:val="en-US" w:eastAsia="zh-CN"/>
                    </w:rPr>
                    <w:t>熏蒸</w:t>
                  </w:r>
                </w:p>
              </w:tc>
              <w:tc>
                <w:tcPr>
                  <w:tcW w:w="1680" w:type="dxa"/>
                  <w:shd w:val="clear" w:color="auto" w:fill="auto"/>
                  <w:vAlign w:val="center"/>
                </w:tcPr>
                <w:p>
                  <w:pPr>
                    <w:pStyle w:val="48"/>
                    <w:jc w:val="center"/>
                    <w:rPr>
                      <w:rFonts w:hint="eastAsia" w:eastAsia="宋体"/>
                      <w:color w:val="000000" w:themeColor="text1"/>
                      <w:u w:val="singl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w:t>
                  </w:r>
                </w:p>
              </w:tc>
              <w:tc>
                <w:tcPr>
                  <w:tcW w:w="900" w:type="dxa"/>
                  <w:shd w:val="clear" w:color="auto" w:fill="auto"/>
                  <w:vAlign w:val="center"/>
                </w:tcPr>
                <w:p>
                  <w:pPr>
                    <w:pStyle w:val="48"/>
                    <w:jc w:val="center"/>
                    <w:rPr>
                      <w:rFonts w:hint="eastAsia" w:eastAsia="宋体"/>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1</w:t>
                  </w:r>
                </w:p>
              </w:tc>
              <w:tc>
                <w:tcPr>
                  <w:tcW w:w="966" w:type="dxa"/>
                  <w:shd w:val="clear" w:color="auto" w:fill="auto"/>
                  <w:vAlign w:val="center"/>
                </w:tcPr>
                <w:p>
                  <w:pPr>
                    <w:jc w:val="center"/>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shd w:val="clear" w:color="auto" w:fill="auto"/>
                  <w:vAlign w:val="center"/>
                </w:tcPr>
                <w:p>
                  <w:pPr>
                    <w:pStyle w:val="48"/>
                    <w:jc w:val="center"/>
                    <w:rPr>
                      <w:rFonts w:hint="default" w:eastAsia="宋体"/>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13</w:t>
                  </w:r>
                </w:p>
              </w:tc>
              <w:tc>
                <w:tcPr>
                  <w:tcW w:w="3570" w:type="dxa"/>
                  <w:shd w:val="clear" w:color="auto" w:fill="auto"/>
                  <w:vAlign w:val="center"/>
                </w:tcPr>
                <w:p>
                  <w:pPr>
                    <w:pStyle w:val="48"/>
                    <w:jc w:val="center"/>
                    <w:rPr>
                      <w:color w:val="000000" w:themeColor="text1"/>
                      <w:u w:val="single"/>
                      <w14:textFill>
                        <w14:solidFill>
                          <w14:schemeClr w14:val="tx1"/>
                        </w14:solidFill>
                      </w14:textFill>
                    </w:rPr>
                  </w:pPr>
                  <w:r>
                    <w:rPr>
                      <w:rFonts w:hint="eastAsia"/>
                      <w:color w:val="auto"/>
                      <w:u w:val="none"/>
                      <w:lang w:eastAsia="zh-CN"/>
                    </w:rPr>
                    <w:t>柴油发电机</w:t>
                  </w:r>
                </w:p>
              </w:tc>
              <w:tc>
                <w:tcPr>
                  <w:tcW w:w="1680" w:type="dxa"/>
                  <w:shd w:val="clear" w:color="auto" w:fill="auto"/>
                  <w:vAlign w:val="center"/>
                </w:tcPr>
                <w:p>
                  <w:pPr>
                    <w:pStyle w:val="48"/>
                    <w:jc w:val="center"/>
                    <w:rPr>
                      <w:color w:val="000000" w:themeColor="text1"/>
                      <w:u w:val="single"/>
                      <w14:textFill>
                        <w14:solidFill>
                          <w14:schemeClr w14:val="tx1"/>
                        </w14:solidFill>
                      </w14:textFill>
                    </w:rPr>
                  </w:pPr>
                  <w:r>
                    <w:rPr>
                      <w:rFonts w:hint="eastAsia" w:ascii="Times New Roman" w:hAnsi="Times New Roman" w:eastAsia="宋体" w:cs="Times New Roman"/>
                      <w:color w:val="auto"/>
                      <w:u w:val="none"/>
                      <w:lang w:val="en-US" w:eastAsia="zh-CN"/>
                    </w:rPr>
                    <w:t>50</w:t>
                  </w:r>
                  <w:r>
                    <w:rPr>
                      <w:rFonts w:hint="eastAsia" w:cs="Times New Roman"/>
                      <w:color w:val="auto"/>
                      <w:u w:val="none"/>
                      <w:lang w:val="en-US" w:eastAsia="zh-CN"/>
                    </w:rPr>
                    <w:t>k</w:t>
                  </w:r>
                  <w:r>
                    <w:rPr>
                      <w:rFonts w:hint="eastAsia" w:ascii="Times New Roman" w:hAnsi="Times New Roman" w:eastAsia="宋体" w:cs="Times New Roman"/>
                      <w:color w:val="auto"/>
                      <w:u w:val="none"/>
                      <w:lang w:val="en-US" w:eastAsia="zh-CN"/>
                    </w:rPr>
                    <w:t>W</w:t>
                  </w:r>
                </w:p>
              </w:tc>
              <w:tc>
                <w:tcPr>
                  <w:tcW w:w="900" w:type="dxa"/>
                  <w:shd w:val="clear" w:color="auto" w:fill="auto"/>
                  <w:vAlign w:val="center"/>
                </w:tcPr>
                <w:p>
                  <w:pPr>
                    <w:pStyle w:val="48"/>
                    <w:jc w:val="center"/>
                    <w:rPr>
                      <w:rFonts w:hint="eastAsia" w:eastAsia="宋体"/>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1</w:t>
                  </w:r>
                </w:p>
              </w:tc>
              <w:tc>
                <w:tcPr>
                  <w:tcW w:w="966" w:type="dxa"/>
                  <w:shd w:val="clear" w:color="auto" w:fill="auto"/>
                  <w:vAlign w:val="center"/>
                </w:tcPr>
                <w:p>
                  <w:pPr>
                    <w:jc w:val="center"/>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18" w:type="dxa"/>
                  <w:shd w:val="clear" w:color="auto" w:fill="auto"/>
                  <w:vAlign w:val="center"/>
                </w:tcPr>
                <w:p>
                  <w:pPr>
                    <w:pStyle w:val="48"/>
                    <w:jc w:val="center"/>
                    <w:rPr>
                      <w:rFonts w:hint="default"/>
                      <w:color w:val="auto"/>
                      <w:u w:val="none"/>
                      <w:lang w:val="en-US" w:eastAsia="zh-CN"/>
                    </w:rPr>
                  </w:pPr>
                  <w:r>
                    <w:rPr>
                      <w:rFonts w:hint="eastAsia"/>
                      <w:color w:val="auto"/>
                      <w:u w:val="none"/>
                      <w:lang w:val="en-US" w:eastAsia="zh-CN"/>
                    </w:rPr>
                    <w:t>14</w:t>
                  </w:r>
                </w:p>
              </w:tc>
              <w:tc>
                <w:tcPr>
                  <w:tcW w:w="3570" w:type="dxa"/>
                  <w:shd w:val="clear" w:color="auto" w:fill="auto"/>
                  <w:vAlign w:val="center"/>
                </w:tcPr>
                <w:p>
                  <w:pPr>
                    <w:pStyle w:val="48"/>
                    <w:jc w:val="center"/>
                    <w:rPr>
                      <w:rFonts w:hint="default"/>
                      <w:color w:val="auto"/>
                      <w:u w:val="none"/>
                      <w:lang w:val="en-US" w:eastAsia="zh-CN"/>
                    </w:rPr>
                  </w:pPr>
                  <w:r>
                    <w:rPr>
                      <w:rFonts w:hint="eastAsia"/>
                      <w:color w:val="auto"/>
                      <w:u w:val="none"/>
                      <w:lang w:val="en-US" w:eastAsia="zh-CN"/>
                    </w:rPr>
                    <w:t>一体化污水处理设备（</w:t>
                  </w:r>
                  <w:r>
                    <w:rPr>
                      <w:rFonts w:hint="eastAsia"/>
                      <w:color w:val="auto"/>
                      <w:u w:val="none"/>
                    </w:rPr>
                    <w:t>化粪池+格栅井+调节池+AO工艺+沉淀池+消毒</w:t>
                  </w:r>
                  <w:r>
                    <w:rPr>
                      <w:rFonts w:hint="eastAsia"/>
                      <w:color w:val="auto"/>
                      <w:u w:val="none"/>
                      <w:lang w:val="en-US" w:eastAsia="zh-CN"/>
                    </w:rPr>
                    <w:t>）</w:t>
                  </w:r>
                </w:p>
              </w:tc>
              <w:tc>
                <w:tcPr>
                  <w:tcW w:w="1680" w:type="dxa"/>
                  <w:shd w:val="clear" w:color="auto" w:fill="auto"/>
                  <w:vAlign w:val="center"/>
                </w:tcPr>
                <w:p>
                  <w:pPr>
                    <w:pStyle w:val="48"/>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w:t>
                  </w:r>
                </w:p>
              </w:tc>
              <w:tc>
                <w:tcPr>
                  <w:tcW w:w="900" w:type="dxa"/>
                  <w:shd w:val="clear" w:color="auto" w:fill="auto"/>
                  <w:vAlign w:val="center"/>
                </w:tcPr>
                <w:p>
                  <w:pPr>
                    <w:pStyle w:val="48"/>
                    <w:jc w:val="center"/>
                    <w:rPr>
                      <w:rFonts w:hint="default"/>
                      <w:color w:val="auto"/>
                      <w:u w:val="none"/>
                      <w:lang w:val="en-US" w:eastAsia="zh-CN"/>
                    </w:rPr>
                  </w:pPr>
                  <w:r>
                    <w:rPr>
                      <w:rFonts w:hint="eastAsia"/>
                      <w:color w:val="auto"/>
                      <w:u w:val="none"/>
                      <w:lang w:val="en-US" w:eastAsia="zh-CN"/>
                    </w:rPr>
                    <w:t>1</w:t>
                  </w:r>
                </w:p>
              </w:tc>
              <w:tc>
                <w:tcPr>
                  <w:tcW w:w="966" w:type="dxa"/>
                  <w:shd w:val="clear" w:color="auto" w:fill="auto"/>
                  <w:vAlign w:val="center"/>
                </w:tcPr>
                <w:p>
                  <w:pPr>
                    <w:jc w:val="center"/>
                    <w:rPr>
                      <w:rFonts w:hint="eastAsia"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台</w:t>
                  </w:r>
                </w:p>
              </w:tc>
            </w:tr>
          </w:tbl>
          <w:p>
            <w:pPr>
              <w:pStyle w:val="7"/>
              <w:numPr>
                <w:ilvl w:val="0"/>
                <w:numId w:val="2"/>
              </w:numPr>
              <w:ind w:firstLine="480"/>
              <w:rPr>
                <w:b/>
                <w:bCs/>
                <w:color w:val="000000" w:themeColor="text1"/>
                <w14:textFill>
                  <w14:solidFill>
                    <w14:schemeClr w14:val="tx1"/>
                  </w14:solidFill>
                </w14:textFill>
              </w:rPr>
            </w:pPr>
            <w:r>
              <w:rPr>
                <w:b/>
                <w:bCs/>
                <w:color w:val="000000" w:themeColor="text1"/>
                <w14:textFill>
                  <w14:solidFill>
                    <w14:schemeClr w14:val="tx1"/>
                  </w14:solidFill>
                </w14:textFill>
              </w:rPr>
              <w:t>主要原辅材料</w:t>
            </w:r>
            <w:bookmarkStart w:id="91" w:name="_GoBack"/>
            <w:bookmarkEnd w:id="91"/>
          </w:p>
          <w:p>
            <w:pPr>
              <w:pStyle w:val="7"/>
              <w:ind w:firstLine="480"/>
              <w:rPr>
                <w:color w:val="000000" w:themeColor="text1"/>
                <w14:textFill>
                  <w14:solidFill>
                    <w14:schemeClr w14:val="tx1"/>
                  </w14:solidFill>
                </w14:textFill>
              </w:rPr>
            </w:pPr>
            <w:r>
              <w:rPr>
                <w:color w:val="000000" w:themeColor="text1"/>
                <w14:textFill>
                  <w14:solidFill>
                    <w14:schemeClr w14:val="tx1"/>
                  </w14:solidFill>
                </w14:textFill>
              </w:rPr>
              <w:t>项目进行医疗诊疗活动主要使用的原辅材料及能源消耗见下表</w:t>
            </w:r>
            <w:r>
              <w:rPr>
                <w:rFonts w:hint="eastAsia"/>
                <w:color w:val="000000" w:themeColor="text1"/>
                <w14:textFill>
                  <w14:solidFill>
                    <w14:schemeClr w14:val="tx1"/>
                  </w14:solidFill>
                </w14:textFill>
              </w:rPr>
              <w:t>。</w:t>
            </w:r>
          </w:p>
          <w:p>
            <w:pPr>
              <w:pStyle w:val="49"/>
              <w:rPr>
                <w:rFonts w:hint="eastAsia" w:eastAsia="宋体"/>
                <w:color w:val="FF0000"/>
                <w:u w:val="none"/>
                <w:lang w:eastAsia="zh-CN"/>
              </w:rPr>
            </w:pPr>
            <w:r>
              <w:rPr>
                <w:color w:val="000000" w:themeColor="text1"/>
                <w:u w:val="none"/>
                <w14:textFill>
                  <w14:solidFill>
                    <w14:schemeClr w14:val="tx1"/>
                  </w14:solidFill>
                </w14:textFill>
              </w:rPr>
              <w:t>表2</w:t>
            </w:r>
            <w:r>
              <w:rPr>
                <w:rFonts w:hint="eastAsia"/>
                <w:color w:val="000000" w:themeColor="text1"/>
                <w:u w:val="none"/>
                <w14:textFill>
                  <w14:solidFill>
                    <w14:schemeClr w14:val="tx1"/>
                  </w14:solidFill>
                </w14:textFill>
              </w:rPr>
              <w:t>.1</w:t>
            </w:r>
            <w:r>
              <w:rPr>
                <w:color w:val="000000" w:themeColor="text1"/>
                <w:u w:val="none"/>
                <w14:textFill>
                  <w14:solidFill>
                    <w14:schemeClr w14:val="tx1"/>
                  </w14:solidFill>
                </w14:textFill>
              </w:rPr>
              <w:t>-3</w:t>
            </w:r>
            <w:r>
              <w:rPr>
                <w:rFonts w:hint="eastAsia"/>
                <w:color w:val="000000" w:themeColor="text1"/>
                <w:u w:val="none"/>
                <w14:textFill>
                  <w14:solidFill>
                    <w14:schemeClr w14:val="tx1"/>
                  </w14:solidFill>
                </w14:textFill>
              </w:rPr>
              <w:t>（1）</w:t>
            </w:r>
            <w:r>
              <w:rPr>
                <w:color w:val="000000" w:themeColor="text1"/>
                <w:u w:val="none"/>
                <w14:textFill>
                  <w14:solidFill>
                    <w14:schemeClr w14:val="tx1"/>
                  </w14:solidFill>
                </w14:textFill>
              </w:rPr>
              <w:t>项目主要原辅材料及能源消耗一览表</w:t>
            </w:r>
          </w:p>
          <w:tbl>
            <w:tblPr>
              <w:tblStyle w:val="31"/>
              <w:tblW w:w="7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1667"/>
              <w:gridCol w:w="1223"/>
              <w:gridCol w:w="1284"/>
              <w:gridCol w:w="1103"/>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dxa"/>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类别</w:t>
                  </w:r>
                </w:p>
              </w:tc>
              <w:tc>
                <w:tcPr>
                  <w:tcW w:w="1667" w:type="dxa"/>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名称</w:t>
                  </w:r>
                </w:p>
              </w:tc>
              <w:tc>
                <w:tcPr>
                  <w:tcW w:w="1223" w:type="dxa"/>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年消耗</w:t>
                  </w:r>
                </w:p>
              </w:tc>
              <w:tc>
                <w:tcPr>
                  <w:tcW w:w="1284" w:type="dxa"/>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最大储存量</w:t>
                  </w:r>
                </w:p>
              </w:tc>
              <w:tc>
                <w:tcPr>
                  <w:tcW w:w="1103" w:type="dxa"/>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来源</w:t>
                  </w:r>
                </w:p>
              </w:tc>
              <w:tc>
                <w:tcPr>
                  <w:tcW w:w="1662" w:type="dxa"/>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dxa"/>
                  <w:vMerge w:val="restart"/>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原辅料</w:t>
                  </w:r>
                </w:p>
              </w:tc>
              <w:tc>
                <w:tcPr>
                  <w:tcW w:w="1667" w:type="dxa"/>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各类药品</w:t>
                  </w:r>
                </w:p>
              </w:tc>
              <w:tc>
                <w:tcPr>
                  <w:tcW w:w="1223" w:type="dxa"/>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若干</w:t>
                  </w:r>
                </w:p>
              </w:tc>
              <w:tc>
                <w:tcPr>
                  <w:tcW w:w="1284" w:type="dxa"/>
                  <w:vAlign w:val="center"/>
                </w:tcPr>
                <w:p>
                  <w:pPr>
                    <w:pStyle w:val="48"/>
                    <w:jc w:val="center"/>
                    <w:rPr>
                      <w:rFonts w:hint="eastAsia" w:eastAsia="宋体"/>
                      <w:color w:val="000000" w:themeColor="text1"/>
                      <w:u w:val="none"/>
                      <w:lang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w:t>
                  </w:r>
                </w:p>
              </w:tc>
              <w:tc>
                <w:tcPr>
                  <w:tcW w:w="1103" w:type="dxa"/>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外购</w:t>
                  </w:r>
                </w:p>
              </w:tc>
              <w:tc>
                <w:tcPr>
                  <w:tcW w:w="1662" w:type="dxa"/>
                  <w:vMerge w:val="restart"/>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视具体经营情况而定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dxa"/>
                  <w:vMerge w:val="continue"/>
                  <w:vAlign w:val="center"/>
                </w:tcPr>
                <w:p>
                  <w:pPr>
                    <w:pStyle w:val="48"/>
                    <w:jc w:val="center"/>
                    <w:rPr>
                      <w:color w:val="000000" w:themeColor="text1"/>
                      <w:u w:val="none"/>
                      <w14:textFill>
                        <w14:solidFill>
                          <w14:schemeClr w14:val="tx1"/>
                        </w14:solidFill>
                      </w14:textFill>
                    </w:rPr>
                  </w:pPr>
                </w:p>
              </w:tc>
              <w:tc>
                <w:tcPr>
                  <w:tcW w:w="1667" w:type="dxa"/>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医疗器具（纱布、一次性注射器等）</w:t>
                  </w:r>
                </w:p>
              </w:tc>
              <w:tc>
                <w:tcPr>
                  <w:tcW w:w="1223" w:type="dxa"/>
                  <w:vAlign w:val="center"/>
                </w:tcPr>
                <w:p>
                  <w:pPr>
                    <w:pStyle w:val="48"/>
                    <w:jc w:val="center"/>
                    <w:rPr>
                      <w:rFonts w:hint="default" w:ascii="Times New Roman" w:hAnsi="Times New Roman" w:cs="Times New Roman" w:eastAsiaTheme="minorEastAsia"/>
                      <w:color w:val="000000" w:themeColor="text1"/>
                      <w:kern w:val="0"/>
                      <w:sz w:val="21"/>
                      <w:szCs w:val="21"/>
                      <w:u w:val="none"/>
                      <w:lang w:val="en-US" w:eastAsia="zh-CN" w:bidi="ar-SA"/>
                      <w14:textFill>
                        <w14:solidFill>
                          <w14:schemeClr w14:val="tx1"/>
                        </w14:solidFill>
                      </w14:textFill>
                    </w:rPr>
                  </w:pPr>
                  <w:r>
                    <w:rPr>
                      <w:rFonts w:hint="eastAsia"/>
                      <w:color w:val="000000" w:themeColor="text1"/>
                      <w:u w:val="none"/>
                      <w:lang w:val="en-US" w:eastAsia="zh-CN"/>
                      <w14:textFill>
                        <w14:solidFill>
                          <w14:schemeClr w14:val="tx1"/>
                        </w14:solidFill>
                      </w14:textFill>
                    </w:rPr>
                    <w:t>1.6t/a</w:t>
                  </w:r>
                </w:p>
              </w:tc>
              <w:tc>
                <w:tcPr>
                  <w:tcW w:w="1284" w:type="dxa"/>
                  <w:vAlign w:val="center"/>
                </w:tcPr>
                <w:p>
                  <w:pPr>
                    <w:pStyle w:val="48"/>
                    <w:jc w:val="center"/>
                    <w:rPr>
                      <w:rFonts w:hint="default" w:ascii="Times New Roman" w:hAnsi="Times New Roman" w:cs="Times New Roman" w:eastAsiaTheme="minorEastAsia"/>
                      <w:color w:val="000000" w:themeColor="text1"/>
                      <w:kern w:val="0"/>
                      <w:sz w:val="21"/>
                      <w:szCs w:val="21"/>
                      <w:u w:val="none"/>
                      <w:lang w:val="en-US" w:eastAsia="zh-CN" w:bidi="ar-SA"/>
                      <w14:textFill>
                        <w14:solidFill>
                          <w14:schemeClr w14:val="tx1"/>
                        </w14:solidFill>
                      </w14:textFill>
                    </w:rPr>
                  </w:pPr>
                  <w:r>
                    <w:rPr>
                      <w:rFonts w:hint="eastAsia"/>
                      <w:color w:val="000000" w:themeColor="text1"/>
                      <w:u w:val="none"/>
                      <w:lang w:val="en-US" w:eastAsia="zh-CN"/>
                      <w14:textFill>
                        <w14:solidFill>
                          <w14:schemeClr w14:val="tx1"/>
                        </w14:solidFill>
                      </w14:textFill>
                    </w:rPr>
                    <w:t>0.5t</w:t>
                  </w:r>
                </w:p>
              </w:tc>
              <w:tc>
                <w:tcPr>
                  <w:tcW w:w="1103" w:type="dxa"/>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外购</w:t>
                  </w:r>
                </w:p>
              </w:tc>
              <w:tc>
                <w:tcPr>
                  <w:tcW w:w="1662" w:type="dxa"/>
                  <w:vMerge w:val="continue"/>
                  <w:vAlign w:val="center"/>
                </w:tcPr>
                <w:p>
                  <w:pPr>
                    <w:pStyle w:val="48"/>
                    <w:jc w:val="center"/>
                    <w:rPr>
                      <w:color w:val="000000" w:themeColor="text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dxa"/>
                  <w:vMerge w:val="continue"/>
                  <w:vAlign w:val="center"/>
                </w:tcPr>
                <w:p>
                  <w:pPr>
                    <w:pStyle w:val="48"/>
                    <w:jc w:val="center"/>
                    <w:rPr>
                      <w:color w:val="000000" w:themeColor="text1"/>
                      <w:u w:val="none"/>
                      <w14:textFill>
                        <w14:solidFill>
                          <w14:schemeClr w14:val="tx1"/>
                        </w14:solidFill>
                      </w14:textFill>
                    </w:rPr>
                  </w:pPr>
                </w:p>
              </w:tc>
              <w:tc>
                <w:tcPr>
                  <w:tcW w:w="1667" w:type="dxa"/>
                  <w:vAlign w:val="center"/>
                </w:tcPr>
                <w:p>
                  <w:pPr>
                    <w:pStyle w:val="48"/>
                    <w:jc w:val="center"/>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酒精</w:t>
                  </w:r>
                </w:p>
              </w:tc>
              <w:tc>
                <w:tcPr>
                  <w:tcW w:w="1223" w:type="dxa"/>
                  <w:vAlign w:val="center"/>
                </w:tcPr>
                <w:p>
                  <w:pPr>
                    <w:pStyle w:val="48"/>
                    <w:jc w:val="center"/>
                    <w:rPr>
                      <w:rFonts w:hint="default" w:ascii="Times New Roman" w:hAnsi="Times New Roman" w:cs="Times New Roman" w:eastAsiaTheme="minorEastAsia"/>
                      <w:color w:val="000000" w:themeColor="text1"/>
                      <w:kern w:val="0"/>
                      <w:sz w:val="21"/>
                      <w:szCs w:val="21"/>
                      <w:u w:val="none"/>
                      <w:lang w:val="en-US" w:eastAsia="zh-CN" w:bidi="ar-SA"/>
                      <w14:textFill>
                        <w14:solidFill>
                          <w14:schemeClr w14:val="tx1"/>
                        </w14:solidFill>
                      </w14:textFill>
                    </w:rPr>
                  </w:pPr>
                  <w:r>
                    <w:rPr>
                      <w:rFonts w:hint="eastAsia"/>
                      <w:color w:val="000000" w:themeColor="text1"/>
                      <w:u w:val="none"/>
                      <w:lang w:val="en-US" w:eastAsia="zh-CN"/>
                      <w14:textFill>
                        <w14:solidFill>
                          <w14:schemeClr w14:val="tx1"/>
                        </w14:solidFill>
                      </w14:textFill>
                    </w:rPr>
                    <w:t>0.06t/a</w:t>
                  </w:r>
                </w:p>
              </w:tc>
              <w:tc>
                <w:tcPr>
                  <w:tcW w:w="1284" w:type="dxa"/>
                  <w:vAlign w:val="center"/>
                </w:tcPr>
                <w:p>
                  <w:pPr>
                    <w:pStyle w:val="48"/>
                    <w:jc w:val="center"/>
                    <w:rPr>
                      <w:rFonts w:hint="default" w:ascii="Times New Roman" w:hAnsi="Times New Roman" w:cs="Times New Roman" w:eastAsiaTheme="minorEastAsia"/>
                      <w:color w:val="000000" w:themeColor="text1"/>
                      <w:kern w:val="0"/>
                      <w:sz w:val="21"/>
                      <w:szCs w:val="21"/>
                      <w:u w:val="none"/>
                      <w:lang w:val="en-US" w:eastAsia="zh-CN" w:bidi="ar-SA"/>
                      <w14:textFill>
                        <w14:solidFill>
                          <w14:schemeClr w14:val="tx1"/>
                        </w14:solidFill>
                      </w14:textFill>
                    </w:rPr>
                  </w:pPr>
                  <w:r>
                    <w:rPr>
                      <w:rFonts w:hint="eastAsia"/>
                      <w:color w:val="000000" w:themeColor="text1"/>
                      <w:u w:val="none"/>
                      <w:lang w:val="en-US" w:eastAsia="zh-CN"/>
                      <w14:textFill>
                        <w14:solidFill>
                          <w14:schemeClr w14:val="tx1"/>
                        </w14:solidFill>
                      </w14:textFill>
                    </w:rPr>
                    <w:t>0.01t</w:t>
                  </w:r>
                </w:p>
              </w:tc>
              <w:tc>
                <w:tcPr>
                  <w:tcW w:w="1103" w:type="dxa"/>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外购</w:t>
                  </w:r>
                </w:p>
              </w:tc>
              <w:tc>
                <w:tcPr>
                  <w:tcW w:w="1662" w:type="dxa"/>
                  <w:vMerge w:val="continue"/>
                  <w:vAlign w:val="center"/>
                </w:tcPr>
                <w:p>
                  <w:pPr>
                    <w:pStyle w:val="48"/>
                    <w:jc w:val="center"/>
                    <w:rPr>
                      <w:color w:val="000000" w:themeColor="text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dxa"/>
                  <w:vMerge w:val="continue"/>
                  <w:vAlign w:val="center"/>
                </w:tcPr>
                <w:p>
                  <w:pPr>
                    <w:pStyle w:val="48"/>
                    <w:jc w:val="center"/>
                    <w:rPr>
                      <w:color w:val="000000" w:themeColor="text1"/>
                      <w:u w:val="none"/>
                      <w14:textFill>
                        <w14:solidFill>
                          <w14:schemeClr w14:val="tx1"/>
                        </w14:solidFill>
                      </w14:textFill>
                    </w:rPr>
                  </w:pPr>
                </w:p>
              </w:tc>
              <w:tc>
                <w:tcPr>
                  <w:tcW w:w="1667" w:type="dxa"/>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络合碘</w:t>
                  </w:r>
                </w:p>
              </w:tc>
              <w:tc>
                <w:tcPr>
                  <w:tcW w:w="1223" w:type="dxa"/>
                  <w:vAlign w:val="center"/>
                </w:tcPr>
                <w:p>
                  <w:pPr>
                    <w:pStyle w:val="48"/>
                    <w:jc w:val="center"/>
                    <w:rPr>
                      <w:rFonts w:hint="default" w:ascii="Times New Roman" w:hAnsi="Times New Roman" w:cs="Times New Roman" w:eastAsiaTheme="minorEastAsia"/>
                      <w:color w:val="000000" w:themeColor="text1"/>
                      <w:kern w:val="0"/>
                      <w:sz w:val="21"/>
                      <w:szCs w:val="21"/>
                      <w:u w:val="none"/>
                      <w:lang w:val="en-US" w:eastAsia="zh-CN" w:bidi="ar-SA"/>
                      <w14:textFill>
                        <w14:solidFill>
                          <w14:schemeClr w14:val="tx1"/>
                        </w14:solidFill>
                      </w14:textFill>
                    </w:rPr>
                  </w:pPr>
                  <w:r>
                    <w:rPr>
                      <w:rFonts w:hint="eastAsia"/>
                      <w:color w:val="000000" w:themeColor="text1"/>
                      <w:u w:val="none"/>
                      <w:lang w:val="en-US" w:eastAsia="zh-CN"/>
                      <w14:textFill>
                        <w14:solidFill>
                          <w14:schemeClr w14:val="tx1"/>
                        </w14:solidFill>
                      </w14:textFill>
                    </w:rPr>
                    <w:t>0.264t/a</w:t>
                  </w:r>
                </w:p>
              </w:tc>
              <w:tc>
                <w:tcPr>
                  <w:tcW w:w="1284" w:type="dxa"/>
                  <w:vAlign w:val="center"/>
                </w:tcPr>
                <w:p>
                  <w:pPr>
                    <w:pStyle w:val="48"/>
                    <w:jc w:val="center"/>
                    <w:rPr>
                      <w:rFonts w:hint="default" w:ascii="Times New Roman" w:hAnsi="Times New Roman" w:eastAsia="宋体" w:cs="Times New Roman"/>
                      <w:kern w:val="0"/>
                      <w:sz w:val="21"/>
                      <w:szCs w:val="21"/>
                      <w:u w:val="none"/>
                      <w:lang w:val="en-US" w:eastAsia="zh-CN" w:bidi="ar-SA"/>
                    </w:rPr>
                  </w:pPr>
                  <w:r>
                    <w:rPr>
                      <w:rFonts w:hint="eastAsia"/>
                      <w:u w:val="none"/>
                      <w:lang w:val="en-US" w:eastAsia="zh-CN"/>
                    </w:rPr>
                    <w:t>0.001t</w:t>
                  </w:r>
                </w:p>
              </w:tc>
              <w:tc>
                <w:tcPr>
                  <w:tcW w:w="1103" w:type="dxa"/>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外购</w:t>
                  </w:r>
                </w:p>
              </w:tc>
              <w:tc>
                <w:tcPr>
                  <w:tcW w:w="1662" w:type="dxa"/>
                  <w:vMerge w:val="continue"/>
                  <w:vAlign w:val="center"/>
                </w:tcPr>
                <w:p>
                  <w:pPr>
                    <w:pStyle w:val="48"/>
                    <w:jc w:val="center"/>
                    <w:rPr>
                      <w:color w:val="000000" w:themeColor="text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dxa"/>
                  <w:vMerge w:val="continue"/>
                  <w:vAlign w:val="center"/>
                </w:tcPr>
                <w:p>
                  <w:pPr>
                    <w:pStyle w:val="48"/>
                    <w:jc w:val="center"/>
                    <w:rPr>
                      <w:color w:val="000000" w:themeColor="text1"/>
                      <w:u w:val="none"/>
                      <w14:textFill>
                        <w14:solidFill>
                          <w14:schemeClr w14:val="tx1"/>
                        </w14:solidFill>
                      </w14:textFill>
                    </w:rPr>
                  </w:pPr>
                </w:p>
              </w:tc>
              <w:tc>
                <w:tcPr>
                  <w:tcW w:w="1667" w:type="dxa"/>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84消毒液</w:t>
                  </w:r>
                </w:p>
              </w:tc>
              <w:tc>
                <w:tcPr>
                  <w:tcW w:w="1223" w:type="dxa"/>
                  <w:vAlign w:val="center"/>
                </w:tcPr>
                <w:p>
                  <w:pPr>
                    <w:pStyle w:val="48"/>
                    <w:jc w:val="center"/>
                    <w:rPr>
                      <w:rFonts w:hint="default" w:ascii="Times New Roman" w:hAnsi="Times New Roman" w:cs="Times New Roman" w:eastAsiaTheme="minorEastAsia"/>
                      <w:color w:val="000000" w:themeColor="text1"/>
                      <w:kern w:val="0"/>
                      <w:sz w:val="21"/>
                      <w:szCs w:val="21"/>
                      <w:u w:val="none"/>
                      <w:lang w:val="en-US" w:eastAsia="zh-CN" w:bidi="ar-SA"/>
                      <w14:textFill>
                        <w14:solidFill>
                          <w14:schemeClr w14:val="tx1"/>
                        </w14:solidFill>
                      </w14:textFill>
                    </w:rPr>
                  </w:pPr>
                  <w:r>
                    <w:rPr>
                      <w:rFonts w:hint="eastAsia"/>
                      <w:color w:val="000000" w:themeColor="text1"/>
                      <w:u w:val="none"/>
                      <w:lang w:val="en-US" w:eastAsia="zh-CN"/>
                      <w14:textFill>
                        <w14:solidFill>
                          <w14:schemeClr w14:val="tx1"/>
                        </w14:solidFill>
                      </w14:textFill>
                    </w:rPr>
                    <w:t>0.504t/a</w:t>
                  </w:r>
                </w:p>
              </w:tc>
              <w:tc>
                <w:tcPr>
                  <w:tcW w:w="1284" w:type="dxa"/>
                  <w:vAlign w:val="center"/>
                </w:tcPr>
                <w:p>
                  <w:pPr>
                    <w:pStyle w:val="48"/>
                    <w:jc w:val="center"/>
                    <w:rPr>
                      <w:rFonts w:hint="default" w:ascii="Times New Roman" w:hAnsi="Times New Roman" w:cs="Times New Roman" w:eastAsiaTheme="minorEastAsia"/>
                      <w:color w:val="000000" w:themeColor="text1"/>
                      <w:kern w:val="0"/>
                      <w:sz w:val="21"/>
                      <w:szCs w:val="21"/>
                      <w:u w:val="none"/>
                      <w:lang w:val="en-US" w:eastAsia="zh-CN" w:bidi="ar-SA"/>
                      <w14:textFill>
                        <w14:solidFill>
                          <w14:schemeClr w14:val="tx1"/>
                        </w14:solidFill>
                      </w14:textFill>
                    </w:rPr>
                  </w:pPr>
                  <w:r>
                    <w:rPr>
                      <w:rFonts w:hint="eastAsia"/>
                      <w:color w:val="000000" w:themeColor="text1"/>
                      <w:u w:val="none"/>
                      <w:lang w:val="en-US" w:eastAsia="zh-CN"/>
                      <w14:textFill>
                        <w14:solidFill>
                          <w14:schemeClr w14:val="tx1"/>
                        </w14:solidFill>
                      </w14:textFill>
                    </w:rPr>
                    <w:t>0.001t</w:t>
                  </w:r>
                </w:p>
              </w:tc>
              <w:tc>
                <w:tcPr>
                  <w:tcW w:w="1103" w:type="dxa"/>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外购</w:t>
                  </w:r>
                </w:p>
              </w:tc>
              <w:tc>
                <w:tcPr>
                  <w:tcW w:w="1662" w:type="dxa"/>
                  <w:vMerge w:val="continue"/>
                  <w:vAlign w:val="center"/>
                </w:tcPr>
                <w:p>
                  <w:pPr>
                    <w:pStyle w:val="48"/>
                    <w:jc w:val="center"/>
                    <w:rPr>
                      <w:color w:val="000000" w:themeColor="text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dxa"/>
                  <w:vMerge w:val="continue"/>
                  <w:vAlign w:val="center"/>
                </w:tcPr>
                <w:p>
                  <w:pPr>
                    <w:pStyle w:val="48"/>
                    <w:jc w:val="center"/>
                    <w:rPr>
                      <w:color w:val="000000" w:themeColor="text1"/>
                      <w:u w:val="none"/>
                      <w14:textFill>
                        <w14:solidFill>
                          <w14:schemeClr w14:val="tx1"/>
                        </w14:solidFill>
                      </w14:textFill>
                    </w:rPr>
                  </w:pPr>
                </w:p>
              </w:tc>
              <w:tc>
                <w:tcPr>
                  <w:tcW w:w="1667" w:type="dxa"/>
                  <w:vAlign w:val="center"/>
                </w:tcPr>
                <w:p>
                  <w:pPr>
                    <w:pStyle w:val="48"/>
                    <w:jc w:val="center"/>
                    <w:rPr>
                      <w:color w:val="000000" w:themeColor="text1"/>
                      <w:u w:val="single"/>
                      <w14:textFill>
                        <w14:solidFill>
                          <w14:schemeClr w14:val="tx1"/>
                        </w14:solidFill>
                      </w14:textFill>
                    </w:rPr>
                  </w:pPr>
                  <w:r>
                    <w:rPr>
                      <w:rFonts w:hint="eastAsia"/>
                      <w:color w:val="auto"/>
                      <w:u w:val="single"/>
                    </w:rPr>
                    <w:t>二氯异氰尿酸钠</w:t>
                  </w:r>
                </w:p>
              </w:tc>
              <w:tc>
                <w:tcPr>
                  <w:tcW w:w="1223" w:type="dxa"/>
                  <w:vAlign w:val="center"/>
                </w:tcPr>
                <w:p>
                  <w:pPr>
                    <w:pStyle w:val="48"/>
                    <w:jc w:val="center"/>
                    <w:rPr>
                      <w:rFonts w:hint="default" w:ascii="Times New Roman" w:hAnsi="Times New Roman" w:cs="Times New Roman" w:eastAsiaTheme="minorEastAsia"/>
                      <w:color w:val="000000" w:themeColor="text1"/>
                      <w:kern w:val="0"/>
                      <w:sz w:val="21"/>
                      <w:szCs w:val="21"/>
                      <w:u w:val="single"/>
                      <w:lang w:val="en-US" w:eastAsia="zh-CN" w:bidi="ar-SA"/>
                      <w14:textFill>
                        <w14:solidFill>
                          <w14:schemeClr w14:val="tx1"/>
                        </w14:solidFill>
                      </w14:textFill>
                    </w:rPr>
                  </w:pPr>
                  <w:r>
                    <w:rPr>
                      <w:rFonts w:hint="eastAsia"/>
                      <w:color w:val="000000" w:themeColor="text1"/>
                      <w:u w:val="single"/>
                      <w:lang w:val="en-US" w:eastAsia="zh-CN"/>
                      <w14:textFill>
                        <w14:solidFill>
                          <w14:schemeClr w14:val="tx1"/>
                        </w14:solidFill>
                      </w14:textFill>
                    </w:rPr>
                    <w:t>0.048t/a</w:t>
                  </w:r>
                </w:p>
              </w:tc>
              <w:tc>
                <w:tcPr>
                  <w:tcW w:w="1284" w:type="dxa"/>
                  <w:vAlign w:val="center"/>
                </w:tcPr>
                <w:p>
                  <w:pPr>
                    <w:pStyle w:val="48"/>
                    <w:jc w:val="center"/>
                    <w:rPr>
                      <w:rFonts w:hint="default" w:ascii="Times New Roman" w:hAnsi="Times New Roman" w:cs="Times New Roman" w:eastAsiaTheme="minorEastAsia"/>
                      <w:color w:val="000000" w:themeColor="text1"/>
                      <w:kern w:val="0"/>
                      <w:sz w:val="21"/>
                      <w:szCs w:val="21"/>
                      <w:u w:val="single"/>
                      <w:lang w:val="en-US" w:eastAsia="zh-CN" w:bidi="ar-SA"/>
                      <w14:textFill>
                        <w14:solidFill>
                          <w14:schemeClr w14:val="tx1"/>
                        </w14:solidFill>
                      </w14:textFill>
                    </w:rPr>
                  </w:pPr>
                  <w:r>
                    <w:rPr>
                      <w:rFonts w:hint="eastAsia"/>
                      <w:color w:val="000000" w:themeColor="text1"/>
                      <w:u w:val="single"/>
                      <w:lang w:val="en-US" w:eastAsia="zh-CN"/>
                      <w14:textFill>
                        <w14:solidFill>
                          <w14:schemeClr w14:val="tx1"/>
                        </w14:solidFill>
                      </w14:textFill>
                    </w:rPr>
                    <w:t>0.005t</w:t>
                  </w:r>
                </w:p>
              </w:tc>
              <w:tc>
                <w:tcPr>
                  <w:tcW w:w="1103" w:type="dxa"/>
                  <w:vAlign w:val="center"/>
                </w:tcPr>
                <w:p>
                  <w:pPr>
                    <w:pStyle w:val="48"/>
                    <w:jc w:val="center"/>
                    <w:rPr>
                      <w:color w:val="000000" w:themeColor="text1"/>
                      <w:u w:val="single"/>
                      <w14:textFill>
                        <w14:solidFill>
                          <w14:schemeClr w14:val="tx1"/>
                        </w14:solidFill>
                      </w14:textFill>
                    </w:rPr>
                  </w:pPr>
                  <w:r>
                    <w:rPr>
                      <w:color w:val="000000" w:themeColor="text1"/>
                      <w:u w:val="single"/>
                      <w14:textFill>
                        <w14:solidFill>
                          <w14:schemeClr w14:val="tx1"/>
                        </w14:solidFill>
                      </w14:textFill>
                    </w:rPr>
                    <w:t>外购</w:t>
                  </w:r>
                </w:p>
              </w:tc>
              <w:tc>
                <w:tcPr>
                  <w:tcW w:w="1662" w:type="dxa"/>
                  <w:vAlign w:val="center"/>
                </w:tcPr>
                <w:p>
                  <w:pPr>
                    <w:pStyle w:val="48"/>
                    <w:jc w:val="center"/>
                    <w:rPr>
                      <w:color w:val="000000" w:themeColor="text1"/>
                      <w:u w:val="single"/>
                      <w14:textFill>
                        <w14:solidFill>
                          <w14:schemeClr w14:val="tx1"/>
                        </w14:solidFill>
                      </w14:textFill>
                    </w:rPr>
                  </w:pPr>
                  <w:r>
                    <w:rPr>
                      <w:color w:val="000000" w:themeColor="text1"/>
                      <w:u w:val="single"/>
                      <w14:textFill>
                        <w14:solidFill>
                          <w14:schemeClr w14:val="tx1"/>
                        </w14:solidFill>
                      </w14:textFill>
                    </w:rPr>
                    <w:t>污水消毒用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dxa"/>
                  <w:vMerge w:val="continue"/>
                  <w:vAlign w:val="center"/>
                </w:tcPr>
                <w:p>
                  <w:pPr>
                    <w:pStyle w:val="48"/>
                    <w:jc w:val="center"/>
                    <w:rPr>
                      <w:color w:val="000000" w:themeColor="text1"/>
                      <w:u w:val="none"/>
                      <w14:textFill>
                        <w14:solidFill>
                          <w14:schemeClr w14:val="tx1"/>
                        </w14:solidFill>
                      </w14:textFill>
                    </w:rPr>
                  </w:pPr>
                </w:p>
              </w:tc>
              <w:tc>
                <w:tcPr>
                  <w:tcW w:w="1667" w:type="dxa"/>
                  <w:vAlign w:val="center"/>
                </w:tcPr>
                <w:p>
                  <w:pPr>
                    <w:pStyle w:val="48"/>
                    <w:jc w:val="center"/>
                    <w:rPr>
                      <w:rFonts w:hint="eastAsia" w:eastAsia="宋体"/>
                      <w:color w:val="auto"/>
                      <w:u w:val="single"/>
                      <w:lang w:val="en-US" w:eastAsia="zh-CN"/>
                    </w:rPr>
                  </w:pPr>
                  <w:r>
                    <w:rPr>
                      <w:rFonts w:hint="eastAsia"/>
                      <w:color w:val="auto"/>
                      <w:u w:val="single"/>
                      <w:lang w:val="en-US" w:eastAsia="zh-CN"/>
                    </w:rPr>
                    <w:t>石灰</w:t>
                  </w:r>
                </w:p>
              </w:tc>
              <w:tc>
                <w:tcPr>
                  <w:tcW w:w="1223" w:type="dxa"/>
                  <w:vAlign w:val="center"/>
                </w:tcPr>
                <w:p>
                  <w:pPr>
                    <w:pStyle w:val="48"/>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0.01t/a</w:t>
                  </w:r>
                </w:p>
              </w:tc>
              <w:tc>
                <w:tcPr>
                  <w:tcW w:w="1284" w:type="dxa"/>
                  <w:vAlign w:val="center"/>
                </w:tcPr>
                <w:p>
                  <w:pPr>
                    <w:pStyle w:val="48"/>
                    <w:jc w:val="center"/>
                    <w:rPr>
                      <w:rFonts w:hint="default" w:eastAsia="宋体"/>
                      <w:color w:val="000000" w:themeColor="text1"/>
                      <w:u w:val="single"/>
                      <w:lang w:val="en-US" w:eastAsia="zh-CN"/>
                      <w14:textFill>
                        <w14:solidFill>
                          <w14:schemeClr w14:val="tx1"/>
                        </w14:solidFill>
                      </w14:textFill>
                    </w:rPr>
                  </w:pPr>
                  <w:r>
                    <w:rPr>
                      <w:rFonts w:hint="eastAsia"/>
                      <w:u w:val="single"/>
                      <w:lang w:val="en-US" w:eastAsia="zh-CN"/>
                    </w:rPr>
                    <w:t>0.005t</w:t>
                  </w:r>
                </w:p>
              </w:tc>
              <w:tc>
                <w:tcPr>
                  <w:tcW w:w="1103" w:type="dxa"/>
                  <w:vAlign w:val="center"/>
                </w:tcPr>
                <w:p>
                  <w:pPr>
                    <w:pStyle w:val="48"/>
                    <w:jc w:val="center"/>
                    <w:rPr>
                      <w:color w:val="000000" w:themeColor="text1"/>
                      <w:u w:val="single"/>
                      <w14:textFill>
                        <w14:solidFill>
                          <w14:schemeClr w14:val="tx1"/>
                        </w14:solidFill>
                      </w14:textFill>
                    </w:rPr>
                  </w:pPr>
                  <w:r>
                    <w:rPr>
                      <w:color w:val="000000" w:themeColor="text1"/>
                      <w:u w:val="single"/>
                      <w14:textFill>
                        <w14:solidFill>
                          <w14:schemeClr w14:val="tx1"/>
                        </w14:solidFill>
                      </w14:textFill>
                    </w:rPr>
                    <w:t>外购</w:t>
                  </w:r>
                </w:p>
              </w:tc>
              <w:tc>
                <w:tcPr>
                  <w:tcW w:w="1662" w:type="dxa"/>
                  <w:vAlign w:val="center"/>
                </w:tcPr>
                <w:p>
                  <w:pPr>
                    <w:pStyle w:val="48"/>
                    <w:jc w:val="center"/>
                    <w:rPr>
                      <w:rFonts w:hint="eastAsia"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污泥消毒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3" w:type="dxa"/>
                  <w:vMerge w:val="restart"/>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能源</w:t>
                  </w:r>
                </w:p>
              </w:tc>
              <w:tc>
                <w:tcPr>
                  <w:tcW w:w="1667" w:type="dxa"/>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电</w:t>
                  </w:r>
                </w:p>
              </w:tc>
              <w:tc>
                <w:tcPr>
                  <w:tcW w:w="1223" w:type="dxa"/>
                  <w:vAlign w:val="center"/>
                </w:tcPr>
                <w:p>
                  <w:pPr>
                    <w:pStyle w:val="48"/>
                    <w:jc w:val="center"/>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t>8</w:t>
                  </w:r>
                  <w:r>
                    <w:rPr>
                      <w:color w:val="000000" w:themeColor="text1"/>
                      <w:u w:val="none"/>
                      <w14:textFill>
                        <w14:solidFill>
                          <w14:schemeClr w14:val="tx1"/>
                        </w14:solidFill>
                      </w14:textFill>
                    </w:rPr>
                    <w:t>万kwh/a</w:t>
                  </w:r>
                </w:p>
              </w:tc>
              <w:tc>
                <w:tcPr>
                  <w:tcW w:w="1284" w:type="dxa"/>
                  <w:vAlign w:val="center"/>
                </w:tcPr>
                <w:p>
                  <w:pPr>
                    <w:pStyle w:val="48"/>
                    <w:jc w:val="center"/>
                    <w:rPr>
                      <w:rFonts w:hint="eastAsia" w:eastAsia="宋体"/>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w:t>
                  </w:r>
                </w:p>
              </w:tc>
              <w:tc>
                <w:tcPr>
                  <w:tcW w:w="1103" w:type="dxa"/>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市政电网</w:t>
                  </w:r>
                </w:p>
              </w:tc>
              <w:tc>
                <w:tcPr>
                  <w:tcW w:w="1662" w:type="dxa"/>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3" w:type="dxa"/>
                  <w:vMerge w:val="continue"/>
                  <w:vAlign w:val="center"/>
                </w:tcPr>
                <w:p>
                  <w:pPr>
                    <w:pStyle w:val="48"/>
                    <w:jc w:val="center"/>
                    <w:rPr>
                      <w:color w:val="000000" w:themeColor="text1"/>
                      <w:u w:val="none"/>
                      <w14:textFill>
                        <w14:solidFill>
                          <w14:schemeClr w14:val="tx1"/>
                        </w14:solidFill>
                      </w14:textFill>
                    </w:rPr>
                  </w:pPr>
                </w:p>
              </w:tc>
              <w:tc>
                <w:tcPr>
                  <w:tcW w:w="1667" w:type="dxa"/>
                  <w:vAlign w:val="center"/>
                </w:tcPr>
                <w:p>
                  <w:pPr>
                    <w:pStyle w:val="48"/>
                    <w:jc w:val="center"/>
                    <w:rPr>
                      <w:rFonts w:hint="eastAsia" w:eastAsia="宋体"/>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柴油</w:t>
                  </w:r>
                </w:p>
              </w:tc>
              <w:tc>
                <w:tcPr>
                  <w:tcW w:w="1223" w:type="dxa"/>
                  <w:vAlign w:val="center"/>
                </w:tcPr>
                <w:p>
                  <w:pPr>
                    <w:pStyle w:val="48"/>
                    <w:jc w:val="center"/>
                    <w:rPr>
                      <w:rFonts w:hint="default"/>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10L</w:t>
                  </w:r>
                </w:p>
              </w:tc>
              <w:tc>
                <w:tcPr>
                  <w:tcW w:w="1284" w:type="dxa"/>
                  <w:vAlign w:val="center"/>
                </w:tcPr>
                <w:p>
                  <w:pPr>
                    <w:pStyle w:val="48"/>
                    <w:jc w:val="center"/>
                    <w:rPr>
                      <w:rFonts w:hint="default"/>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w:t>
                  </w:r>
                </w:p>
              </w:tc>
              <w:tc>
                <w:tcPr>
                  <w:tcW w:w="1103" w:type="dxa"/>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外购</w:t>
                  </w:r>
                </w:p>
              </w:tc>
              <w:tc>
                <w:tcPr>
                  <w:tcW w:w="1662" w:type="dxa"/>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color w:val="000000" w:themeColor="text1"/>
                      <w:u w:val="none"/>
                      <w14:textFill>
                        <w14:solidFill>
                          <w14:schemeClr w14:val="tx1"/>
                        </w14:solidFill>
                      </w14:textFill>
                    </w:rPr>
                  </w:pPr>
                  <w:r>
                    <w:rPr>
                      <w:rFonts w:hint="eastAsia"/>
                      <w:color w:val="auto"/>
                      <w:sz w:val="21"/>
                      <w:szCs w:val="21"/>
                      <w:u w:val="none" w:color="auto"/>
                      <w:lang w:val="en-US" w:eastAsia="zh-CN"/>
                    </w:rPr>
                    <w:t>医院内不储存，暂未使用过，需要时外购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dxa"/>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水</w:t>
                  </w:r>
                </w:p>
              </w:tc>
              <w:tc>
                <w:tcPr>
                  <w:tcW w:w="1667" w:type="dxa"/>
                  <w:vAlign w:val="center"/>
                </w:tcPr>
                <w:p>
                  <w:pPr>
                    <w:pStyle w:val="48"/>
                    <w:jc w:val="center"/>
                    <w:rPr>
                      <w:rFonts w:hint="default" w:eastAsia="宋体"/>
                      <w:color w:val="000000" w:themeColor="text1"/>
                      <w:u w:val="none"/>
                      <w:lang w:val="en-US" w:eastAsia="zh-CN"/>
                      <w14:textFill>
                        <w14:solidFill>
                          <w14:schemeClr w14:val="tx1"/>
                        </w14:solidFill>
                      </w14:textFill>
                    </w:rPr>
                  </w:pPr>
                  <w:r>
                    <w:rPr>
                      <w:rFonts w:hint="eastAsia"/>
                      <w:color w:val="auto"/>
                      <w:u w:val="none"/>
                      <w:lang w:val="en-US" w:eastAsia="zh-CN"/>
                    </w:rPr>
                    <w:t>井水/自来水</w:t>
                  </w:r>
                </w:p>
              </w:tc>
              <w:tc>
                <w:tcPr>
                  <w:tcW w:w="1223" w:type="dxa"/>
                  <w:vAlign w:val="center"/>
                </w:tcPr>
                <w:p>
                  <w:pPr>
                    <w:pStyle w:val="48"/>
                    <w:jc w:val="center"/>
                    <w:rPr>
                      <w:color w:val="000000" w:themeColor="text1"/>
                      <w:u w:val="none"/>
                      <w14:textFill>
                        <w14:solidFill>
                          <w14:schemeClr w14:val="tx1"/>
                        </w14:solidFill>
                      </w14:textFill>
                    </w:rPr>
                  </w:pPr>
                  <w:r>
                    <w:rPr>
                      <w:rFonts w:hint="eastAsia"/>
                      <w:color w:val="000000" w:themeColor="text1"/>
                      <w:u w:val="single"/>
                      <w:shd w:val="clear"/>
                      <w:lang w:val="en-US" w:eastAsia="zh-CN"/>
                      <w14:textFill>
                        <w14:solidFill>
                          <w14:schemeClr w14:val="tx1"/>
                        </w14:solidFill>
                      </w14:textFill>
                    </w:rPr>
                    <w:t>4361.75</w:t>
                  </w:r>
                  <w:r>
                    <w:rPr>
                      <w:color w:val="000000" w:themeColor="text1"/>
                      <w:u w:val="none"/>
                      <w14:textFill>
                        <w14:solidFill>
                          <w14:schemeClr w14:val="tx1"/>
                        </w14:solidFill>
                      </w14:textFill>
                    </w:rPr>
                    <w:t>m³/a</w:t>
                  </w:r>
                </w:p>
              </w:tc>
              <w:tc>
                <w:tcPr>
                  <w:tcW w:w="1284" w:type="dxa"/>
                  <w:vAlign w:val="center"/>
                </w:tcPr>
                <w:p>
                  <w:pPr>
                    <w:pStyle w:val="48"/>
                    <w:jc w:val="center"/>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t>/</w:t>
                  </w:r>
                </w:p>
              </w:tc>
              <w:tc>
                <w:tcPr>
                  <w:tcW w:w="1103" w:type="dxa"/>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市政供水</w:t>
                  </w:r>
                </w:p>
              </w:tc>
              <w:tc>
                <w:tcPr>
                  <w:tcW w:w="1662" w:type="dxa"/>
                  <w:vAlign w:val="center"/>
                </w:tcPr>
                <w:p>
                  <w:pPr>
                    <w:pStyle w:val="48"/>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t>/</w:t>
                  </w:r>
                </w:p>
              </w:tc>
            </w:tr>
          </w:tbl>
          <w:p>
            <w:pPr>
              <w:pStyle w:val="57"/>
              <w:spacing w:before="171"/>
              <w:ind w:left="593"/>
              <w:rPr>
                <w:color w:val="000000" w:themeColor="text1"/>
                <w14:textFill>
                  <w14:solidFill>
                    <w14:schemeClr w14:val="tx1"/>
                  </w14:solidFill>
                </w14:textFill>
              </w:rPr>
            </w:pPr>
            <w:r>
              <w:rPr>
                <w:color w:val="000000" w:themeColor="text1"/>
                <w14:textFill>
                  <w14:solidFill>
                    <w14:schemeClr w14:val="tx1"/>
                  </w14:solidFill>
                </w14:textFill>
              </w:rPr>
              <w:t>部分原辅材料理化性质如下：</w:t>
            </w:r>
          </w:p>
          <w:p>
            <w:pPr>
              <w:pStyle w:val="49"/>
              <w:rPr>
                <w:color w:val="000000" w:themeColor="text1"/>
                <w14:textFill>
                  <w14:solidFill>
                    <w14:schemeClr w14:val="tx1"/>
                  </w14:solidFill>
                </w14:textFill>
              </w:rPr>
            </w:pPr>
            <w:bookmarkStart w:id="31" w:name="表2-3_主要原辅材料理化性质一览表"/>
            <w:bookmarkEnd w:id="31"/>
            <w:r>
              <w:rPr>
                <w:color w:val="000000" w:themeColor="text1"/>
                <w14:textFill>
                  <w14:solidFill>
                    <w14:schemeClr w14:val="tx1"/>
                  </w14:solidFill>
                </w14:textFill>
              </w:rPr>
              <w:t>表 2</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主要原辅材料理化性质一览表</w:t>
            </w:r>
          </w:p>
          <w:tbl>
            <w:tblPr>
              <w:tblStyle w:val="31"/>
              <w:tblW w:w="78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95"/>
              <w:gridCol w:w="6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95" w:type="dxa"/>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6535" w:type="dxa"/>
                  <w:vAlign w:val="center"/>
                </w:tcPr>
                <w:p>
                  <w:pPr>
                    <w:pStyle w:val="48"/>
                    <w:rPr>
                      <w:color w:val="000000" w:themeColor="text1"/>
                      <w14:textFill>
                        <w14:solidFill>
                          <w14:schemeClr w14:val="tx1"/>
                        </w14:solidFill>
                      </w14:textFill>
                    </w:rPr>
                  </w:pPr>
                  <w:bookmarkStart w:id="32" w:name="理化性质"/>
                  <w:bookmarkEnd w:id="32"/>
                  <w:r>
                    <w:rPr>
                      <w:color w:val="000000" w:themeColor="text1"/>
                      <w14:textFill>
                        <w14:solidFill>
                          <w14:schemeClr w14:val="tx1"/>
                        </w14:solidFill>
                      </w14:textFill>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95" w:type="dxa"/>
                  <w:vAlign w:val="center"/>
                </w:tcPr>
                <w:p>
                  <w:pPr>
                    <w:keepNext w:val="0"/>
                    <w:keepLines w:val="0"/>
                    <w:widowControl/>
                    <w:suppressLineNumbers w:val="0"/>
                    <w:jc w:val="center"/>
                    <w:rPr>
                      <w:rFonts w:hint="eastAsia"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碘伏消毒液</w:t>
                  </w:r>
                </w:p>
              </w:tc>
              <w:tc>
                <w:tcPr>
                  <w:tcW w:w="6535" w:type="dxa"/>
                  <w:vAlign w:val="center"/>
                </w:tcPr>
                <w:p>
                  <w:pPr>
                    <w:keepNext w:val="0"/>
                    <w:keepLines w:val="0"/>
                    <w:widowControl/>
                    <w:suppressLineNumbers w:val="0"/>
                    <w:jc w:val="left"/>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碘伏是单质碘与聚乙烯吡咯烷酮的不定型结合物。聚乙烯吡咯烷酮可溶解分散</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9%</w:t>
                  </w:r>
                  <w:r>
                    <w:rPr>
                      <w:rFonts w:hint="eastAsia" w:cs="Times New Roman"/>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12%</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的碘，此时呈现紫黑色液体。医用碘伏浓度较低（</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或以下）。碘伏具有广谱杀菌作用，可杀灭细菌繁殖体、真菌、原虫和部分病毒。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95" w:type="dxa"/>
                  <w:vAlign w:val="center"/>
                </w:tcPr>
                <w:p>
                  <w:pPr>
                    <w:keepNext w:val="0"/>
                    <w:keepLines w:val="0"/>
                    <w:widowControl/>
                    <w:suppressLineNumbers w:val="0"/>
                    <w:jc w:val="center"/>
                    <w:rPr>
                      <w:rFonts w:hint="eastAsia"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医用酒精（乙醇）</w:t>
                  </w:r>
                </w:p>
              </w:tc>
              <w:tc>
                <w:tcPr>
                  <w:tcW w:w="6535" w:type="dxa"/>
                  <w:vAlign w:val="center"/>
                </w:tcPr>
                <w:p>
                  <w:pPr>
                    <w:keepNext w:val="0"/>
                    <w:keepLines w:val="0"/>
                    <w:widowControl/>
                    <w:suppressLineNumbers w:val="0"/>
                    <w:jc w:val="left"/>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化学式</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CH3CH2OH</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，为无色澄清液体，有特殊香味，易流动，极易从空气中吸收水分，能与水和氯仿、乙醚等多种有机溶剂以任意比例互溶。能与水形成共沸混合物（含水</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4.43%</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），共沸点</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78.15</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℃。相对密度为</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0.85g/mL</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，熔点为</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-114.1</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℃，沸点为</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78.5</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℃，折光率为</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1.361</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。该有机溶剂用途极其广泛，主要用于医疗、化妆品、卫生用品、油脂与染料方面。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95" w:type="dxa"/>
                  <w:vAlign w:val="center"/>
                </w:tcPr>
                <w:p>
                  <w:pPr>
                    <w:keepNext w:val="0"/>
                    <w:keepLines w:val="0"/>
                    <w:widowControl/>
                    <w:suppressLineNumbers w:val="0"/>
                    <w:jc w:val="center"/>
                    <w:rPr>
                      <w:rFonts w:hint="eastAsia"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84</w:t>
                  </w:r>
                  <w:r>
                    <w:rPr>
                      <w:rFonts w:hint="eastAsia" w:ascii="Times New Roman" w:hAnsi="Times New Roman" w:eastAsia="宋体" w:cs="Times New Roman"/>
                      <w:color w:val="auto"/>
                      <w:kern w:val="0"/>
                      <w:sz w:val="21"/>
                      <w:szCs w:val="21"/>
                      <w:u w:val="none"/>
                      <w:lang w:val="en-US" w:eastAsia="zh-CN" w:bidi="ar-SA"/>
                    </w:rPr>
                    <w:t>消毒液</w:t>
                  </w:r>
                </w:p>
              </w:tc>
              <w:tc>
                <w:tcPr>
                  <w:tcW w:w="6535" w:type="dxa"/>
                  <w:vAlign w:val="center"/>
                </w:tcPr>
                <w:p>
                  <w:pPr>
                    <w:keepNext w:val="0"/>
                    <w:keepLines w:val="0"/>
                    <w:widowControl/>
                    <w:suppressLineNumbers w:val="0"/>
                    <w:jc w:val="left"/>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84</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消毒液是一种以次氯酸钠为主的高效消毒剂，主要成分为次氯酸钠（</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NaClO</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）。为无色或淡黄色液体，有效氯含量因不同厂家产品略有差异，通常为</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5.5%</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6.5%</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。次氯酸钠，化学式为</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NaClO</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，分子量</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74.44</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固体为白色或苍黄色粉末，极不稳定，易于爆炸性分解。工业品为无色或淡黄色液体，具强氧化性，能逐渐分解放出氧，受光或加热即非常迅速地分解。混入还原性物质及有机物非常危险，能使红色石蕊试纸变黑，随后褪色。具有优良的消毒性能。使水溶液在真空中蒸发可得无色至黄绿色有潮解性的水合晶体。通常由氢氧化钠或碳酸钠溶液在较低温度一般在</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30</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℃以下时吸收氯气，或由漂白粉与碳酸钠作用而得。常用作氧化剂、杀菌剂、水的净化剂，还用于漂白纸浆和织物等。本项目</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84</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消毒液不作为废水处理消毒剂，仅用于医院清洁、消毒用。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95" w:type="dxa"/>
                  <w:vAlign w:val="center"/>
                </w:tcPr>
                <w:p>
                  <w:pPr>
                    <w:pStyle w:val="48"/>
                    <w:rPr>
                      <w:color w:val="000000" w:themeColor="text1"/>
                      <w14:textFill>
                        <w14:solidFill>
                          <w14:schemeClr w14:val="tx1"/>
                        </w14:solidFill>
                      </w14:textFill>
                    </w:rPr>
                  </w:pPr>
                  <w:bookmarkStart w:id="33" w:name="无水乙醇"/>
                  <w:bookmarkEnd w:id="33"/>
                  <w:r>
                    <w:rPr>
                      <w:color w:val="000000" w:themeColor="text1"/>
                      <w14:textFill>
                        <w14:solidFill>
                          <w14:schemeClr w14:val="tx1"/>
                        </w14:solidFill>
                      </w14:textFill>
                    </w:rPr>
                    <w:t>无水乙醇</w:t>
                  </w:r>
                </w:p>
              </w:tc>
              <w:tc>
                <w:tcPr>
                  <w:tcW w:w="6535" w:type="dxa"/>
                  <w:vAlign w:val="center"/>
                </w:tcPr>
                <w:p>
                  <w:pPr>
                    <w:pStyle w:val="48"/>
                    <w:keepNext w:val="0"/>
                    <w:keepLines w:val="0"/>
                    <w:pageBreakBefore w:val="0"/>
                    <w:widowControl w:val="0"/>
                    <w:kinsoku/>
                    <w:wordWrap/>
                    <w:overflowPunct/>
                    <w:topLinePunct w:val="0"/>
                    <w:autoSpaceDE/>
                    <w:autoSpaceDN/>
                    <w:bidi w:val="0"/>
                    <w:adjustRightInd w:val="0"/>
                    <w:snapToGrid/>
                    <w:spacing w:line="360" w:lineRule="auto"/>
                    <w:jc w:val="both"/>
                    <w:textAlignment w:val="baseline"/>
                    <w:rPr>
                      <w:color w:val="000000" w:themeColor="text1"/>
                      <w14:textFill>
                        <w14:solidFill>
                          <w14:schemeClr w14:val="tx1"/>
                        </w14:solidFill>
                      </w14:textFill>
                    </w:rPr>
                  </w:pPr>
                  <w:bookmarkStart w:id="34" w:name="分子式：C2H6O，分子量为46.07，无色液体，有酒香，熔点为-114.1℃，"/>
                  <w:bookmarkEnd w:id="34"/>
                  <w:r>
                    <w:rPr>
                      <w:color w:val="000000" w:themeColor="text1"/>
                      <w14:textFill>
                        <w14:solidFill>
                          <w14:schemeClr w14:val="tx1"/>
                        </w14:solidFill>
                      </w14:textFill>
                    </w:rPr>
                    <w:t>分子式：C</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O，分子量为46.07，无色液体，有酒香，熔点为-</w:t>
                  </w:r>
                  <w:bookmarkStart w:id="35" w:name="+350瓶"/>
                  <w:bookmarkEnd w:id="35"/>
                  <w:r>
                    <w:rPr>
                      <w:color w:val="000000" w:themeColor="text1"/>
                      <w14:textFill>
                        <w14:solidFill>
                          <w14:schemeClr w14:val="tx1"/>
                        </w14:solidFill>
                      </w14:textFill>
                    </w:rPr>
                    <w:t>1</w:t>
                  </w:r>
                  <w:bookmarkStart w:id="36" w:name="+0.3t"/>
                  <w:bookmarkEnd w:id="36"/>
                  <w:r>
                    <w:rPr>
                      <w:color w:val="000000" w:themeColor="text1"/>
                      <w14:textFill>
                        <w14:solidFill>
                          <w14:schemeClr w14:val="tx1"/>
                        </w14:solidFill>
                      </w14:textFill>
                    </w:rPr>
                    <w:t>14.1℃，沸点为78.3℃，相对密度（水＝1）为0.79，与水混溶，可混溶于醚、氯仿、甘油等多数有机物。用于制酒工业、有机合成、消毒以及用作溶剂。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95" w:type="dxa"/>
                  <w:vAlign w:val="center"/>
                </w:tcPr>
                <w:p>
                  <w:pPr>
                    <w:pStyle w:val="48"/>
                    <w:rPr>
                      <w:color w:val="000000" w:themeColor="text1"/>
                      <w14:textFill>
                        <w14:solidFill>
                          <w14:schemeClr w14:val="tx1"/>
                        </w14:solidFill>
                      </w14:textFill>
                    </w:rPr>
                  </w:pPr>
                  <w:bookmarkStart w:id="37" w:name="消毒粉"/>
                  <w:bookmarkEnd w:id="37"/>
                  <w:bookmarkStart w:id="38" w:name="双氧水_____________________________________"/>
                  <w:bookmarkEnd w:id="38"/>
                  <w:r>
                    <w:rPr>
                      <w:rFonts w:hint="eastAsia"/>
                      <w:color w:val="auto"/>
                      <w:u w:val="none"/>
                    </w:rPr>
                    <w:t>二氯异氰尿酸钠</w:t>
                  </w:r>
                </w:p>
              </w:tc>
              <w:tc>
                <w:tcPr>
                  <w:tcW w:w="6535" w:type="dxa"/>
                  <w:vAlign w:val="center"/>
                </w:tcPr>
                <w:p>
                  <w:pPr>
                    <w:pStyle w:val="48"/>
                    <w:keepNext w:val="0"/>
                    <w:keepLines w:val="0"/>
                    <w:pageBreakBefore w:val="0"/>
                    <w:widowControl w:val="0"/>
                    <w:kinsoku/>
                    <w:wordWrap/>
                    <w:overflowPunct/>
                    <w:topLinePunct w:val="0"/>
                    <w:autoSpaceDE/>
                    <w:autoSpaceDN/>
                    <w:bidi w:val="0"/>
                    <w:adjustRightInd w:val="0"/>
                    <w:snapToGrid/>
                    <w:spacing w:line="360" w:lineRule="auto"/>
                    <w:jc w:val="both"/>
                    <w:textAlignment w:val="baseline"/>
                    <w:rPr>
                      <w:color w:val="000000" w:themeColor="text1"/>
                      <w14:textFill>
                        <w14:solidFill>
                          <w14:schemeClr w14:val="tx1"/>
                        </w14:solidFill>
                      </w14:textFill>
                    </w:rPr>
                  </w:pPr>
                  <w:bookmarkStart w:id="39" w:name="主要成分为：单过硫酸氢钾复合盐，常温下为白色粉末状物质，容易储存和运输、具有高稳"/>
                  <w:bookmarkEnd w:id="39"/>
                  <w:r>
                    <w:rPr>
                      <w:rFonts w:hint="eastAsia"/>
                      <w:color w:val="000000" w:themeColor="text1"/>
                      <w14:textFill>
                        <w14:solidFill>
                          <w14:schemeClr w14:val="tx1"/>
                        </w14:solidFill>
                      </w14:textFill>
                    </w:rPr>
                    <w:t>分子式为C</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Cl</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N</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NaO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分子量219.946，</w:t>
                  </w:r>
                  <w:r>
                    <w:rPr>
                      <w:rFonts w:hint="eastAsia"/>
                      <w:color w:val="000000" w:themeColor="text1"/>
                      <w14:textFill>
                        <w14:solidFill>
                          <w14:schemeClr w14:val="tx1"/>
                        </w14:solidFill>
                      </w14:textFill>
                    </w:rPr>
                    <w:t>常温下为白色粉末状晶体或颗粒，有氯气味。熔点225℃</w:t>
                  </w:r>
                  <w:r>
                    <w:rPr>
                      <w:rFonts w:hint="eastAsia"/>
                      <w:color w:val="000000" w:themeColor="text1"/>
                      <w:lang w:eastAsia="zh-CN"/>
                      <w14:textFill>
                        <w14:solidFill>
                          <w14:schemeClr w14:val="tx1"/>
                        </w14:solidFill>
                      </w14:textFill>
                    </w:rPr>
                    <w:t>，沸点306.7℃，闪点139.3℃，</w:t>
                  </w:r>
                  <w:r>
                    <w:rPr>
                      <w:rFonts w:hint="eastAsia"/>
                      <w:color w:val="000000" w:themeColor="text1"/>
                      <w:lang w:val="en-US" w:eastAsia="zh-CN"/>
                      <w14:textFill>
                        <w14:solidFill>
                          <w14:schemeClr w14:val="tx1"/>
                        </w14:solidFill>
                      </w14:textFill>
                    </w:rPr>
                    <w:t>密度2.06g/cm³，</w:t>
                  </w:r>
                  <w:r>
                    <w:rPr>
                      <w:rFonts w:hint="eastAsia"/>
                      <w:color w:val="000000" w:themeColor="text1"/>
                      <w:lang w:eastAsia="zh-CN"/>
                      <w14:textFill>
                        <w14:solidFill>
                          <w14:schemeClr w14:val="tx1"/>
                        </w14:solidFill>
                      </w14:textFill>
                    </w:rPr>
                    <w:t>易溶于水，难溶于有机溶剂，</w:t>
                  </w:r>
                  <w:r>
                    <w:rPr>
                      <w:rFonts w:hint="eastAsia"/>
                      <w:color w:val="000000" w:themeColor="text1"/>
                      <w:lang w:val="en-US" w:eastAsia="zh-CN"/>
                      <w14:textFill>
                        <w14:solidFill>
                          <w14:schemeClr w14:val="tx1"/>
                        </w14:solidFill>
                      </w14:textFill>
                    </w:rPr>
                    <w:t>用于杀灭各种致病性微生物如病毒、细菌芽孢、真菌等。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95" w:type="dxa"/>
                  <w:vAlign w:val="center"/>
                </w:tcPr>
                <w:p>
                  <w:pPr>
                    <w:pStyle w:val="48"/>
                    <w:rPr>
                      <w:rFonts w:hint="eastAsia" w:eastAsia="宋体"/>
                      <w:color w:val="auto"/>
                      <w:u w:val="none"/>
                      <w:lang w:val="en-US" w:eastAsia="zh-CN"/>
                    </w:rPr>
                  </w:pPr>
                  <w:r>
                    <w:rPr>
                      <w:rFonts w:hint="eastAsia"/>
                      <w:color w:val="auto"/>
                      <w:u w:val="none"/>
                      <w:lang w:val="en-US" w:eastAsia="zh-CN"/>
                    </w:rPr>
                    <w:t>柴油</w:t>
                  </w:r>
                </w:p>
              </w:tc>
              <w:tc>
                <w:tcPr>
                  <w:tcW w:w="6535" w:type="dxa"/>
                  <w:vAlign w:val="center"/>
                </w:tcPr>
                <w:p>
                  <w:pPr>
                    <w:pStyle w:val="48"/>
                    <w:keepNext w:val="0"/>
                    <w:keepLines w:val="0"/>
                    <w:pageBreakBefore w:val="0"/>
                    <w:widowControl w:val="0"/>
                    <w:kinsoku/>
                    <w:wordWrap/>
                    <w:overflowPunct/>
                    <w:topLinePunct w:val="0"/>
                    <w:autoSpaceDE/>
                    <w:autoSpaceDN/>
                    <w:bidi w:val="0"/>
                    <w:adjustRightInd w:val="0"/>
                    <w:snapToGrid/>
                    <w:spacing w:line="360" w:lineRule="auto"/>
                    <w:jc w:val="both"/>
                    <w:textAlignment w:val="baseline"/>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可燃性液体，沸点</w:t>
                  </w:r>
                  <w:r>
                    <w:rPr>
                      <w:rFonts w:hint="eastAsia"/>
                      <w:color w:val="000000" w:themeColor="text1"/>
                      <w:u w:val="none"/>
                      <w:lang w:val="en-US" w:eastAsia="zh-CN"/>
                      <w14:textFill>
                        <w14:solidFill>
                          <w14:schemeClr w14:val="tx1"/>
                        </w14:solidFill>
                      </w14:textFill>
                    </w:rPr>
                    <w:t>282~338，相对密度（水）0.87~0.9，闪点38，爆炸极限0.7~5.0不溶于水，遇明火、高热或与氧化剂接触，有引起燃烧爆炸的危险。若遇高热，容器内压增大，有开裂和爆炸的危险。对环境有危害，对水体和大气可造成污染。本品易燃，具刺激性。</w:t>
                  </w:r>
                </w:p>
              </w:tc>
            </w:tr>
          </w:tbl>
          <w:p>
            <w:pPr>
              <w:pStyle w:val="7"/>
              <w:ind w:firstLine="48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5</w:t>
            </w:r>
            <w:r>
              <w:rPr>
                <w:b/>
                <w:bCs/>
                <w:color w:val="000000" w:themeColor="text1"/>
                <w14:textFill>
                  <w14:solidFill>
                    <w14:schemeClr w14:val="tx1"/>
                  </w14:solidFill>
                </w14:textFill>
              </w:rPr>
              <w:t>、公用工程</w:t>
            </w:r>
          </w:p>
          <w:p>
            <w:pPr>
              <w:pStyle w:val="7"/>
              <w:ind w:firstLine="480"/>
              <w:rPr>
                <w:color w:val="000000" w:themeColor="text1"/>
                <w14:textFill>
                  <w14:solidFill>
                    <w14:schemeClr w14:val="tx1"/>
                  </w14:solidFill>
                </w14:textFill>
              </w:rPr>
            </w:pPr>
            <w:r>
              <w:rPr>
                <w:color w:val="000000" w:themeColor="text1"/>
                <w14:textFill>
                  <w14:solidFill>
                    <w14:schemeClr w14:val="tx1"/>
                  </w14:solidFill>
                </w14:textFill>
              </w:rPr>
              <w:t>（1）给水</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根据</w:t>
            </w:r>
            <w:r>
              <w:rPr>
                <w:rFonts w:hint="eastAsia"/>
                <w:color w:val="000000" w:themeColor="text1"/>
                <w:u w:val="single"/>
                <w:lang w:eastAsia="zh-CN"/>
                <w14:textFill>
                  <w14:solidFill>
                    <w14:schemeClr w14:val="tx1"/>
                  </w14:solidFill>
                </w14:textFill>
              </w:rPr>
              <w:t>临湘市桃林镇中心卫生院(临湘市桃林镇中心妇幼保健计划生育服务站）</w:t>
            </w:r>
            <w:r>
              <w:rPr>
                <w:rFonts w:hint="eastAsia"/>
                <w:color w:val="000000" w:themeColor="text1"/>
                <w:u w:val="single"/>
                <w:lang w:val="en-US" w:eastAsia="zh-CN"/>
                <w14:textFill>
                  <w14:solidFill>
                    <w14:schemeClr w14:val="tx1"/>
                  </w14:solidFill>
                </w14:textFill>
              </w:rPr>
              <w:t>2022年全年用水量统计，本项目用水量为</w:t>
            </w:r>
            <w:r>
              <w:rPr>
                <w:rFonts w:hint="eastAsia"/>
                <w:color w:val="000000" w:themeColor="text1"/>
                <w:u w:val="single"/>
                <w:shd w:val="clear"/>
                <w:lang w:val="en-US" w:eastAsia="zh-CN"/>
                <w14:textFill>
                  <w14:solidFill>
                    <w14:schemeClr w14:val="tx1"/>
                  </w14:solidFill>
                </w14:textFill>
              </w:rPr>
              <w:t>2025.75m</w:t>
            </w:r>
            <w:r>
              <w:rPr>
                <w:rFonts w:hint="eastAsia"/>
                <w:color w:val="000000" w:themeColor="text1"/>
                <w:u w:val="single"/>
                <w:shd w:val="clear"/>
                <w:vertAlign w:val="superscript"/>
                <w:lang w:val="en-US" w:eastAsia="zh-CN"/>
                <w14:textFill>
                  <w14:solidFill>
                    <w14:schemeClr w14:val="tx1"/>
                  </w14:solidFill>
                </w14:textFill>
              </w:rPr>
              <w:t>3</w:t>
            </w:r>
            <w:r>
              <w:rPr>
                <w:rFonts w:hint="eastAsia"/>
                <w:color w:val="000000" w:themeColor="text1"/>
                <w:u w:val="single"/>
                <w:shd w:val="clear"/>
                <w:lang w:val="en-US" w:eastAsia="zh-CN"/>
                <w14:textFill>
                  <w14:solidFill>
                    <w14:schemeClr w14:val="tx1"/>
                  </w14:solidFill>
                </w14:textFill>
              </w:rPr>
              <w:t>/a，5.55</w:t>
            </w:r>
            <w:r>
              <w:rPr>
                <w:rFonts w:hint="eastAsia"/>
                <w:color w:val="000000" w:themeColor="text1"/>
                <w:u w:val="single"/>
                <w:lang w:val="en-US" w:eastAsia="zh-CN"/>
                <w14:textFill>
                  <w14:solidFill>
                    <w14:schemeClr w14:val="tx1"/>
                  </w14:solidFill>
                </w14:textFill>
              </w:rPr>
              <w:t>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/d；排水量</w:t>
            </w:r>
            <w:r>
              <w:rPr>
                <w:rFonts w:hint="eastAsia"/>
                <w:color w:val="000000" w:themeColor="text1"/>
                <w:u w:val="single"/>
                <w:shd w:val="clear"/>
                <w:lang w:val="en-US" w:eastAsia="zh-CN"/>
                <w14:textFill>
                  <w14:solidFill>
                    <w14:schemeClr w14:val="tx1"/>
                  </w14:solidFill>
                </w14:textFill>
              </w:rPr>
              <w:t>为1620.6m</w:t>
            </w:r>
            <w:r>
              <w:rPr>
                <w:rFonts w:hint="eastAsia"/>
                <w:color w:val="000000" w:themeColor="text1"/>
                <w:u w:val="single"/>
                <w:shd w:val="clear"/>
                <w:vertAlign w:val="superscript"/>
                <w:lang w:val="en-US" w:eastAsia="zh-CN"/>
                <w14:textFill>
                  <w14:solidFill>
                    <w14:schemeClr w14:val="tx1"/>
                  </w14:solidFill>
                </w14:textFill>
              </w:rPr>
              <w:t>3</w:t>
            </w:r>
            <w:r>
              <w:rPr>
                <w:rFonts w:hint="eastAsia"/>
                <w:color w:val="000000" w:themeColor="text1"/>
                <w:u w:val="single"/>
                <w:shd w:val="clear"/>
                <w:lang w:val="en-US" w:eastAsia="zh-CN"/>
                <w14:textFill>
                  <w14:solidFill>
                    <w14:schemeClr w14:val="tx1"/>
                  </w14:solidFill>
                </w14:textFill>
              </w:rPr>
              <w:t>/a，4.44</w:t>
            </w:r>
            <w:r>
              <w:rPr>
                <w:rFonts w:hint="eastAsia"/>
                <w:color w:val="000000" w:themeColor="text1"/>
                <w:u w:val="single"/>
                <w:lang w:val="en-US" w:eastAsia="zh-CN"/>
                <w14:textFill>
                  <w14:solidFill>
                    <w14:schemeClr w14:val="tx1"/>
                  </w14:solidFill>
                </w14:textFill>
              </w:rPr>
              <w:t>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/d。根据院方统计，门诊每日就诊人数平均每天80人，平均用水量约为10L/人，则门诊医疗用水为0.8m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/d，292m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/a；平均每日住院人数为8人，用水量为150L/人，住院病人用水为1.2m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/d，438m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/a；医疗人员生活用水取70L/人，即3.15m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/d，1149.75m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/a；洗涤用水为0.4m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/d，146m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/a。</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当医院满负荷运行时，即院内40张床位全部住满，按照2022年住院病人实际用水量1.2/8=0.15m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/d,则此时住院病人用水量为0.15*40=6m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/d，2190m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/a；洗涤用水为2m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/d，730m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/a。全院总用水量为11.95m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/d，4361.75m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/a。排水系数按80%算，则当医院满负荷时，排水量为9.565m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/d，3489.4m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/a。</w:t>
            </w:r>
          </w:p>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auto"/>
              <w:rPr>
                <w:rFonts w:hint="eastAsia" w:eastAsia="宋体"/>
                <w:lang w:eastAsia="zh-CN"/>
              </w:rPr>
            </w:pPr>
            <w:r>
              <w:rPr>
                <w:rFonts w:hint="eastAsia" w:eastAsia="宋体"/>
                <w:lang w:eastAsia="zh-CN"/>
              </w:rPr>
              <w:drawing>
                <wp:inline distT="0" distB="0" distL="114300" distR="114300">
                  <wp:extent cx="5003165" cy="1734820"/>
                  <wp:effectExtent l="0" t="0" r="6985" b="17780"/>
                  <wp:docPr id="10" name="图片 10" descr="170346703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03467035713"/>
                          <pic:cNvPicPr>
                            <a:picLocks noChangeAspect="1"/>
                          </pic:cNvPicPr>
                        </pic:nvPicPr>
                        <pic:blipFill>
                          <a:blip r:embed="rId12"/>
                          <a:stretch>
                            <a:fillRect/>
                          </a:stretch>
                        </pic:blipFill>
                        <pic:spPr>
                          <a:xfrm>
                            <a:off x="0" y="0"/>
                            <a:ext cx="5003165" cy="1734820"/>
                          </a:xfrm>
                          <a:prstGeom prst="rect">
                            <a:avLst/>
                          </a:prstGeom>
                        </pic:spPr>
                      </pic:pic>
                    </a:graphicData>
                  </a:graphic>
                </wp:inline>
              </w:drawing>
            </w: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color w:val="000000" w:themeColor="text1"/>
                <w:kern w:val="0"/>
                <w:sz w:val="21"/>
                <w:szCs w:val="21"/>
                <w:u w:val="single"/>
                <w:lang w:val="en-US" w:eastAsia="zh-CN" w:bidi="ar-SA"/>
                <w14:textFill>
                  <w14:solidFill>
                    <w14:schemeClr w14:val="tx1"/>
                  </w14:solidFill>
                </w14:textFill>
              </w:rPr>
            </w:pPr>
            <w:r>
              <w:rPr>
                <w:rFonts w:hint="eastAsia" w:cs="Times New Roman"/>
                <w:b/>
                <w:color w:val="000000" w:themeColor="text1"/>
                <w:kern w:val="0"/>
                <w:sz w:val="21"/>
                <w:szCs w:val="21"/>
                <w:u w:val="single"/>
                <w:lang w:val="en-US" w:eastAsia="zh-CN" w:bidi="ar-SA"/>
                <w14:textFill>
                  <w14:solidFill>
                    <w14:schemeClr w14:val="tx1"/>
                  </w14:solidFill>
                </w14:textFill>
              </w:rPr>
              <w:t xml:space="preserve">图1-2 </w:t>
            </w:r>
            <w:r>
              <w:rPr>
                <w:rFonts w:hint="eastAsia" w:ascii="Times New Roman" w:hAnsi="Times New Roman" w:eastAsia="宋体" w:cs="Times New Roman"/>
                <w:b/>
                <w:color w:val="000000" w:themeColor="text1"/>
                <w:kern w:val="0"/>
                <w:sz w:val="21"/>
                <w:szCs w:val="21"/>
                <w:u w:val="single"/>
                <w:lang w:val="en-US" w:eastAsia="zh-CN" w:bidi="ar-SA"/>
                <w14:textFill>
                  <w14:solidFill>
                    <w14:schemeClr w14:val="tx1"/>
                  </w14:solidFill>
                </w14:textFill>
              </w:rPr>
              <w:t>项目水平衡图（t/a）</w:t>
            </w:r>
          </w:p>
          <w:p>
            <w:pPr>
              <w:pStyle w:val="7"/>
              <w:ind w:firstLine="480"/>
              <w:rPr>
                <w:color w:val="000000" w:themeColor="text1"/>
                <w14:textFill>
                  <w14:solidFill>
                    <w14:schemeClr w14:val="tx1"/>
                  </w14:solidFill>
                </w14:textFill>
              </w:rPr>
            </w:pPr>
            <w:r>
              <w:rPr>
                <w:color w:val="000000" w:themeColor="text1"/>
                <w14:textFill>
                  <w14:solidFill>
                    <w14:schemeClr w14:val="tx1"/>
                  </w14:solidFill>
                </w14:textFill>
              </w:rPr>
              <w:t>（2）排水</w:t>
            </w:r>
          </w:p>
          <w:p>
            <w:pPr>
              <w:keepNext/>
              <w:topLinePunct/>
              <w:adjustRightInd w:val="0"/>
              <w:snapToGrid w:val="0"/>
              <w:spacing w:line="360" w:lineRule="auto"/>
              <w:ind w:firstLine="482"/>
              <w:jc w:val="both"/>
              <w:rPr>
                <w:rFonts w:hint="eastAsia"/>
                <w:color w:val="000000" w:themeColor="text1"/>
                <w:lang w:val="en-US" w:eastAsia="zh-CN"/>
                <w14:textFill>
                  <w14:solidFill>
                    <w14:schemeClr w14:val="tx1"/>
                  </w14:solidFill>
                </w14:textFill>
              </w:rPr>
            </w:pPr>
            <w:r>
              <w:rPr>
                <w:rFonts w:hint="eastAsia" w:ascii="宋体" w:hAnsi="宋体" w:eastAsia="宋体" w:cs="宋体"/>
                <w:color w:val="000000"/>
                <w:kern w:val="0"/>
                <w:sz w:val="24"/>
                <w:szCs w:val="24"/>
                <w:lang w:val="en-US" w:eastAsia="zh-CN" w:bidi="ar"/>
              </w:rPr>
              <w:t>本项目实施雨污分流的排水体制，雨水排入雨水管网；</w:t>
            </w:r>
            <w:r>
              <w:rPr>
                <w:rFonts w:hint="eastAsia"/>
                <w:color w:val="000000" w:themeColor="text1"/>
                <w14:textFill>
                  <w14:solidFill>
                    <w14:schemeClr w14:val="tx1"/>
                  </w14:solidFill>
                </w14:textFill>
              </w:rPr>
              <w:t>生活污水经化粪池处理后与</w:t>
            </w:r>
            <w:r>
              <w:rPr>
                <w:color w:val="000000" w:themeColor="text1"/>
                <w14:textFill>
                  <w14:solidFill>
                    <w14:schemeClr w14:val="tx1"/>
                  </w14:solidFill>
                </w14:textFill>
              </w:rPr>
              <w:t>医疗污水</w:t>
            </w:r>
            <w:r>
              <w:rPr>
                <w:rFonts w:hint="eastAsia"/>
                <w:color w:val="000000" w:themeColor="text1"/>
                <w14:textFill>
                  <w14:solidFill>
                    <w14:schemeClr w14:val="tx1"/>
                  </w14:solidFill>
                </w14:textFill>
              </w:rPr>
              <w:t>一起进入本</w:t>
            </w:r>
            <w:r>
              <w:rPr>
                <w:color w:val="000000" w:themeColor="text1"/>
                <w14:textFill>
                  <w14:solidFill>
                    <w14:schemeClr w14:val="tx1"/>
                  </w14:solidFill>
                </w14:textFill>
              </w:rPr>
              <w:t>院污水处理站</w:t>
            </w:r>
            <w:r>
              <w:rPr>
                <w:rFonts w:hint="eastAsia"/>
                <w:color w:val="000000" w:themeColor="text1"/>
                <w14:textFill>
                  <w14:solidFill>
                    <w14:schemeClr w14:val="tx1"/>
                  </w14:solidFill>
                </w14:textFill>
              </w:rPr>
              <w:t>处理</w:t>
            </w:r>
            <w:r>
              <w:rPr>
                <w:color w:val="000000" w:themeColor="text1"/>
                <w14:textFill>
                  <w14:solidFill>
                    <w14:schemeClr w14:val="tx1"/>
                  </w14:solidFill>
                </w14:textFill>
              </w:rPr>
              <w:t>，污水处理站设计为全封闭设计，处理工艺采用《医院污水处理技术指南》（环发</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2003</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197号）中推荐的</w:t>
            </w:r>
            <w:r>
              <w:rPr>
                <w:rFonts w:hint="eastAsia"/>
                <w:color w:val="000000" w:themeColor="text1"/>
                <w14:textFill>
                  <w14:solidFill>
                    <w14:schemeClr w14:val="tx1"/>
                  </w14:solidFill>
                </w14:textFill>
              </w:rPr>
              <w:t>“化粪池+格栅井+调节池+AO工艺+沉淀池+消毒”工艺</w:t>
            </w:r>
            <w:r>
              <w:rPr>
                <w:color w:val="000000" w:themeColor="text1"/>
                <w14:textFill>
                  <w14:solidFill>
                    <w14:schemeClr w14:val="tx1"/>
                  </w14:solidFill>
                </w14:textFill>
              </w:rPr>
              <w:t>，处理达到《医疗机构水污染物排放标准》（GB18466-2005）表2中预处理限值后排入市政污水管网，最终经</w:t>
            </w:r>
            <w:r>
              <w:rPr>
                <w:rFonts w:hint="eastAsia"/>
                <w:color w:val="000000" w:themeColor="text1"/>
                <w:lang w:val="en-US" w:eastAsia="zh-CN"/>
                <w14:textFill>
                  <w14:solidFill>
                    <w14:schemeClr w14:val="tx1"/>
                  </w14:solidFill>
                </w14:textFill>
              </w:rPr>
              <w:t>桃林镇污水处理</w:t>
            </w:r>
            <w:r>
              <w:rPr>
                <w:rFonts w:hint="eastAsia"/>
                <w:color w:val="000000" w:themeColor="text1"/>
                <w14:textFill>
                  <w14:solidFill>
                    <w14:schemeClr w14:val="tx1"/>
                  </w14:solidFill>
                </w14:textFill>
              </w:rPr>
              <w:t>厂</w:t>
            </w:r>
            <w:r>
              <w:rPr>
                <w:color w:val="000000" w:themeColor="text1"/>
                <w14:textFill>
                  <w14:solidFill>
                    <w14:schemeClr w14:val="tx1"/>
                  </w14:solidFill>
                </w14:textFill>
              </w:rPr>
              <w:t>处理</w:t>
            </w:r>
            <w:r>
              <w:rPr>
                <w:rFonts w:hint="eastAsia"/>
                <w:color w:val="000000" w:themeColor="text1"/>
                <w14:textFill>
                  <w14:solidFill>
                    <w14:schemeClr w14:val="tx1"/>
                  </w14:solidFill>
                </w14:textFill>
              </w:rPr>
              <w:t>达标</w:t>
            </w:r>
            <w:r>
              <w:rPr>
                <w:color w:val="000000" w:themeColor="text1"/>
                <w14:textFill>
                  <w14:solidFill>
                    <w14:schemeClr w14:val="tx1"/>
                  </w14:solidFill>
                </w14:textFill>
              </w:rPr>
              <w:t>后排入</w:t>
            </w:r>
            <w:r>
              <w:rPr>
                <w:rFonts w:hint="eastAsia"/>
                <w:color w:val="000000" w:themeColor="text1"/>
                <w:lang w:val="en-US" w:eastAsia="zh-CN"/>
                <w14:textFill>
                  <w14:solidFill>
                    <w14:schemeClr w14:val="tx1"/>
                  </w14:solidFill>
                </w14:textFill>
              </w:rPr>
              <w:t>桃林河（</w:t>
            </w:r>
            <w:r>
              <w:rPr>
                <w:rFonts w:hint="eastAsia"/>
                <w:color w:val="auto"/>
                <w:lang w:val="en-US" w:eastAsia="zh-CN"/>
              </w:rPr>
              <w:t>游</w:t>
            </w:r>
            <w:r>
              <w:rPr>
                <w:rFonts w:hint="eastAsia"/>
                <w:color w:val="000000" w:themeColor="text1"/>
                <w:lang w:val="en-US" w:eastAsia="zh-CN"/>
                <w14:textFill>
                  <w14:solidFill>
                    <w14:schemeClr w14:val="tx1"/>
                  </w14:solidFill>
                </w14:textFill>
              </w:rPr>
              <w:t>港河）。</w:t>
            </w:r>
          </w:p>
          <w:p>
            <w:pPr>
              <w:keepNext/>
              <w:topLinePunct/>
              <w:adjustRightInd w:val="0"/>
              <w:snapToGrid w:val="0"/>
              <w:spacing w:line="360" w:lineRule="auto"/>
              <w:ind w:firstLine="482"/>
              <w:jc w:val="center"/>
              <w:rPr>
                <w:rFonts w:ascii="Times New Roman" w:hAnsi="Times New Roman" w:eastAsia="宋体" w:cs="Times New Roman"/>
                <w:b/>
                <w:color w:val="000000" w:themeColor="text1"/>
                <w:kern w:val="0"/>
                <w:sz w:val="21"/>
                <w:szCs w:val="21"/>
                <w:u w:val="single"/>
                <w:lang w:val="en-US" w:eastAsia="zh-CN" w:bidi="ar-SA"/>
                <w14:textFill>
                  <w14:solidFill>
                    <w14:schemeClr w14:val="tx1"/>
                  </w14:solidFill>
                </w14:textFill>
              </w:rPr>
            </w:pPr>
            <w:r>
              <w:rPr>
                <w:rFonts w:ascii="Times New Roman" w:hAnsi="Times New Roman" w:eastAsia="宋体" w:cs="Times New Roman"/>
                <w:b/>
                <w:color w:val="000000" w:themeColor="text1"/>
                <w:kern w:val="0"/>
                <w:sz w:val="21"/>
                <w:szCs w:val="21"/>
                <w:u w:val="single"/>
                <w:lang w:val="en-US" w:eastAsia="zh-CN" w:bidi="ar-SA"/>
                <w14:textFill>
                  <w14:solidFill>
                    <w14:schemeClr w14:val="tx1"/>
                  </w14:solidFill>
                </w14:textFill>
              </w:rPr>
              <w:t>表 2</w:t>
            </w:r>
            <w:r>
              <w:rPr>
                <w:rFonts w:hint="eastAsia" w:ascii="Times New Roman" w:hAnsi="Times New Roman" w:eastAsia="宋体" w:cs="Times New Roman"/>
                <w:b/>
                <w:color w:val="000000" w:themeColor="text1"/>
                <w:kern w:val="0"/>
                <w:sz w:val="21"/>
                <w:szCs w:val="21"/>
                <w:u w:val="single"/>
                <w:lang w:val="en-US" w:eastAsia="zh-CN" w:bidi="ar-SA"/>
                <w14:textFill>
                  <w14:solidFill>
                    <w14:schemeClr w14:val="tx1"/>
                  </w14:solidFill>
                </w14:textFill>
              </w:rPr>
              <w:t>.1</w:t>
            </w:r>
            <w:r>
              <w:rPr>
                <w:rFonts w:ascii="Times New Roman" w:hAnsi="Times New Roman" w:eastAsia="宋体" w:cs="Times New Roman"/>
                <w:b/>
                <w:color w:val="000000" w:themeColor="text1"/>
                <w:kern w:val="0"/>
                <w:sz w:val="21"/>
                <w:szCs w:val="21"/>
                <w:u w:val="single"/>
                <w:lang w:val="en-US" w:eastAsia="zh-CN" w:bidi="ar-SA"/>
                <w14:textFill>
                  <w14:solidFill>
                    <w14:schemeClr w14:val="tx1"/>
                  </w14:solidFill>
                </w14:textFill>
              </w:rPr>
              <w:t>-3</w:t>
            </w:r>
            <w:r>
              <w:rPr>
                <w:rFonts w:hint="eastAsia" w:ascii="Times New Roman" w:hAnsi="Times New Roman" w:eastAsia="宋体" w:cs="Times New Roman"/>
                <w:b/>
                <w:color w:val="000000" w:themeColor="text1"/>
                <w:kern w:val="0"/>
                <w:sz w:val="21"/>
                <w:szCs w:val="21"/>
                <w:u w:val="single"/>
                <w:lang w:val="en-US" w:eastAsia="zh-CN" w:bidi="ar-SA"/>
                <w14:textFill>
                  <w14:solidFill>
                    <w14:schemeClr w14:val="tx1"/>
                  </w14:solidFill>
                </w14:textFill>
              </w:rPr>
              <w:t xml:space="preserve"> </w:t>
            </w:r>
            <w:r>
              <w:rPr>
                <w:rFonts w:ascii="Times New Roman" w:hAnsi="Times New Roman" w:eastAsia="宋体" w:cs="Times New Roman"/>
                <w:b/>
                <w:color w:val="000000" w:themeColor="text1"/>
                <w:kern w:val="0"/>
                <w:sz w:val="21"/>
                <w:szCs w:val="21"/>
                <w:u w:val="single"/>
                <w:lang w:val="en-US" w:eastAsia="zh-CN" w:bidi="ar-SA"/>
                <w14:textFill>
                  <w14:solidFill>
                    <w14:schemeClr w14:val="tx1"/>
                  </w14:solidFill>
                </w14:textFill>
              </w:rPr>
              <w:t>项目给排水情况一览表</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52"/>
              <w:gridCol w:w="1190"/>
              <w:gridCol w:w="1398"/>
              <w:gridCol w:w="1451"/>
              <w:gridCol w:w="1042"/>
              <w:gridCol w:w="13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3" w:type="pct"/>
                  <w:shd w:val="clear" w:color="auto" w:fill="auto"/>
                  <w:vAlign w:val="center"/>
                </w:tcPr>
                <w:p>
                  <w:pPr>
                    <w:pStyle w:val="48"/>
                    <w:rPr>
                      <w:rFonts w:hint="eastAsia"/>
                      <w:b/>
                      <w:bCs/>
                      <w:color w:val="000000" w:themeColor="text1"/>
                      <w:u w:val="single"/>
                      <w14:textFill>
                        <w14:solidFill>
                          <w14:schemeClr w14:val="tx1"/>
                        </w14:solidFill>
                      </w14:textFill>
                    </w:rPr>
                  </w:pPr>
                  <w:r>
                    <w:rPr>
                      <w:rFonts w:hint="eastAsia"/>
                      <w:b/>
                      <w:bCs/>
                      <w:color w:val="000000" w:themeColor="text1"/>
                      <w:u w:val="single"/>
                      <w14:textFill>
                        <w14:solidFill>
                          <w14:schemeClr w14:val="tx1"/>
                        </w14:solidFill>
                      </w14:textFill>
                    </w:rPr>
                    <w:t>类型</w:t>
                  </w:r>
                </w:p>
              </w:tc>
              <w:tc>
                <w:tcPr>
                  <w:tcW w:w="759" w:type="pct"/>
                  <w:shd w:val="clear" w:color="auto" w:fill="auto"/>
                  <w:vAlign w:val="center"/>
                </w:tcPr>
                <w:p>
                  <w:pPr>
                    <w:pStyle w:val="48"/>
                    <w:rPr>
                      <w:rFonts w:hint="default"/>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用水单位数量</w:t>
                  </w:r>
                </w:p>
              </w:tc>
              <w:tc>
                <w:tcPr>
                  <w:tcW w:w="892" w:type="pct"/>
                  <w:vAlign w:val="center"/>
                </w:tcPr>
                <w:p>
                  <w:pPr>
                    <w:pStyle w:val="48"/>
                    <w:rPr>
                      <w:rFonts w:hint="default"/>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用水定额（L）</w:t>
                  </w:r>
                </w:p>
              </w:tc>
              <w:tc>
                <w:tcPr>
                  <w:tcW w:w="926" w:type="pct"/>
                  <w:shd w:val="clear" w:color="auto" w:fill="auto"/>
                  <w:vAlign w:val="center"/>
                </w:tcPr>
                <w:p>
                  <w:pPr>
                    <w:pStyle w:val="48"/>
                    <w:rPr>
                      <w:rFonts w:hint="eastAsia"/>
                      <w:b/>
                      <w:bCs/>
                      <w:color w:val="000000" w:themeColor="text1"/>
                      <w:u w:val="single"/>
                      <w14:textFill>
                        <w14:solidFill>
                          <w14:schemeClr w14:val="tx1"/>
                        </w14:solidFill>
                      </w14:textFill>
                    </w:rPr>
                  </w:pPr>
                  <w:r>
                    <w:rPr>
                      <w:rFonts w:hint="eastAsia"/>
                      <w:b/>
                      <w:bCs/>
                      <w:color w:val="000000" w:themeColor="text1"/>
                      <w:u w:val="single"/>
                      <w14:textFill>
                        <w14:solidFill>
                          <w14:schemeClr w14:val="tx1"/>
                        </w14:solidFill>
                      </w14:textFill>
                    </w:rPr>
                    <w:t>用水量（m3/a）</w:t>
                  </w:r>
                </w:p>
              </w:tc>
              <w:tc>
                <w:tcPr>
                  <w:tcW w:w="665" w:type="pct"/>
                  <w:shd w:val="clear" w:color="auto" w:fill="auto"/>
                  <w:vAlign w:val="center"/>
                </w:tcPr>
                <w:p>
                  <w:pPr>
                    <w:pStyle w:val="48"/>
                    <w:rPr>
                      <w:rFonts w:hint="default"/>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排水系数</w:t>
                  </w:r>
                </w:p>
              </w:tc>
              <w:tc>
                <w:tcPr>
                  <w:tcW w:w="892" w:type="pct"/>
                  <w:shd w:val="clear" w:color="auto" w:fill="auto"/>
                  <w:vAlign w:val="center"/>
                </w:tcPr>
                <w:p>
                  <w:pPr>
                    <w:pStyle w:val="48"/>
                    <w:rPr>
                      <w:rFonts w:hint="eastAsia"/>
                      <w:b/>
                      <w:bCs/>
                      <w:color w:val="000000" w:themeColor="text1"/>
                      <w:u w:val="single"/>
                      <w14:textFill>
                        <w14:solidFill>
                          <w14:schemeClr w14:val="tx1"/>
                        </w14:solidFill>
                      </w14:textFill>
                    </w:rPr>
                  </w:pPr>
                  <w:r>
                    <w:rPr>
                      <w:rFonts w:hint="eastAsia"/>
                      <w:b/>
                      <w:bCs/>
                      <w:color w:val="000000" w:themeColor="text1"/>
                      <w:u w:val="single"/>
                      <w14:textFill>
                        <w14:solidFill>
                          <w14:schemeClr w14:val="tx1"/>
                        </w14:solidFill>
                      </w14:textFill>
                    </w:rPr>
                    <w:t>排水量（m3/a）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3" w:type="pct"/>
                  <w:shd w:val="clear" w:color="auto" w:fill="auto"/>
                  <w:vAlign w:val="center"/>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门诊医疗用水</w:t>
                  </w:r>
                </w:p>
              </w:tc>
              <w:tc>
                <w:tcPr>
                  <w:tcW w:w="759" w:type="pct"/>
                  <w:shd w:val="clear" w:color="auto" w:fill="auto"/>
                  <w:vAlign w:val="center"/>
                </w:tcPr>
                <w:p>
                  <w:pPr>
                    <w:pStyle w:val="48"/>
                    <w:rPr>
                      <w:rFonts w:hint="default"/>
                      <w:color w:val="000000" w:themeColor="text1"/>
                      <w:u w:val="single"/>
                      <w:lang w:val="en-US"/>
                      <w14:textFill>
                        <w14:solidFill>
                          <w14:schemeClr w14:val="tx1"/>
                        </w14:solidFill>
                      </w14:textFill>
                    </w:rPr>
                  </w:pPr>
                  <w:r>
                    <w:rPr>
                      <w:rFonts w:hint="default"/>
                      <w:color w:val="000000" w:themeColor="text1"/>
                      <w:u w:val="single"/>
                      <w:lang w:val="en-US" w:eastAsia="zh-CN"/>
                      <w14:textFill>
                        <w14:solidFill>
                          <w14:schemeClr w14:val="tx1"/>
                        </w14:solidFill>
                      </w14:textFill>
                    </w:rPr>
                    <w:t>80</w:t>
                  </w:r>
                  <w:r>
                    <w:rPr>
                      <w:rFonts w:hint="eastAsia"/>
                      <w:color w:val="000000" w:themeColor="text1"/>
                      <w:u w:val="single"/>
                      <w:lang w:val="en-US" w:eastAsia="zh-CN"/>
                      <w14:textFill>
                        <w14:solidFill>
                          <w14:schemeClr w14:val="tx1"/>
                        </w14:solidFill>
                      </w14:textFill>
                    </w:rPr>
                    <w:t>人</w:t>
                  </w:r>
                </w:p>
              </w:tc>
              <w:tc>
                <w:tcPr>
                  <w:tcW w:w="892" w:type="pct"/>
                  <w:vAlign w:val="center"/>
                </w:tcPr>
                <w:p>
                  <w:pPr>
                    <w:pStyle w:val="48"/>
                    <w:rPr>
                      <w:rFonts w:hint="eastAsia"/>
                      <w:color w:val="000000" w:themeColor="text1"/>
                      <w:u w:val="single"/>
                      <w14:textFill>
                        <w14:solidFill>
                          <w14:schemeClr w14:val="tx1"/>
                        </w14:solidFill>
                      </w14:textFill>
                    </w:rPr>
                  </w:pPr>
                  <w:r>
                    <w:rPr>
                      <w:rFonts w:hint="default"/>
                      <w:color w:val="000000" w:themeColor="text1"/>
                      <w:u w:val="single"/>
                      <w:lang w:val="en-US" w:eastAsia="zh-CN"/>
                      <w14:textFill>
                        <w14:solidFill>
                          <w14:schemeClr w14:val="tx1"/>
                        </w14:solidFill>
                      </w14:textFill>
                    </w:rPr>
                    <w:t>10</w:t>
                  </w:r>
                </w:p>
              </w:tc>
              <w:tc>
                <w:tcPr>
                  <w:tcW w:w="926" w:type="pct"/>
                  <w:shd w:val="clear" w:color="auto" w:fill="auto"/>
                  <w:vAlign w:val="center"/>
                </w:tcPr>
                <w:p>
                  <w:pPr>
                    <w:pStyle w:val="48"/>
                    <w:rPr>
                      <w:rFonts w:hint="eastAsia"/>
                      <w:color w:val="000000" w:themeColor="text1"/>
                      <w:u w:val="single"/>
                      <w14:textFill>
                        <w14:solidFill>
                          <w14:schemeClr w14:val="tx1"/>
                        </w14:solidFill>
                      </w14:textFill>
                    </w:rPr>
                  </w:pPr>
                  <w:r>
                    <w:rPr>
                      <w:rFonts w:hint="default"/>
                      <w:color w:val="000000" w:themeColor="text1"/>
                      <w:u w:val="single"/>
                      <w:lang w:val="en-US" w:eastAsia="zh-CN"/>
                      <w14:textFill>
                        <w14:solidFill>
                          <w14:schemeClr w14:val="tx1"/>
                        </w14:solidFill>
                      </w14:textFill>
                    </w:rPr>
                    <w:t>292</w:t>
                  </w:r>
                </w:p>
              </w:tc>
              <w:tc>
                <w:tcPr>
                  <w:tcW w:w="665" w:type="pct"/>
                  <w:shd w:val="clear" w:color="auto" w:fill="auto"/>
                  <w:vAlign w:val="center"/>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0.8</w:t>
                  </w:r>
                </w:p>
              </w:tc>
              <w:tc>
                <w:tcPr>
                  <w:tcW w:w="892" w:type="pct"/>
                  <w:shd w:val="clear" w:color="auto" w:fill="auto"/>
                  <w:vAlign w:val="center"/>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233.6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3" w:type="pct"/>
                  <w:shd w:val="clear" w:color="auto" w:fill="auto"/>
                  <w:vAlign w:val="center"/>
                </w:tcPr>
                <w:p>
                  <w:pPr>
                    <w:pStyle w:val="48"/>
                    <w:rPr>
                      <w:rFonts w:hint="eastAsia"/>
                      <w:color w:val="000000" w:themeColor="text1"/>
                      <w:u w:val="single"/>
                      <w14:textFill>
                        <w14:solidFill>
                          <w14:schemeClr w14:val="tx1"/>
                        </w14:solidFill>
                      </w14:textFill>
                    </w:rPr>
                  </w:pPr>
                  <w:r>
                    <w:rPr>
                      <w:rFonts w:hint="eastAsia"/>
                      <w:color w:val="000000" w:themeColor="text1"/>
                      <w:u w:val="single"/>
                      <w:lang w:val="en-US" w:eastAsia="zh-CN"/>
                      <w14:textFill>
                        <w14:solidFill>
                          <w14:schemeClr w14:val="tx1"/>
                        </w14:solidFill>
                      </w14:textFill>
                    </w:rPr>
                    <w:t>住院病人用水</w:t>
                  </w:r>
                </w:p>
              </w:tc>
              <w:tc>
                <w:tcPr>
                  <w:tcW w:w="759" w:type="pct"/>
                  <w:shd w:val="clear" w:color="auto" w:fill="auto"/>
                  <w:vAlign w:val="center"/>
                </w:tcPr>
                <w:p>
                  <w:pPr>
                    <w:pStyle w:val="48"/>
                    <w:rPr>
                      <w:rFonts w:hint="default"/>
                      <w:color w:val="000000" w:themeColor="text1"/>
                      <w:u w:val="single"/>
                      <w:lang w:val="en-US"/>
                      <w14:textFill>
                        <w14:solidFill>
                          <w14:schemeClr w14:val="tx1"/>
                        </w14:solidFill>
                      </w14:textFill>
                    </w:rPr>
                  </w:pPr>
                  <w:r>
                    <w:rPr>
                      <w:rFonts w:hint="default"/>
                      <w:color w:val="000000" w:themeColor="text1"/>
                      <w:u w:val="single"/>
                      <w:lang w:val="en-US" w:eastAsia="zh-CN"/>
                      <w14:textFill>
                        <w14:solidFill>
                          <w14:schemeClr w14:val="tx1"/>
                        </w14:solidFill>
                      </w14:textFill>
                    </w:rPr>
                    <w:t>40</w:t>
                  </w:r>
                  <w:r>
                    <w:rPr>
                      <w:rFonts w:hint="eastAsia"/>
                      <w:color w:val="000000" w:themeColor="text1"/>
                      <w:u w:val="single"/>
                      <w:lang w:val="en-US" w:eastAsia="zh-CN"/>
                      <w14:textFill>
                        <w14:solidFill>
                          <w14:schemeClr w14:val="tx1"/>
                        </w14:solidFill>
                      </w14:textFill>
                    </w:rPr>
                    <w:t>人</w:t>
                  </w:r>
                </w:p>
              </w:tc>
              <w:tc>
                <w:tcPr>
                  <w:tcW w:w="892" w:type="pct"/>
                  <w:vAlign w:val="center"/>
                </w:tcPr>
                <w:p>
                  <w:pPr>
                    <w:pStyle w:val="48"/>
                    <w:rPr>
                      <w:rFonts w:hint="eastAsia"/>
                      <w:color w:val="000000" w:themeColor="text1"/>
                      <w:u w:val="single"/>
                      <w14:textFill>
                        <w14:solidFill>
                          <w14:schemeClr w14:val="tx1"/>
                        </w14:solidFill>
                      </w14:textFill>
                    </w:rPr>
                  </w:pPr>
                  <w:r>
                    <w:rPr>
                      <w:rFonts w:hint="default"/>
                      <w:color w:val="000000" w:themeColor="text1"/>
                      <w:u w:val="single"/>
                      <w:lang w:val="en-US" w:eastAsia="zh-CN"/>
                      <w14:textFill>
                        <w14:solidFill>
                          <w14:schemeClr w14:val="tx1"/>
                        </w14:solidFill>
                      </w14:textFill>
                    </w:rPr>
                    <w:t>150</w:t>
                  </w:r>
                </w:p>
              </w:tc>
              <w:tc>
                <w:tcPr>
                  <w:tcW w:w="926" w:type="pct"/>
                  <w:shd w:val="clear" w:color="auto" w:fill="auto"/>
                  <w:vAlign w:val="center"/>
                </w:tcPr>
                <w:p>
                  <w:pPr>
                    <w:pStyle w:val="48"/>
                    <w:rPr>
                      <w:rFonts w:hint="eastAsia"/>
                      <w:color w:val="000000" w:themeColor="text1"/>
                      <w:u w:val="single"/>
                      <w14:textFill>
                        <w14:solidFill>
                          <w14:schemeClr w14:val="tx1"/>
                        </w14:solidFill>
                      </w14:textFill>
                    </w:rPr>
                  </w:pPr>
                  <w:r>
                    <w:rPr>
                      <w:rFonts w:hint="default"/>
                      <w:color w:val="000000" w:themeColor="text1"/>
                      <w:u w:val="single"/>
                      <w:lang w:val="en-US" w:eastAsia="zh-CN"/>
                      <w14:textFill>
                        <w14:solidFill>
                          <w14:schemeClr w14:val="tx1"/>
                        </w14:solidFill>
                      </w14:textFill>
                    </w:rPr>
                    <w:t>2190</w:t>
                  </w:r>
                </w:p>
              </w:tc>
              <w:tc>
                <w:tcPr>
                  <w:tcW w:w="665" w:type="pct"/>
                  <w:shd w:val="clear" w:color="auto" w:fill="auto"/>
                  <w:vAlign w:val="center"/>
                </w:tcPr>
                <w:p>
                  <w:pPr>
                    <w:pStyle w:val="48"/>
                    <w:rPr>
                      <w:rFonts w:hint="eastAsia"/>
                      <w:color w:val="000000" w:themeColor="text1"/>
                      <w:u w:val="single"/>
                      <w14:textFill>
                        <w14:solidFill>
                          <w14:schemeClr w14:val="tx1"/>
                        </w14:solidFill>
                      </w14:textFill>
                    </w:rPr>
                  </w:pPr>
                  <w:r>
                    <w:rPr>
                      <w:rFonts w:hint="eastAsia"/>
                      <w:color w:val="000000" w:themeColor="text1"/>
                      <w:u w:val="single"/>
                      <w:lang w:val="en-US" w:eastAsia="zh-CN"/>
                      <w14:textFill>
                        <w14:solidFill>
                          <w14:schemeClr w14:val="tx1"/>
                        </w14:solidFill>
                      </w14:textFill>
                    </w:rPr>
                    <w:t>0.8</w:t>
                  </w:r>
                </w:p>
              </w:tc>
              <w:tc>
                <w:tcPr>
                  <w:tcW w:w="892" w:type="pct"/>
                  <w:shd w:val="clear" w:color="auto" w:fill="auto"/>
                  <w:vAlign w:val="center"/>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1752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3" w:type="pct"/>
                  <w:shd w:val="clear" w:color="auto" w:fill="auto"/>
                  <w:vAlign w:val="center"/>
                </w:tcPr>
                <w:p>
                  <w:pPr>
                    <w:pStyle w:val="48"/>
                    <w:rPr>
                      <w:rFonts w:hint="eastAsia"/>
                      <w:color w:val="000000" w:themeColor="text1"/>
                      <w:u w:val="single"/>
                      <w14:textFill>
                        <w14:solidFill>
                          <w14:schemeClr w14:val="tx1"/>
                        </w14:solidFill>
                      </w14:textFill>
                    </w:rPr>
                  </w:pPr>
                  <w:r>
                    <w:rPr>
                      <w:rFonts w:hint="eastAsia"/>
                      <w:color w:val="000000" w:themeColor="text1"/>
                      <w:u w:val="single"/>
                      <w:lang w:val="en-US" w:eastAsia="zh-CN"/>
                      <w14:textFill>
                        <w14:solidFill>
                          <w14:schemeClr w14:val="tx1"/>
                        </w14:solidFill>
                      </w14:textFill>
                    </w:rPr>
                    <w:t>医疗人员生活用水</w:t>
                  </w:r>
                </w:p>
              </w:tc>
              <w:tc>
                <w:tcPr>
                  <w:tcW w:w="759" w:type="pct"/>
                  <w:shd w:val="clear" w:color="auto" w:fill="auto"/>
                  <w:vAlign w:val="center"/>
                </w:tcPr>
                <w:p>
                  <w:pPr>
                    <w:pStyle w:val="48"/>
                    <w:rPr>
                      <w:rFonts w:hint="default"/>
                      <w:color w:val="000000" w:themeColor="text1"/>
                      <w:u w:val="single"/>
                      <w:lang w:val="en-US"/>
                      <w14:textFill>
                        <w14:solidFill>
                          <w14:schemeClr w14:val="tx1"/>
                        </w14:solidFill>
                      </w14:textFill>
                    </w:rPr>
                  </w:pPr>
                  <w:r>
                    <w:rPr>
                      <w:rFonts w:hint="default"/>
                      <w:color w:val="000000" w:themeColor="text1"/>
                      <w:u w:val="single"/>
                      <w:lang w:val="en-US" w:eastAsia="zh-CN"/>
                      <w14:textFill>
                        <w14:solidFill>
                          <w14:schemeClr w14:val="tx1"/>
                        </w14:solidFill>
                      </w14:textFill>
                    </w:rPr>
                    <w:t>45</w:t>
                  </w:r>
                  <w:r>
                    <w:rPr>
                      <w:rFonts w:hint="eastAsia"/>
                      <w:color w:val="000000" w:themeColor="text1"/>
                      <w:u w:val="single"/>
                      <w:lang w:val="en-US" w:eastAsia="zh-CN"/>
                      <w14:textFill>
                        <w14:solidFill>
                          <w14:schemeClr w14:val="tx1"/>
                        </w14:solidFill>
                      </w14:textFill>
                    </w:rPr>
                    <w:t>人</w:t>
                  </w:r>
                </w:p>
              </w:tc>
              <w:tc>
                <w:tcPr>
                  <w:tcW w:w="892" w:type="pct"/>
                  <w:vAlign w:val="center"/>
                </w:tcPr>
                <w:p>
                  <w:pPr>
                    <w:pStyle w:val="48"/>
                    <w:rPr>
                      <w:rFonts w:hint="eastAsia"/>
                      <w:color w:val="000000" w:themeColor="text1"/>
                      <w:u w:val="single"/>
                      <w14:textFill>
                        <w14:solidFill>
                          <w14:schemeClr w14:val="tx1"/>
                        </w14:solidFill>
                      </w14:textFill>
                    </w:rPr>
                  </w:pPr>
                  <w:r>
                    <w:rPr>
                      <w:rFonts w:hint="default"/>
                      <w:color w:val="000000" w:themeColor="text1"/>
                      <w:u w:val="single"/>
                      <w:lang w:val="en-US" w:eastAsia="zh-CN"/>
                      <w14:textFill>
                        <w14:solidFill>
                          <w14:schemeClr w14:val="tx1"/>
                        </w14:solidFill>
                      </w14:textFill>
                    </w:rPr>
                    <w:t>70</w:t>
                  </w:r>
                </w:p>
              </w:tc>
              <w:tc>
                <w:tcPr>
                  <w:tcW w:w="926" w:type="pct"/>
                  <w:shd w:val="clear" w:color="auto" w:fill="auto"/>
                  <w:vAlign w:val="center"/>
                </w:tcPr>
                <w:p>
                  <w:pPr>
                    <w:pStyle w:val="48"/>
                    <w:rPr>
                      <w:rFonts w:hint="eastAsia"/>
                      <w:color w:val="000000" w:themeColor="text1"/>
                      <w:u w:val="single"/>
                      <w14:textFill>
                        <w14:solidFill>
                          <w14:schemeClr w14:val="tx1"/>
                        </w14:solidFill>
                      </w14:textFill>
                    </w:rPr>
                  </w:pPr>
                  <w:r>
                    <w:rPr>
                      <w:rFonts w:hint="default"/>
                      <w:color w:val="000000" w:themeColor="text1"/>
                      <w:u w:val="single"/>
                      <w:lang w:val="en-US" w:eastAsia="zh-CN"/>
                      <w14:textFill>
                        <w14:solidFill>
                          <w14:schemeClr w14:val="tx1"/>
                        </w14:solidFill>
                      </w14:textFill>
                    </w:rPr>
                    <w:t>1149.75</w:t>
                  </w:r>
                </w:p>
              </w:tc>
              <w:tc>
                <w:tcPr>
                  <w:tcW w:w="665" w:type="pct"/>
                  <w:shd w:val="clear" w:color="auto" w:fill="auto"/>
                  <w:vAlign w:val="center"/>
                </w:tcPr>
                <w:p>
                  <w:pPr>
                    <w:pStyle w:val="48"/>
                    <w:rPr>
                      <w:rFonts w:hint="eastAsia"/>
                      <w:color w:val="000000" w:themeColor="text1"/>
                      <w:u w:val="single"/>
                      <w14:textFill>
                        <w14:solidFill>
                          <w14:schemeClr w14:val="tx1"/>
                        </w14:solidFill>
                      </w14:textFill>
                    </w:rPr>
                  </w:pPr>
                  <w:r>
                    <w:rPr>
                      <w:rFonts w:hint="eastAsia"/>
                      <w:color w:val="000000" w:themeColor="text1"/>
                      <w:u w:val="single"/>
                      <w:lang w:val="en-US" w:eastAsia="zh-CN"/>
                      <w14:textFill>
                        <w14:solidFill>
                          <w14:schemeClr w14:val="tx1"/>
                        </w14:solidFill>
                      </w14:textFill>
                    </w:rPr>
                    <w:t>0.8</w:t>
                  </w:r>
                </w:p>
              </w:tc>
              <w:tc>
                <w:tcPr>
                  <w:tcW w:w="892" w:type="pct"/>
                  <w:shd w:val="clear" w:color="auto" w:fill="auto"/>
                  <w:vAlign w:val="center"/>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919.8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3" w:type="pct"/>
                  <w:shd w:val="clear" w:color="auto" w:fill="auto"/>
                  <w:vAlign w:val="center"/>
                </w:tcPr>
                <w:p>
                  <w:pPr>
                    <w:pStyle w:val="48"/>
                    <w:rPr>
                      <w:rFonts w:hint="eastAsia"/>
                      <w:color w:val="000000" w:themeColor="text1"/>
                      <w:u w:val="single"/>
                      <w14:textFill>
                        <w14:solidFill>
                          <w14:schemeClr w14:val="tx1"/>
                        </w14:solidFill>
                      </w14:textFill>
                    </w:rPr>
                  </w:pPr>
                  <w:r>
                    <w:rPr>
                      <w:rFonts w:hint="eastAsia"/>
                      <w:color w:val="000000" w:themeColor="text1"/>
                      <w:u w:val="single"/>
                      <w:lang w:val="en-US" w:eastAsia="zh-CN"/>
                      <w14:textFill>
                        <w14:solidFill>
                          <w14:schemeClr w14:val="tx1"/>
                        </w14:solidFill>
                      </w14:textFill>
                    </w:rPr>
                    <w:t>洗涤用水</w:t>
                  </w:r>
                </w:p>
              </w:tc>
              <w:tc>
                <w:tcPr>
                  <w:tcW w:w="759" w:type="pct"/>
                  <w:shd w:val="clear" w:color="auto" w:fill="auto"/>
                  <w:vAlign w:val="center"/>
                </w:tcPr>
                <w:p>
                  <w:pPr>
                    <w:pStyle w:val="48"/>
                    <w:rPr>
                      <w:rFonts w:hint="default"/>
                      <w:color w:val="000000" w:themeColor="text1"/>
                      <w:u w:val="single"/>
                      <w:lang w:val="en-US"/>
                      <w14:textFill>
                        <w14:solidFill>
                          <w14:schemeClr w14:val="tx1"/>
                        </w14:solidFill>
                      </w14:textFill>
                    </w:rPr>
                  </w:pPr>
                  <w:r>
                    <w:rPr>
                      <w:rFonts w:hint="default"/>
                      <w:color w:val="000000" w:themeColor="text1"/>
                      <w:u w:val="single"/>
                      <w:lang w:val="en-US" w:eastAsia="zh-CN"/>
                      <w14:textFill>
                        <w14:solidFill>
                          <w14:schemeClr w14:val="tx1"/>
                        </w14:solidFill>
                      </w14:textFill>
                    </w:rPr>
                    <w:t>40</w:t>
                  </w:r>
                  <w:r>
                    <w:rPr>
                      <w:rFonts w:hint="eastAsia"/>
                      <w:color w:val="000000" w:themeColor="text1"/>
                      <w:u w:val="single"/>
                      <w:lang w:val="en-US" w:eastAsia="zh-CN"/>
                      <w14:textFill>
                        <w14:solidFill>
                          <w14:schemeClr w14:val="tx1"/>
                        </w14:solidFill>
                      </w14:textFill>
                    </w:rPr>
                    <w:t>床</w:t>
                  </w:r>
                </w:p>
              </w:tc>
              <w:tc>
                <w:tcPr>
                  <w:tcW w:w="892" w:type="pct"/>
                  <w:vAlign w:val="center"/>
                </w:tcPr>
                <w:p>
                  <w:pPr>
                    <w:pStyle w:val="48"/>
                    <w:rPr>
                      <w:rFonts w:hint="eastAsia"/>
                      <w:color w:val="000000" w:themeColor="text1"/>
                      <w:u w:val="single"/>
                      <w14:textFill>
                        <w14:solidFill>
                          <w14:schemeClr w14:val="tx1"/>
                        </w14:solidFill>
                      </w14:textFill>
                    </w:rPr>
                  </w:pPr>
                  <w:r>
                    <w:rPr>
                      <w:rFonts w:hint="default"/>
                      <w:color w:val="000000" w:themeColor="text1"/>
                      <w:u w:val="single"/>
                      <w:lang w:val="en-US" w:eastAsia="zh-CN"/>
                      <w14:textFill>
                        <w14:solidFill>
                          <w14:schemeClr w14:val="tx1"/>
                        </w14:solidFill>
                      </w14:textFill>
                    </w:rPr>
                    <w:t>50</w:t>
                  </w:r>
                </w:p>
              </w:tc>
              <w:tc>
                <w:tcPr>
                  <w:tcW w:w="926" w:type="pct"/>
                  <w:shd w:val="clear" w:color="auto" w:fill="auto"/>
                  <w:vAlign w:val="center"/>
                </w:tcPr>
                <w:p>
                  <w:pPr>
                    <w:pStyle w:val="48"/>
                    <w:rPr>
                      <w:rFonts w:hint="eastAsia"/>
                      <w:color w:val="000000" w:themeColor="text1"/>
                      <w:u w:val="single"/>
                      <w14:textFill>
                        <w14:solidFill>
                          <w14:schemeClr w14:val="tx1"/>
                        </w14:solidFill>
                      </w14:textFill>
                    </w:rPr>
                  </w:pPr>
                  <w:r>
                    <w:rPr>
                      <w:rFonts w:hint="default"/>
                      <w:color w:val="000000" w:themeColor="text1"/>
                      <w:u w:val="single"/>
                      <w:lang w:val="en-US" w:eastAsia="zh-CN"/>
                      <w14:textFill>
                        <w14:solidFill>
                          <w14:schemeClr w14:val="tx1"/>
                        </w14:solidFill>
                      </w14:textFill>
                    </w:rPr>
                    <w:t>730</w:t>
                  </w:r>
                </w:p>
              </w:tc>
              <w:tc>
                <w:tcPr>
                  <w:tcW w:w="665" w:type="pct"/>
                  <w:shd w:val="clear" w:color="auto" w:fill="auto"/>
                  <w:vAlign w:val="center"/>
                </w:tcPr>
                <w:p>
                  <w:pPr>
                    <w:pStyle w:val="48"/>
                    <w:rPr>
                      <w:rFonts w:hint="eastAsia"/>
                      <w:color w:val="000000" w:themeColor="text1"/>
                      <w:u w:val="single"/>
                      <w14:textFill>
                        <w14:solidFill>
                          <w14:schemeClr w14:val="tx1"/>
                        </w14:solidFill>
                      </w14:textFill>
                    </w:rPr>
                  </w:pPr>
                  <w:r>
                    <w:rPr>
                      <w:rFonts w:hint="eastAsia"/>
                      <w:color w:val="000000" w:themeColor="text1"/>
                      <w:u w:val="single"/>
                      <w:lang w:val="en-US" w:eastAsia="zh-CN"/>
                      <w14:textFill>
                        <w14:solidFill>
                          <w14:schemeClr w14:val="tx1"/>
                        </w14:solidFill>
                      </w14:textFill>
                    </w:rPr>
                    <w:t>0.8</w:t>
                  </w:r>
                </w:p>
              </w:tc>
              <w:tc>
                <w:tcPr>
                  <w:tcW w:w="892" w:type="pct"/>
                  <w:shd w:val="clear" w:color="auto" w:fill="auto"/>
                  <w:vAlign w:val="center"/>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584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3" w:type="pct"/>
                  <w:shd w:val="clear" w:color="auto" w:fill="auto"/>
                  <w:vAlign w:val="center"/>
                </w:tcPr>
                <w:p>
                  <w:pPr>
                    <w:pStyle w:val="48"/>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合计</w:t>
                  </w:r>
                </w:p>
              </w:tc>
              <w:tc>
                <w:tcPr>
                  <w:tcW w:w="759" w:type="pct"/>
                  <w:shd w:val="clear" w:color="auto" w:fill="auto"/>
                  <w:vAlign w:val="center"/>
                </w:tcPr>
                <w:p>
                  <w:pPr>
                    <w:pStyle w:val="48"/>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w:t>
                  </w:r>
                </w:p>
              </w:tc>
              <w:tc>
                <w:tcPr>
                  <w:tcW w:w="892" w:type="pct"/>
                  <w:vAlign w:val="center"/>
                </w:tcPr>
                <w:p>
                  <w:pPr>
                    <w:pStyle w:val="48"/>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w:t>
                  </w:r>
                </w:p>
              </w:tc>
              <w:tc>
                <w:tcPr>
                  <w:tcW w:w="926" w:type="pct"/>
                  <w:shd w:val="clear" w:color="auto" w:fill="auto"/>
                  <w:vAlign w:val="center"/>
                </w:tcPr>
                <w:p>
                  <w:pPr>
                    <w:pStyle w:val="48"/>
                    <w:rPr>
                      <w:rFonts w:hint="default"/>
                      <w:color w:val="000000" w:themeColor="text1"/>
                      <w:u w:val="single"/>
                      <w:lang w:val="en-US" w:eastAsia="zh-CN"/>
                      <w14:textFill>
                        <w14:solidFill>
                          <w14:schemeClr w14:val="tx1"/>
                        </w14:solidFill>
                      </w14:textFill>
                    </w:rPr>
                  </w:pPr>
                  <w:r>
                    <w:rPr>
                      <w:rFonts w:hint="default"/>
                      <w:color w:val="000000" w:themeColor="text1"/>
                      <w:u w:val="single"/>
                      <w:lang w:val="en-US" w:eastAsia="zh-CN"/>
                      <w14:textFill>
                        <w14:solidFill>
                          <w14:schemeClr w14:val="tx1"/>
                        </w14:solidFill>
                      </w14:textFill>
                    </w:rPr>
                    <w:t>4361.75</w:t>
                  </w:r>
                </w:p>
              </w:tc>
              <w:tc>
                <w:tcPr>
                  <w:tcW w:w="665" w:type="pct"/>
                  <w:shd w:val="clear" w:color="auto" w:fill="auto"/>
                  <w:vAlign w:val="center"/>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w:t>
                  </w:r>
                </w:p>
              </w:tc>
              <w:tc>
                <w:tcPr>
                  <w:tcW w:w="892" w:type="pct"/>
                  <w:shd w:val="clear" w:color="auto" w:fill="auto"/>
                  <w:vAlign w:val="center"/>
                </w:tcPr>
                <w:p>
                  <w:pPr>
                    <w:pStyle w:val="48"/>
                    <w:rPr>
                      <w:rFonts w:hint="default"/>
                      <w:color w:val="000000" w:themeColor="text1"/>
                      <w:u w:val="single"/>
                      <w:lang w:val="en-US" w:eastAsia="zh-CN"/>
                      <w14:textFill>
                        <w14:solidFill>
                          <w14:schemeClr w14:val="tx1"/>
                        </w14:solidFill>
                      </w14:textFill>
                    </w:rPr>
                  </w:pPr>
                  <w:r>
                    <w:rPr>
                      <w:rFonts w:hint="default"/>
                      <w:color w:val="000000" w:themeColor="text1"/>
                      <w:u w:val="single"/>
                      <w:lang w:val="en-US" w:eastAsia="zh-CN"/>
                      <w14:textFill>
                        <w14:solidFill>
                          <w14:schemeClr w14:val="tx1"/>
                        </w14:solidFill>
                      </w14:textFill>
                    </w:rPr>
                    <w:t>3489.4</w:t>
                  </w:r>
                </w:p>
              </w:tc>
            </w:tr>
          </w:tbl>
          <w:p>
            <w:pPr>
              <w:pStyle w:val="7"/>
              <w:keepNext w:val="0"/>
              <w:keepLines w:val="0"/>
              <w:pageBreakBefore w:val="0"/>
              <w:widowControl w:val="0"/>
              <w:kinsoku/>
              <w:wordWrap/>
              <w:overflowPunct/>
              <w:topLinePunct w:val="0"/>
              <w:autoSpaceDE/>
              <w:autoSpaceDN/>
              <w:bidi w:val="0"/>
              <w:adjustRightInd/>
              <w:snapToGrid/>
              <w:spacing w:before="313" w:beforeLines="100"/>
              <w:ind w:firstLine="48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供电</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由市政管网供电</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用电量为</w:t>
            </w:r>
            <w:r>
              <w:rPr>
                <w:rFonts w:hint="eastAsia" w:cs="Times New Roman"/>
                <w:color w:val="000000" w:themeColor="text1"/>
                <w:lang w:val="en-US" w:eastAsia="zh-CN"/>
                <w14:textFill>
                  <w14:solidFill>
                    <w14:schemeClr w14:val="tx1"/>
                  </w14:solidFill>
                </w14:textFill>
              </w:rPr>
              <w:t>8万</w:t>
            </w:r>
            <w:r>
              <w:rPr>
                <w:rFonts w:hint="default" w:ascii="Times New Roman" w:hAnsi="Times New Roman" w:eastAsia="宋体" w:cs="Times New Roman"/>
                <w:color w:val="000000" w:themeColor="text1"/>
                <w:lang w:val="en-US" w:eastAsia="zh-CN"/>
                <w14:textFill>
                  <w14:solidFill>
                    <w14:schemeClr w14:val="tx1"/>
                  </w14:solidFill>
                </w14:textFill>
              </w:rPr>
              <w:t>k</w:t>
            </w:r>
            <w:r>
              <w:rPr>
                <w:rFonts w:hint="eastAsia" w:ascii="Times New Roman" w:hAnsi="Times New Roman" w:eastAsia="宋体" w:cs="Times New Roman"/>
                <w:color w:val="000000" w:themeColor="text1"/>
                <w:lang w:val="en-US" w:eastAsia="zh-CN"/>
                <w14:textFill>
                  <w14:solidFill>
                    <w14:schemeClr w14:val="tx1"/>
                  </w14:solidFill>
                </w14:textFill>
              </w:rPr>
              <w:t>w</w:t>
            </w:r>
            <w:r>
              <w:rPr>
                <w:rFonts w:hint="default" w:ascii="Times New Roman" w:hAnsi="Times New Roman" w:eastAsia="宋体" w:cs="Times New Roman"/>
                <w:color w:val="000000" w:themeColor="text1"/>
                <w:lang w:val="en-US" w:eastAsia="zh-CN"/>
                <w14:textFill>
                  <w14:solidFill>
                    <w14:schemeClr w14:val="tx1"/>
                  </w14:solidFill>
                </w14:textFill>
              </w:rPr>
              <w:t>h/a</w:t>
            </w:r>
            <w:r>
              <w:rPr>
                <w:rFonts w:hint="eastAsia" w:ascii="Times New Roman" w:hAnsi="Times New Roman" w:eastAsia="宋体" w:cs="Times New Roman"/>
                <w:color w:val="000000" w:themeColor="text1"/>
                <w:lang w:val="en-US" w:eastAsia="zh-CN"/>
                <w14:textFill>
                  <w14:solidFill>
                    <w14:schemeClr w14:val="tx1"/>
                  </w14:solidFill>
                </w14:textFill>
              </w:rPr>
              <w:t>。</w:t>
            </w:r>
          </w:p>
          <w:p>
            <w:pPr>
              <w:pStyle w:val="7"/>
              <w:ind w:firstLine="48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lang w:val="en-US" w:eastAsia="zh-CN"/>
                <w14:textFill>
                  <w14:solidFill>
                    <w14:schemeClr w14:val="tx1"/>
                  </w14:solidFill>
                </w14:textFill>
              </w:rPr>
              <w:t>供冷供热</w:t>
            </w:r>
          </w:p>
          <w:p>
            <w:pPr>
              <w:pStyle w:val="7"/>
              <w:shd w:val="clear"/>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项目冬季和夏季供暖和供冷采用壁挂式空调供给。项目疫苗等需要冷藏的药物设置专用冰箱贮藏，不再单独设置其他制冷设施。</w:t>
            </w:r>
            <w:r>
              <w:rPr>
                <w:rFonts w:hint="eastAsia"/>
                <w:color w:val="000000" w:themeColor="text1"/>
                <w:shd w:val="clear"/>
                <w14:textFill>
                  <w14:solidFill>
                    <w14:schemeClr w14:val="tx1"/>
                  </w14:solidFill>
                </w14:textFill>
              </w:rPr>
              <w:t>项目内不设置锅炉。</w:t>
            </w:r>
          </w:p>
          <w:p>
            <w:pPr>
              <w:pStyle w:val="7"/>
              <w:numPr>
                <w:ilvl w:val="0"/>
                <w:numId w:val="0"/>
              </w:numPr>
              <w:ind w:firstLine="480" w:firstLineChars="200"/>
              <w:rPr>
                <w:color w:val="000000" w:themeColor="text1"/>
                <w14:textFill>
                  <w14:solidFill>
                    <w14:schemeClr w14:val="tx1"/>
                  </w14:solidFill>
                </w14:textFill>
              </w:rPr>
            </w:pPr>
            <w: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cs="Times New Roman"/>
                <w:color w:val="000000" w:themeColor="text1"/>
                <w:kern w:val="2"/>
                <w:sz w:val="24"/>
                <w:szCs w:val="24"/>
                <w:lang w:val="en-US" w:eastAsia="zh-CN" w:bidi="ar-SA"/>
                <w14:textFill>
                  <w14:solidFill>
                    <w14:schemeClr w14:val="tx1"/>
                  </w14:solidFill>
                </w14:textFill>
              </w:rPr>
              <w:t>5</w:t>
            </w:r>
            <w: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color w:val="000000" w:themeColor="text1"/>
                <w14:textFill>
                  <w14:solidFill>
                    <w14:schemeClr w14:val="tx1"/>
                  </w14:solidFill>
                </w14:textFill>
              </w:rPr>
              <w:t>消毒</w:t>
            </w:r>
          </w:p>
          <w:p>
            <w:pPr>
              <w:pStyle w:val="49"/>
              <w:rPr>
                <w:color w:val="000000" w:themeColor="text1"/>
                <w14:textFill>
                  <w14:solidFill>
                    <w14:schemeClr w14:val="tx1"/>
                  </w14:solidFill>
                </w14:textFill>
              </w:rPr>
            </w:pPr>
            <w:r>
              <w:rPr>
                <w:rFonts w:hint="eastAsia"/>
                <w:color w:val="000000" w:themeColor="text1"/>
                <w14:textFill>
                  <w14:solidFill>
                    <w14:schemeClr w14:val="tx1"/>
                  </w14:solidFill>
                </w14:textFill>
              </w:rPr>
              <w:t>表2.1-5项目主要消毒方式分类</w:t>
            </w:r>
          </w:p>
          <w:tbl>
            <w:tblPr>
              <w:tblStyle w:val="32"/>
              <w:tblW w:w="78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2310"/>
              <w:gridCol w:w="4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6" w:type="dxa"/>
                  <w:vAlign w:val="center"/>
                </w:tcPr>
                <w:p>
                  <w:pPr>
                    <w:pStyle w:val="48"/>
                    <w:rPr>
                      <w:color w:val="auto"/>
                    </w:rPr>
                  </w:pPr>
                  <w:r>
                    <w:rPr>
                      <w:rFonts w:hint="eastAsia"/>
                      <w:color w:val="auto"/>
                    </w:rPr>
                    <w:t>序号</w:t>
                  </w:r>
                </w:p>
              </w:tc>
              <w:tc>
                <w:tcPr>
                  <w:tcW w:w="2310" w:type="dxa"/>
                  <w:vAlign w:val="center"/>
                </w:tcPr>
                <w:p>
                  <w:pPr>
                    <w:pStyle w:val="48"/>
                    <w:rPr>
                      <w:color w:val="auto"/>
                    </w:rPr>
                  </w:pPr>
                  <w:r>
                    <w:rPr>
                      <w:rFonts w:hint="eastAsia"/>
                      <w:color w:val="auto"/>
                    </w:rPr>
                    <w:t>分类</w:t>
                  </w:r>
                </w:p>
              </w:tc>
              <w:tc>
                <w:tcPr>
                  <w:tcW w:w="4364" w:type="dxa"/>
                  <w:vAlign w:val="center"/>
                </w:tcPr>
                <w:p>
                  <w:pPr>
                    <w:pStyle w:val="48"/>
                    <w:rPr>
                      <w:color w:val="auto"/>
                    </w:rPr>
                  </w:pPr>
                  <w:r>
                    <w:rPr>
                      <w:rFonts w:hint="eastAsia"/>
                      <w:color w:val="auto"/>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6"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310"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皮肤消毒</w:t>
                  </w:r>
                </w:p>
              </w:tc>
              <w:tc>
                <w:tcPr>
                  <w:tcW w:w="4364"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安尔碘、碘伏、酒精、碘酒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6"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310"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空气消毒</w:t>
                  </w:r>
                </w:p>
              </w:tc>
              <w:tc>
                <w:tcPr>
                  <w:tcW w:w="4364"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紫外线、过氧乙酸熏蒸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6"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310"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物品消毒</w:t>
                  </w:r>
                </w:p>
              </w:tc>
              <w:tc>
                <w:tcPr>
                  <w:tcW w:w="4364"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84消毒液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6"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310"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器械消毒</w:t>
                  </w:r>
                </w:p>
              </w:tc>
              <w:tc>
                <w:tcPr>
                  <w:tcW w:w="4364"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高压灭菌设备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6"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310"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污水处理站消毒</w:t>
                  </w:r>
                </w:p>
              </w:tc>
              <w:tc>
                <w:tcPr>
                  <w:tcW w:w="4364" w:type="dxa"/>
                  <w:vAlign w:val="center"/>
                </w:tcPr>
                <w:p>
                  <w:pPr>
                    <w:pStyle w:val="48"/>
                    <w:rPr>
                      <w:color w:val="000000" w:themeColor="text1"/>
                      <w14:textFill>
                        <w14:solidFill>
                          <w14:schemeClr w14:val="tx1"/>
                        </w14:solidFill>
                      </w14:textFill>
                    </w:rPr>
                  </w:pPr>
                  <w:r>
                    <w:rPr>
                      <w:rFonts w:hint="eastAsia"/>
                      <w:color w:val="auto"/>
                      <w:u w:val="none"/>
                    </w:rPr>
                    <w:t>二氯异氰尿酸钠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6" w:type="dxa"/>
                  <w:vAlign w:val="center"/>
                </w:tcPr>
                <w:p>
                  <w:pPr>
                    <w:pStyle w:val="48"/>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2310" w:type="dxa"/>
                  <w:vAlign w:val="center"/>
                </w:tcPr>
                <w:p>
                  <w:pPr>
                    <w:pStyle w:val="48"/>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污泥</w:t>
                  </w:r>
                </w:p>
              </w:tc>
              <w:tc>
                <w:tcPr>
                  <w:tcW w:w="4364" w:type="dxa"/>
                  <w:vAlign w:val="center"/>
                </w:tcPr>
                <w:p>
                  <w:pPr>
                    <w:pStyle w:val="48"/>
                    <w:rPr>
                      <w:rFonts w:hint="eastAsia" w:eastAsia="宋体"/>
                      <w:color w:val="auto"/>
                      <w:u w:val="none"/>
                      <w:lang w:val="en-US" w:eastAsia="zh-CN"/>
                    </w:rPr>
                  </w:pPr>
                  <w:r>
                    <w:rPr>
                      <w:rFonts w:hint="eastAsia"/>
                      <w:color w:val="auto"/>
                      <w:u w:val="none"/>
                      <w:lang w:val="en-US" w:eastAsia="zh-CN"/>
                    </w:rPr>
                    <w:t>石灰</w:t>
                  </w:r>
                </w:p>
              </w:tc>
            </w:tr>
          </w:tbl>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消防设计</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项目每一层都按照有关规定设置消火栓，并配置相应数量的手提式干粉灭火装置等，在主要通道、应急出口、楼梯间等设置应急照明，满足消防要求</w:t>
            </w:r>
            <w:r>
              <w:rPr>
                <w:color w:val="000000" w:themeColor="text1"/>
                <w14:textFill>
                  <w14:solidFill>
                    <w14:schemeClr w14:val="tx1"/>
                  </w14:solidFill>
                </w14:textFill>
              </w:rPr>
              <w:t>。</w:t>
            </w:r>
          </w:p>
          <w:p>
            <w:pPr>
              <w:pStyle w:val="7"/>
              <w:ind w:firstLine="48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6</w:t>
            </w:r>
            <w:r>
              <w:rPr>
                <w:b/>
                <w:bCs/>
                <w:color w:val="000000" w:themeColor="text1"/>
                <w14:textFill>
                  <w14:solidFill>
                    <w14:schemeClr w14:val="tx1"/>
                  </w14:solidFill>
                </w14:textFill>
              </w:rPr>
              <w:t>、劳动定员</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项目员工总数</w:t>
            </w:r>
            <w:r>
              <w:rPr>
                <w:rFonts w:hint="eastAsia"/>
                <w:color w:val="000000" w:themeColor="text1"/>
                <w:shd w:val="clear"/>
                <w:lang w:val="en-US" w:eastAsia="zh-CN"/>
                <w14:textFill>
                  <w14:solidFill>
                    <w14:schemeClr w14:val="tx1"/>
                  </w14:solidFill>
                </w14:textFill>
              </w:rPr>
              <w:t>45</w:t>
            </w:r>
            <w:r>
              <w:rPr>
                <w:rFonts w:hint="eastAsia"/>
                <w:color w:val="000000" w:themeColor="text1"/>
                <w:shd w:val="clear"/>
                <w14:textFill>
                  <w14:solidFill>
                    <w14:schemeClr w14:val="tx1"/>
                  </w14:solidFill>
                </w14:textFill>
              </w:rPr>
              <w:t>人，</w:t>
            </w:r>
            <w:r>
              <w:rPr>
                <w:rFonts w:hint="eastAsia"/>
                <w:color w:val="000000" w:themeColor="text1"/>
                <w:lang w:val="en-US" w:eastAsia="zh-CN"/>
                <w14:textFill>
                  <w14:solidFill>
                    <w14:schemeClr w14:val="tx1"/>
                  </w14:solidFill>
                </w14:textFill>
              </w:rPr>
              <w:t>不设食堂</w:t>
            </w:r>
            <w:r>
              <w:rPr>
                <w:rFonts w:hint="eastAsia"/>
                <w:color w:val="000000" w:themeColor="text1"/>
                <w14:textFill>
                  <w14:solidFill>
                    <w14:schemeClr w14:val="tx1"/>
                  </w14:solidFill>
                </w14:textFill>
              </w:rPr>
              <w:t>。正常门诊：夏季（5~9月）上午7：</w:t>
            </w:r>
            <w:r>
              <w:rPr>
                <w:color w:val="000000" w:themeColor="text1"/>
                <w14:textFill>
                  <w14:solidFill>
                    <w14:schemeClr w14:val="tx1"/>
                  </w14:solidFill>
                </w14:textFill>
              </w:rPr>
              <w:t>30~1</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，下午1:30~5:30，冬季（10</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次年4月）上午8：0</w:t>
            </w:r>
            <w:r>
              <w:rPr>
                <w:color w:val="000000" w:themeColor="text1"/>
                <w14:textFill>
                  <w14:solidFill>
                    <w14:schemeClr w14:val="tx1"/>
                  </w14:solidFill>
                </w14:textFill>
              </w:rPr>
              <w:t>0~1</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，下午1：00~5：00，同时提供</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小时急诊服务，全年工作</w:t>
            </w:r>
            <w:r>
              <w:rPr>
                <w:color w:val="000000" w:themeColor="text1"/>
                <w14:textFill>
                  <w14:solidFill>
                    <w14:schemeClr w14:val="tx1"/>
                  </w14:solidFill>
                </w14:textFill>
              </w:rPr>
              <w:t>365</w:t>
            </w:r>
            <w:r>
              <w:rPr>
                <w:rFonts w:hint="eastAsia"/>
                <w:color w:val="000000" w:themeColor="text1"/>
                <w14:textFill>
                  <w14:solidFill>
                    <w14:schemeClr w14:val="tx1"/>
                  </w14:solidFill>
                </w14:textFill>
              </w:rPr>
              <w:t>天。</w:t>
            </w:r>
          </w:p>
          <w:p>
            <w:pPr>
              <w:pStyle w:val="7"/>
              <w:ind w:firstLine="48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7</w:t>
            </w:r>
            <w:r>
              <w:rPr>
                <w:b/>
                <w:bCs/>
                <w:color w:val="000000" w:themeColor="text1"/>
                <w14:textFill>
                  <w14:solidFill>
                    <w14:schemeClr w14:val="tx1"/>
                  </w14:solidFill>
                </w14:textFill>
              </w:rPr>
              <w:t>、诊疗规模</w:t>
            </w:r>
          </w:p>
          <w:p>
            <w:pPr>
              <w:pStyle w:val="7"/>
              <w:ind w:firstLine="480"/>
              <w:rPr>
                <w:rFonts w:hint="eastAsia" w:eastAsia="宋体"/>
                <w:color w:val="000000" w:themeColor="text1"/>
                <w:lang w:eastAsia="zh-CN"/>
                <w14:textFill>
                  <w14:solidFill>
                    <w14:schemeClr w14:val="tx1"/>
                  </w14:solidFill>
                </w14:textFill>
              </w:rPr>
            </w:pPr>
            <w:r>
              <w:rPr>
                <w:color w:val="000000" w:themeColor="text1"/>
                <w:u w:val="single"/>
                <w14:textFill>
                  <w14:solidFill>
                    <w14:schemeClr w14:val="tx1"/>
                  </w14:solidFill>
                </w14:textFill>
              </w:rPr>
              <w:t>项</w:t>
            </w:r>
            <w:r>
              <w:rPr>
                <w:rFonts w:hint="eastAsia"/>
                <w:color w:val="000000" w:themeColor="text1"/>
                <w:u w:val="single"/>
                <w14:textFill>
                  <w14:solidFill>
                    <w14:schemeClr w14:val="tx1"/>
                  </w14:solidFill>
                </w14:textFill>
              </w:rPr>
              <w:t>目设</w:t>
            </w:r>
            <w:r>
              <w:rPr>
                <w:rFonts w:hint="eastAsia"/>
                <w:color w:val="000000" w:themeColor="text1"/>
                <w:u w:val="single"/>
                <w:lang w:val="en-US" w:eastAsia="zh-CN"/>
                <w14:textFill>
                  <w14:solidFill>
                    <w14:schemeClr w14:val="tx1"/>
                  </w14:solidFill>
                </w14:textFill>
              </w:rPr>
              <w:t>计</w:t>
            </w:r>
            <w:r>
              <w:rPr>
                <w:color w:val="000000" w:themeColor="text1"/>
                <w:u w:val="single"/>
                <w14:textFill>
                  <w14:solidFill>
                    <w14:schemeClr w14:val="tx1"/>
                  </w14:solidFill>
                </w14:textFill>
              </w:rPr>
              <w:t>床位总</w:t>
            </w:r>
            <w:r>
              <w:rPr>
                <w:color w:val="000000" w:themeColor="text1"/>
                <w:u w:val="single"/>
                <w:shd w:val="clear"/>
                <w14:textFill>
                  <w14:solidFill>
                    <w14:schemeClr w14:val="tx1"/>
                  </w14:solidFill>
                </w14:textFill>
              </w:rPr>
              <w:t>数</w:t>
            </w:r>
            <w:r>
              <w:rPr>
                <w:rFonts w:hint="eastAsia"/>
                <w:color w:val="000000" w:themeColor="text1"/>
                <w:u w:val="single"/>
                <w:shd w:val="clear"/>
                <w:lang w:val="en-US" w:eastAsia="zh-CN"/>
                <w14:textFill>
                  <w14:solidFill>
                    <w14:schemeClr w14:val="tx1"/>
                  </w14:solidFill>
                </w14:textFill>
              </w:rPr>
              <w:t>40</w:t>
            </w:r>
            <w:r>
              <w:rPr>
                <w:rFonts w:hint="eastAsia"/>
                <w:color w:val="000000" w:themeColor="text1"/>
                <w:u w:val="single"/>
                <w:shd w:val="clear"/>
                <w14:textFill>
                  <w14:solidFill>
                    <w14:schemeClr w14:val="tx1"/>
                  </w14:solidFill>
                </w14:textFill>
              </w:rPr>
              <w:t>张</w:t>
            </w:r>
            <w:r>
              <w:rPr>
                <w:color w:val="000000" w:themeColor="text1"/>
                <w:u w:val="single"/>
                <w:shd w:val="clear"/>
                <w14:textFill>
                  <w14:solidFill>
                    <w14:schemeClr w14:val="tx1"/>
                  </w14:solidFill>
                </w14:textFill>
              </w:rPr>
              <w:t>，</w:t>
            </w:r>
            <w:r>
              <w:rPr>
                <w:rFonts w:hint="eastAsia"/>
                <w:color w:val="000000" w:themeColor="text1"/>
                <w:u w:val="single"/>
                <w:shd w:val="clear"/>
                <w:lang w:val="en-US" w:eastAsia="zh-CN"/>
                <w14:textFill>
                  <w14:solidFill>
                    <w14:schemeClr w14:val="tx1"/>
                  </w14:solidFill>
                </w14:textFill>
              </w:rPr>
              <w:t>实际开设床位28张，</w:t>
            </w:r>
            <w:r>
              <w:rPr>
                <w:color w:val="000000" w:themeColor="text1"/>
                <w:u w:val="single"/>
                <w:shd w:val="clear"/>
                <w14:textFill>
                  <w14:solidFill>
                    <w14:schemeClr w14:val="tx1"/>
                  </w14:solidFill>
                </w14:textFill>
              </w:rPr>
              <w:t>预计日问诊病人</w:t>
            </w:r>
            <w:r>
              <w:rPr>
                <w:rFonts w:hint="eastAsia"/>
                <w:color w:val="000000" w:themeColor="text1"/>
                <w:u w:val="single"/>
                <w:shd w:val="clear"/>
                <w:lang w:val="en-US" w:eastAsia="zh-CN"/>
                <w14:textFill>
                  <w14:solidFill>
                    <w14:schemeClr w14:val="tx1"/>
                  </w14:solidFill>
                </w14:textFill>
              </w:rPr>
              <w:t>80</w:t>
            </w:r>
            <w:r>
              <w:rPr>
                <w:color w:val="000000" w:themeColor="text1"/>
                <w:u w:val="single"/>
                <w:shd w:val="clear"/>
                <w14:textFill>
                  <w14:solidFill>
                    <w14:schemeClr w14:val="tx1"/>
                  </w14:solidFill>
                </w14:textFill>
              </w:rPr>
              <w:t>人次/d</w:t>
            </w:r>
            <w:r>
              <w:rPr>
                <w:rFonts w:hint="eastAsia"/>
                <w:color w:val="000000" w:themeColor="text1"/>
                <w:u w:val="single"/>
                <w:shd w:val="clear"/>
                <w14:textFill>
                  <w14:solidFill>
                    <w14:schemeClr w14:val="tx1"/>
                  </w14:solidFill>
                </w14:textFill>
              </w:rPr>
              <w:t>，</w:t>
            </w:r>
            <w:r>
              <w:rPr>
                <w:rFonts w:hint="eastAsia"/>
                <w:color w:val="000000" w:themeColor="text1"/>
                <w:u w:val="single"/>
                <w14:textFill>
                  <w14:solidFill>
                    <w14:schemeClr w14:val="tx1"/>
                  </w14:solidFill>
                </w14:textFill>
              </w:rPr>
              <w:t>全年约</w:t>
            </w:r>
            <w:r>
              <w:rPr>
                <w:rFonts w:hint="eastAsia"/>
                <w:color w:val="000000" w:themeColor="text1"/>
                <w:u w:val="single"/>
                <w:lang w:val="en-US" w:eastAsia="zh-CN"/>
                <w14:textFill>
                  <w14:solidFill>
                    <w14:schemeClr w14:val="tx1"/>
                  </w14:solidFill>
                </w14:textFill>
              </w:rPr>
              <w:t>29200</w:t>
            </w:r>
            <w:r>
              <w:rPr>
                <w:rFonts w:hint="eastAsia"/>
                <w:color w:val="000000" w:themeColor="text1"/>
                <w:u w:val="single"/>
                <w14:textFill>
                  <w14:solidFill>
                    <w14:schemeClr w14:val="tx1"/>
                  </w14:solidFill>
                </w14:textFill>
              </w:rPr>
              <w:t>人</w:t>
            </w:r>
            <w:r>
              <w:rPr>
                <w:color w:val="000000" w:themeColor="text1"/>
                <w:u w:val="singl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dxa"/>
            <w:noWrap/>
            <w:vAlign w:val="center"/>
          </w:tcPr>
          <w:p>
            <w:pPr>
              <w:pStyle w:val="27"/>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工艺流程和产排污环节</w:t>
            </w:r>
          </w:p>
        </w:tc>
        <w:tc>
          <w:tcPr>
            <w:tcW w:w="8080" w:type="dxa"/>
            <w:noWrap/>
          </w:tcPr>
          <w:p>
            <w:pPr>
              <w:rPr>
                <w:color w:val="000000" w:themeColor="text1"/>
                <w14:textFill>
                  <w14:solidFill>
                    <w14:schemeClr w14:val="tx1"/>
                  </w14:solidFill>
                </w14:textFill>
              </w:rPr>
            </w:pPr>
            <w:r>
              <w:rPr>
                <w:color w:val="000000" w:themeColor="text1"/>
                <w14:textFill>
                  <w14:solidFill>
                    <w14:schemeClr w14:val="tx1"/>
                  </w14:solidFill>
                </w14:textFill>
              </w:rPr>
              <w:t>工艺流程和产排污环节：</w:t>
            </w:r>
          </w:p>
          <w:p>
            <w:pPr>
              <w:pStyle w:val="7"/>
              <w:numPr>
                <w:ilvl w:val="0"/>
                <w:numId w:val="0"/>
              </w:numPr>
              <w:ind w:firstLine="482" w:firstLineChars="200"/>
              <w:rPr>
                <w:b/>
                <w:bCs/>
                <w:color w:val="000000" w:themeColor="text1"/>
                <w14:textFill>
                  <w14:solidFill>
                    <w14:schemeClr w14:val="tx1"/>
                  </w14:solidFill>
                </w14:textFill>
              </w:rPr>
            </w:pPr>
            <w:r>
              <w:rPr>
                <w:rFonts w:ascii="Times New Roman" w:hAnsi="Times New Roman" w:eastAsia="宋体" w:cs="Times New Roman"/>
                <w:b/>
                <w:bCs/>
                <w:color w:val="000000" w:themeColor="text1"/>
                <w:kern w:val="2"/>
                <w:sz w:val="24"/>
                <w:szCs w:val="24"/>
                <w:lang w:val="en-US" w:eastAsia="zh-CN" w:bidi="ar-SA"/>
                <w14:textFill>
                  <w14:solidFill>
                    <w14:schemeClr w14:val="tx1"/>
                  </w14:solidFill>
                </w14:textFill>
              </w:rPr>
              <w:t>1、</w:t>
            </w:r>
            <w:r>
              <w:rPr>
                <w:b/>
                <w:bCs/>
                <w:color w:val="000000" w:themeColor="text1"/>
                <w14:textFill>
                  <w14:solidFill>
                    <w14:schemeClr w14:val="tx1"/>
                  </w14:solidFill>
                </w14:textFill>
              </w:rPr>
              <w:t>施工期工艺流程和产污环节分析</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color w:val="000000" w:themeColor="text1"/>
                <w14:textFill>
                  <w14:solidFill>
                    <w14:schemeClr w14:val="tx1"/>
                  </w14:solidFill>
                </w14:textFill>
              </w:rPr>
            </w:pPr>
            <w:r>
              <w:rPr>
                <w:rFonts w:hint="eastAsia" w:ascii="宋体" w:hAnsi="宋体" w:eastAsia="宋体" w:cs="宋体"/>
                <w:color w:val="000000"/>
                <w:kern w:val="0"/>
                <w:sz w:val="24"/>
                <w:szCs w:val="24"/>
                <w:lang w:val="en-US" w:eastAsia="zh-CN" w:bidi="ar"/>
              </w:rPr>
              <w:t>本项目已建成，施工期环境影响已随施工期结束而结束。同时根据现场踏勘，项目现场未见施工期遗留污染，项目建成投产至今，也未收到与本项目施工建设相关的环境污染投诉和举报。因此本次评价重点分析营运期工艺流程和产排污。</w:t>
            </w:r>
          </w:p>
          <w:p>
            <w:pPr>
              <w:pStyle w:val="7"/>
              <w:numPr>
                <w:ilvl w:val="0"/>
                <w:numId w:val="0"/>
              </w:numPr>
              <w:ind w:firstLine="482" w:firstLineChars="200"/>
              <w:rPr>
                <w:b/>
                <w:bCs/>
                <w:color w:val="000000" w:themeColor="text1"/>
                <w14:textFill>
                  <w14:solidFill>
                    <w14:schemeClr w14:val="tx1"/>
                  </w14:solidFill>
                </w14:textFill>
              </w:rPr>
            </w:pPr>
            <w:r>
              <w:rPr>
                <w:rFonts w:ascii="Times New Roman" w:hAnsi="Times New Roman" w:eastAsia="宋体" w:cs="Times New Roman"/>
                <w:b/>
                <w:bCs/>
                <w:color w:val="000000" w:themeColor="text1"/>
                <w:kern w:val="2"/>
                <w:sz w:val="24"/>
                <w:szCs w:val="24"/>
                <w:lang w:val="en-US" w:eastAsia="zh-CN" w:bidi="ar-SA"/>
                <w14:textFill>
                  <w14:solidFill>
                    <w14:schemeClr w14:val="tx1"/>
                  </w14:solidFill>
                </w14:textFill>
              </w:rPr>
              <w:t>2、</w:t>
            </w:r>
            <w:r>
              <w:rPr>
                <w:b/>
                <w:bCs/>
                <w:color w:val="000000" w:themeColor="text1"/>
                <w14:textFill>
                  <w14:solidFill>
                    <w14:schemeClr w14:val="tx1"/>
                  </w14:solidFill>
                </w14:textFill>
              </w:rPr>
              <w:t>营运期工艺流程和产污环节</w:t>
            </w:r>
          </w:p>
          <w:p>
            <w:pPr>
              <w:pStyle w:val="7"/>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工艺流程</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营运期的工艺流程及产污环节详见下图。</w:t>
            </w:r>
          </w:p>
          <w:p>
            <w:pPr>
              <w:pStyle w:val="49"/>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4978400" cy="3117850"/>
                  <wp:effectExtent l="0" t="0" r="0" b="6350"/>
                  <wp:docPr id="56" name="图片 56" descr="169400129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94001296858"/>
                          <pic:cNvPicPr>
                            <a:picLocks noChangeAspect="1"/>
                          </pic:cNvPicPr>
                        </pic:nvPicPr>
                        <pic:blipFill>
                          <a:blip r:embed="rId13" cstate="print"/>
                          <a:stretch>
                            <a:fillRect/>
                          </a:stretch>
                        </pic:blipFill>
                        <pic:spPr>
                          <a:xfrm>
                            <a:off x="0" y="0"/>
                            <a:ext cx="4978400" cy="3117850"/>
                          </a:xfrm>
                          <a:prstGeom prst="rect">
                            <a:avLst/>
                          </a:prstGeom>
                        </pic:spPr>
                      </pic:pic>
                    </a:graphicData>
                  </a:graphic>
                </wp:inline>
              </w:drawing>
            </w:r>
            <w:r>
              <w:rPr>
                <w:rFonts w:hint="eastAsia"/>
                <w:color w:val="000000" w:themeColor="text1"/>
                <w14:textFill>
                  <w14:solidFill>
                    <w14:schemeClr w14:val="tx1"/>
                  </w14:solidFill>
                </w14:textFill>
              </w:rPr>
              <w:t>图2.2-1  营运期工艺流程及产污环节图</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工艺流程说明：前来医院就诊的病人先在咨询台（导诊）进行咨询后，根据自身的情况进行挂号、缴费，进行相应的诊断服务，根据诊断首先进行常规检查，治疗后症状较轻的病人休息几个小时可出院，严重的病人需住院跟踪治疗，直至康复后出院</w:t>
            </w:r>
            <w:r>
              <w:rPr>
                <w:color w:val="000000" w:themeColor="text1"/>
                <w14:textFill>
                  <w14:solidFill>
                    <w14:schemeClr w14:val="tx1"/>
                  </w14:solidFill>
                </w14:textFill>
              </w:rPr>
              <w:t>。</w:t>
            </w:r>
          </w:p>
          <w:p>
            <w:pPr>
              <w:pStyle w:val="7"/>
              <w:ind w:firstLine="480"/>
              <w:rPr>
                <w:color w:val="000000" w:themeColor="text1"/>
                <w14:textFill>
                  <w14:solidFill>
                    <w14:schemeClr w14:val="tx1"/>
                  </w14:solidFill>
                </w14:textFill>
              </w:rPr>
            </w:pPr>
            <w:r>
              <w:rPr>
                <w:color w:val="000000" w:themeColor="text1"/>
                <w14:textFill>
                  <w14:solidFill>
                    <w14:schemeClr w14:val="tx1"/>
                  </w14:solidFill>
                </w14:textFill>
              </w:rPr>
              <w:t>2.2</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 xml:space="preserve">产排污环节 </w:t>
            </w:r>
          </w:p>
          <w:p>
            <w:pPr>
              <w:pStyle w:val="7"/>
              <w:ind w:firstLine="480"/>
              <w:rPr>
                <w:color w:val="000000" w:themeColor="text1"/>
                <w14:textFill>
                  <w14:solidFill>
                    <w14:schemeClr w14:val="tx1"/>
                  </w14:solidFill>
                </w14:textFill>
              </w:rPr>
            </w:pPr>
            <w:r>
              <w:rPr>
                <w:color w:val="000000" w:themeColor="text1"/>
                <w14:textFill>
                  <w14:solidFill>
                    <w14:schemeClr w14:val="tx1"/>
                  </w14:solidFill>
                </w14:textFill>
              </w:rPr>
              <w:t>项目污染因素主要包括废水、废气、噪声及固体废物。各污染物来源途径见</w:t>
            </w:r>
            <w:r>
              <w:rPr>
                <w:rFonts w:hint="eastAsia"/>
                <w:color w:val="000000" w:themeColor="text1"/>
                <w14:textFill>
                  <w14:solidFill>
                    <w14:schemeClr w14:val="tx1"/>
                  </w14:solidFill>
                </w14:textFill>
              </w:rPr>
              <w:t>下</w:t>
            </w:r>
            <w:r>
              <w:rPr>
                <w:color w:val="000000" w:themeColor="text1"/>
                <w14:textFill>
                  <w14:solidFill>
                    <w14:schemeClr w14:val="tx1"/>
                  </w14:solidFill>
                </w14:textFill>
              </w:rPr>
              <w:t>表。</w:t>
            </w:r>
          </w:p>
          <w:p>
            <w:pPr>
              <w:pStyle w:val="49"/>
              <w:rPr>
                <w:rFonts w:hint="eastAsia" w:eastAsia="宋体"/>
                <w:color w:val="0000FF"/>
                <w:lang w:eastAsia="zh-CN"/>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2.2-1</w:t>
            </w:r>
            <w:r>
              <w:rPr>
                <w:color w:val="000000" w:themeColor="text1"/>
                <w14:textFill>
                  <w14:solidFill>
                    <w14:schemeClr w14:val="tx1"/>
                  </w14:solidFill>
                </w14:textFill>
              </w:rPr>
              <w:t xml:space="preserve">  项目主要污染源一览表</w:t>
            </w:r>
          </w:p>
          <w:tbl>
            <w:tblPr>
              <w:tblStyle w:val="31"/>
              <w:tblW w:w="7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112"/>
              <w:gridCol w:w="2820"/>
              <w:gridCol w:w="3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78" w:type="dxa"/>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112" w:type="dxa"/>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污染因素</w:t>
                  </w:r>
                </w:p>
              </w:tc>
              <w:tc>
                <w:tcPr>
                  <w:tcW w:w="2820" w:type="dxa"/>
                  <w:tcBorders>
                    <w:tl2br w:val="nil"/>
                    <w:tr2bl w:val="nil"/>
                  </w:tcBorders>
                  <w:vAlign w:val="center"/>
                </w:tcPr>
                <w:p>
                  <w:pPr>
                    <w:pStyle w:val="48"/>
                    <w:rPr>
                      <w:rFonts w:hint="eastAsia" w:eastAsia="宋体"/>
                      <w:color w:val="auto"/>
                      <w:lang w:eastAsia="zh-CN"/>
                    </w:rPr>
                  </w:pPr>
                  <w:r>
                    <w:rPr>
                      <w:rFonts w:hint="eastAsia"/>
                      <w:color w:val="auto"/>
                      <w:lang w:eastAsia="zh-CN"/>
                    </w:rPr>
                    <w:t>产污环节</w:t>
                  </w:r>
                </w:p>
              </w:tc>
              <w:tc>
                <w:tcPr>
                  <w:tcW w:w="3117" w:type="dxa"/>
                  <w:tcBorders>
                    <w:tl2br w:val="nil"/>
                    <w:tr2bl w:val="nil"/>
                  </w:tcBorders>
                  <w:vAlign w:val="center"/>
                </w:tcPr>
                <w:p>
                  <w:pPr>
                    <w:pStyle w:val="48"/>
                    <w:rPr>
                      <w:rFonts w:hint="eastAsia" w:eastAsia="宋体"/>
                      <w:color w:val="auto"/>
                      <w:lang w:eastAsia="zh-CN"/>
                    </w:rPr>
                  </w:pPr>
                  <w:r>
                    <w:rPr>
                      <w:rFonts w:hint="eastAsia"/>
                      <w:color w:val="auto"/>
                      <w:lang w:eastAsia="zh-CN"/>
                    </w:rPr>
                    <w:t>主要污染物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8" w:type="dxa"/>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1</w:t>
                  </w:r>
                </w:p>
              </w:tc>
              <w:tc>
                <w:tcPr>
                  <w:tcW w:w="1112" w:type="dxa"/>
                  <w:vMerge w:val="restart"/>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废气</w:t>
                  </w:r>
                </w:p>
              </w:tc>
              <w:tc>
                <w:tcPr>
                  <w:tcW w:w="2820" w:type="dxa"/>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污水处理站、危废暂存间</w:t>
                  </w:r>
                </w:p>
              </w:tc>
              <w:tc>
                <w:tcPr>
                  <w:tcW w:w="3117" w:type="dxa"/>
                  <w:tcBorders>
                    <w:tl2br w:val="nil"/>
                    <w:tr2bl w:val="nil"/>
                  </w:tcBorders>
                  <w:vAlign w:val="center"/>
                </w:tcPr>
                <w:p>
                  <w:pPr>
                    <w:pStyle w:val="48"/>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臭气浓度</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、氯气</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甲烷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778" w:type="dxa"/>
                  <w:tcBorders>
                    <w:tl2br w:val="nil"/>
                    <w:tr2bl w:val="nil"/>
                  </w:tcBorders>
                  <w:shd w:val="clear" w:color="auto" w:fill="auto"/>
                  <w:vAlign w:val="center"/>
                </w:tcPr>
                <w:p>
                  <w:pPr>
                    <w:pStyle w:val="48"/>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1112" w:type="dxa"/>
                  <w:vMerge w:val="continue"/>
                  <w:tcBorders>
                    <w:tl2br w:val="nil"/>
                    <w:tr2bl w:val="nil"/>
                  </w:tcBorders>
                  <w:vAlign w:val="center"/>
                </w:tcPr>
                <w:p>
                  <w:pPr>
                    <w:pStyle w:val="48"/>
                    <w:rPr>
                      <w:color w:val="000000" w:themeColor="text1"/>
                      <w14:textFill>
                        <w14:solidFill>
                          <w14:schemeClr w14:val="tx1"/>
                        </w14:solidFill>
                      </w14:textFill>
                    </w:rPr>
                  </w:pPr>
                </w:p>
              </w:tc>
              <w:tc>
                <w:tcPr>
                  <w:tcW w:w="2820" w:type="dxa"/>
                  <w:tcBorders>
                    <w:tl2br w:val="nil"/>
                    <w:tr2bl w:val="nil"/>
                  </w:tcBorders>
                  <w:vAlign w:val="center"/>
                </w:tcPr>
                <w:p>
                  <w:pPr>
                    <w:pStyle w:val="4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备用发电机</w:t>
                  </w:r>
                </w:p>
              </w:tc>
              <w:tc>
                <w:tcPr>
                  <w:tcW w:w="3117" w:type="dxa"/>
                  <w:tcBorders>
                    <w:tl2br w:val="nil"/>
                    <w:tr2bl w:val="nil"/>
                  </w:tcBorders>
                  <w:vAlign w:val="center"/>
                </w:tcPr>
                <w:p>
                  <w:pPr>
                    <w:pStyle w:val="4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r>
                    <w:rPr>
                      <w:rFonts w:hint="default" w:ascii="Times New Roman" w:hAnsi="Times New Roman" w:eastAsia="宋体" w:cs="Times New Roman"/>
                      <w:color w:val="000000"/>
                      <w:kern w:val="0"/>
                      <w:sz w:val="20"/>
                      <w:szCs w:val="20"/>
                      <w:lang w:val="en-US" w:eastAsia="zh-CN" w:bidi="ar"/>
                    </w:rPr>
                    <w:t>NOx</w:t>
                  </w:r>
                  <w:r>
                    <w:rPr>
                      <w:rFonts w:hint="eastAsia" w:cs="Times New Roman"/>
                      <w:color w:val="000000"/>
                      <w:kern w:val="0"/>
                      <w:sz w:val="20"/>
                      <w:szCs w:val="20"/>
                      <w:lang w:val="en-US" w:eastAsia="zh-CN" w:bidi="ar"/>
                    </w:rPr>
                    <w:t>、SO</w:t>
                  </w:r>
                  <w:r>
                    <w:rPr>
                      <w:rFonts w:hint="eastAsia" w:cs="Times New Roman"/>
                      <w:color w:val="000000"/>
                      <w:kern w:val="0"/>
                      <w:sz w:val="20"/>
                      <w:szCs w:val="20"/>
                      <w:vertAlign w:val="sub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8" w:type="dxa"/>
                  <w:tcBorders>
                    <w:tl2br w:val="nil"/>
                    <w:tr2bl w:val="nil"/>
                  </w:tcBorders>
                  <w:shd w:val="clear" w:color="auto" w:fill="auto"/>
                  <w:vAlign w:val="center"/>
                </w:tcPr>
                <w:p>
                  <w:pPr>
                    <w:pStyle w:val="48"/>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1112" w:type="dxa"/>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废水</w:t>
                  </w:r>
                </w:p>
              </w:tc>
              <w:tc>
                <w:tcPr>
                  <w:tcW w:w="2820" w:type="dxa"/>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综合废水</w:t>
                  </w:r>
                </w:p>
              </w:tc>
              <w:tc>
                <w:tcPr>
                  <w:tcW w:w="3117" w:type="dxa"/>
                  <w:tcBorders>
                    <w:tl2br w:val="nil"/>
                    <w:tr2bl w:val="nil"/>
                  </w:tcBorders>
                  <w:vAlign w:val="center"/>
                </w:tcPr>
                <w:p>
                  <w:pPr>
                    <w:pStyle w:val="48"/>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pH、</w:t>
                  </w:r>
                  <w:r>
                    <w:rPr>
                      <w:color w:val="000000" w:themeColor="text1"/>
                      <w14:textFill>
                        <w14:solidFill>
                          <w14:schemeClr w14:val="tx1"/>
                        </w14:solidFill>
                      </w14:textFill>
                    </w:rPr>
                    <w:t>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-N、粪大肠菌群</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总余氯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8" w:type="dxa"/>
                  <w:tcBorders>
                    <w:tl2br w:val="nil"/>
                    <w:tr2bl w:val="nil"/>
                  </w:tcBorders>
                  <w:shd w:val="clear" w:color="auto" w:fill="auto"/>
                  <w:vAlign w:val="center"/>
                </w:tcPr>
                <w:p>
                  <w:pPr>
                    <w:pStyle w:val="48"/>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1112" w:type="dxa"/>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2820" w:type="dxa"/>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设备运行</w:t>
                  </w:r>
                </w:p>
              </w:tc>
              <w:tc>
                <w:tcPr>
                  <w:tcW w:w="3117" w:type="dxa"/>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8" w:type="dxa"/>
                  <w:tcBorders>
                    <w:tl2br w:val="nil"/>
                    <w:tr2bl w:val="nil"/>
                  </w:tcBorders>
                  <w:shd w:val="clear" w:color="auto" w:fill="auto"/>
                  <w:vAlign w:val="center"/>
                </w:tcPr>
                <w:p>
                  <w:pPr>
                    <w:pStyle w:val="48"/>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1112" w:type="dxa"/>
                  <w:vMerge w:val="restart"/>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固废</w:t>
                  </w:r>
                </w:p>
              </w:tc>
              <w:tc>
                <w:tcPr>
                  <w:tcW w:w="2820" w:type="dxa"/>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门诊室、检验室、病房</w:t>
                  </w:r>
                </w:p>
              </w:tc>
              <w:tc>
                <w:tcPr>
                  <w:tcW w:w="3117" w:type="dxa"/>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医疗废物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8" w:type="dxa"/>
                  <w:tcBorders>
                    <w:tl2br w:val="nil"/>
                    <w:tr2bl w:val="nil"/>
                  </w:tcBorders>
                  <w:shd w:val="clear" w:color="auto" w:fill="auto"/>
                  <w:vAlign w:val="center"/>
                </w:tcPr>
                <w:p>
                  <w:pPr>
                    <w:pStyle w:val="48"/>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1112" w:type="dxa"/>
                  <w:vMerge w:val="continue"/>
                  <w:tcBorders>
                    <w:tl2br w:val="nil"/>
                    <w:tr2bl w:val="nil"/>
                  </w:tcBorders>
                  <w:vAlign w:val="center"/>
                </w:tcPr>
                <w:p>
                  <w:pPr>
                    <w:pStyle w:val="48"/>
                    <w:rPr>
                      <w:color w:val="000000" w:themeColor="text1"/>
                      <w14:textFill>
                        <w14:solidFill>
                          <w14:schemeClr w14:val="tx1"/>
                        </w14:solidFill>
                      </w14:textFill>
                    </w:rPr>
                  </w:pPr>
                </w:p>
              </w:tc>
              <w:tc>
                <w:tcPr>
                  <w:tcW w:w="2820" w:type="dxa"/>
                  <w:tcBorders>
                    <w:tl2br w:val="nil"/>
                    <w:tr2bl w:val="nil"/>
                  </w:tcBorders>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输液</w:t>
                  </w:r>
                </w:p>
              </w:tc>
              <w:tc>
                <w:tcPr>
                  <w:tcW w:w="3117" w:type="dxa"/>
                  <w:tcBorders>
                    <w:tl2br w:val="nil"/>
                    <w:tr2bl w:val="nil"/>
                  </w:tcBorders>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未污染的一次性塑料输液瓶（袋）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8" w:type="dxa"/>
                  <w:tcBorders>
                    <w:tl2br w:val="nil"/>
                    <w:tr2bl w:val="nil"/>
                  </w:tcBorders>
                  <w:shd w:val="clear" w:color="auto" w:fill="auto"/>
                  <w:vAlign w:val="center"/>
                </w:tcPr>
                <w:p>
                  <w:pPr>
                    <w:pStyle w:val="48"/>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1112" w:type="dxa"/>
                  <w:vMerge w:val="continue"/>
                  <w:tcBorders>
                    <w:tl2br w:val="nil"/>
                    <w:tr2bl w:val="nil"/>
                  </w:tcBorders>
                  <w:vAlign w:val="center"/>
                </w:tcPr>
                <w:p>
                  <w:pPr>
                    <w:pStyle w:val="48"/>
                    <w:rPr>
                      <w:color w:val="000000" w:themeColor="text1"/>
                      <w14:textFill>
                        <w14:solidFill>
                          <w14:schemeClr w14:val="tx1"/>
                        </w14:solidFill>
                      </w14:textFill>
                    </w:rPr>
                  </w:pPr>
                </w:p>
              </w:tc>
              <w:tc>
                <w:tcPr>
                  <w:tcW w:w="2820" w:type="dxa"/>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门诊室、病房</w:t>
                  </w:r>
                </w:p>
              </w:tc>
              <w:tc>
                <w:tcPr>
                  <w:tcW w:w="3117" w:type="dxa"/>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8" w:type="dxa"/>
                  <w:tcBorders>
                    <w:tl2br w:val="nil"/>
                    <w:tr2bl w:val="nil"/>
                  </w:tcBorders>
                  <w:shd w:val="clear" w:color="auto" w:fill="auto"/>
                  <w:vAlign w:val="center"/>
                </w:tcPr>
                <w:p>
                  <w:pPr>
                    <w:pStyle w:val="48"/>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1112" w:type="dxa"/>
                  <w:vMerge w:val="continue"/>
                  <w:tcBorders>
                    <w:tl2br w:val="nil"/>
                    <w:tr2bl w:val="nil"/>
                  </w:tcBorders>
                  <w:vAlign w:val="center"/>
                </w:tcPr>
                <w:p>
                  <w:pPr>
                    <w:pStyle w:val="48"/>
                    <w:rPr>
                      <w:color w:val="000000" w:themeColor="text1"/>
                      <w14:textFill>
                        <w14:solidFill>
                          <w14:schemeClr w14:val="tx1"/>
                        </w14:solidFill>
                      </w14:textFill>
                    </w:rPr>
                  </w:pPr>
                </w:p>
              </w:tc>
              <w:tc>
                <w:tcPr>
                  <w:tcW w:w="2820" w:type="dxa"/>
                  <w:tcBorders>
                    <w:tl2br w:val="nil"/>
                    <w:tr2bl w:val="nil"/>
                  </w:tcBorders>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原辅材料采购等</w:t>
                  </w:r>
                </w:p>
              </w:tc>
              <w:tc>
                <w:tcPr>
                  <w:tcW w:w="3117" w:type="dxa"/>
                  <w:tcBorders>
                    <w:tl2br w:val="nil"/>
                    <w:tr2bl w:val="nil"/>
                  </w:tcBorders>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废包装材料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8" w:type="dxa"/>
                  <w:tcBorders>
                    <w:tl2br w:val="nil"/>
                    <w:tr2bl w:val="nil"/>
                  </w:tcBorders>
                  <w:shd w:val="clear" w:color="auto" w:fill="auto"/>
                  <w:vAlign w:val="center"/>
                </w:tcPr>
                <w:p>
                  <w:pPr>
                    <w:pStyle w:val="4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w:t>
                  </w:r>
                </w:p>
              </w:tc>
              <w:tc>
                <w:tcPr>
                  <w:tcW w:w="1112" w:type="dxa"/>
                  <w:vMerge w:val="continue"/>
                  <w:tcBorders>
                    <w:tl2br w:val="nil"/>
                    <w:tr2bl w:val="nil"/>
                  </w:tcBorders>
                  <w:vAlign w:val="center"/>
                </w:tcPr>
                <w:p>
                  <w:pPr>
                    <w:pStyle w:val="48"/>
                    <w:rPr>
                      <w:color w:val="000000" w:themeColor="text1"/>
                      <w14:textFill>
                        <w14:solidFill>
                          <w14:schemeClr w14:val="tx1"/>
                        </w14:solidFill>
                      </w14:textFill>
                    </w:rPr>
                  </w:pPr>
                </w:p>
              </w:tc>
              <w:tc>
                <w:tcPr>
                  <w:tcW w:w="2820" w:type="dxa"/>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污水处理站</w:t>
                  </w:r>
                </w:p>
              </w:tc>
              <w:tc>
                <w:tcPr>
                  <w:tcW w:w="3117" w:type="dxa"/>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污泥</w:t>
                  </w:r>
                </w:p>
              </w:tc>
            </w:tr>
          </w:tbl>
          <w:p>
            <w:pPr>
              <w:pStyle w:val="7"/>
              <w:ind w:firstLine="480"/>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dxa"/>
            <w:noWrap/>
            <w:vAlign w:val="center"/>
          </w:tcPr>
          <w:p>
            <w:pPr>
              <w:pStyle w:val="27"/>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bCs/>
                <w:color w:val="000000" w:themeColor="text1"/>
                <w:kern w:val="2"/>
                <w:szCs w:val="24"/>
                <w14:textFill>
                  <w14:solidFill>
                    <w14:schemeClr w14:val="tx1"/>
                  </w14:solidFill>
                </w14:textFill>
              </w:rPr>
              <w:t>与项目有关的原有环境污染问题</w:t>
            </w:r>
          </w:p>
        </w:tc>
        <w:tc>
          <w:tcPr>
            <w:tcW w:w="8080" w:type="dxa"/>
            <w:noWrap/>
            <w:vAlign w:val="center"/>
          </w:tcPr>
          <w:p>
            <w:r>
              <w:t>与本项目有关的原有污染情况及主要环境问题：</w:t>
            </w:r>
          </w:p>
          <w:p>
            <w:pPr>
              <w:pStyle w:val="7"/>
              <w:ind w:firstLine="480"/>
            </w:pPr>
            <w:r>
              <w:rPr>
                <w:rFonts w:hint="eastAsia"/>
              </w:rPr>
              <w:t>本项目属于已建补办环评类型，原有污染情况简述如下：</w:t>
            </w:r>
          </w:p>
          <w:p>
            <w:pPr>
              <w:pStyle w:val="7"/>
              <w:ind w:firstLine="480"/>
              <w:rPr>
                <w:b/>
                <w:bCs/>
              </w:rPr>
            </w:pPr>
            <w:r>
              <w:rPr>
                <w:b/>
                <w:bCs/>
              </w:rPr>
              <w:t>1、项目现有情况</w:t>
            </w:r>
          </w:p>
          <w:p>
            <w:pPr>
              <w:pStyle w:val="7"/>
              <w:ind w:firstLine="480"/>
            </w:pPr>
            <w:r>
              <w:t>项目现有情况照片见下图。</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2"/>
              <w:gridCol w:w="3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9" w:type="pct"/>
                  <w:vAlign w:val="center"/>
                </w:tcPr>
                <w:p>
                  <w:pPr>
                    <w:pStyle w:val="48"/>
                    <w:rPr>
                      <w:rFonts w:hint="eastAsia" w:eastAsia="宋体"/>
                      <w:lang w:eastAsia="zh-CN"/>
                    </w:rPr>
                  </w:pPr>
                  <w:r>
                    <w:rPr>
                      <w:rFonts w:hint="eastAsia" w:eastAsia="宋体"/>
                      <w:lang w:eastAsia="zh-CN"/>
                    </w:rPr>
                    <w:drawing>
                      <wp:inline distT="0" distB="0" distL="114300" distR="114300">
                        <wp:extent cx="2422525" cy="1816735"/>
                        <wp:effectExtent l="0" t="0" r="15875" b="12065"/>
                        <wp:docPr id="5" name="图片 5" descr="微信图片_20231019134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10191342292"/>
                                <pic:cNvPicPr>
                                  <a:picLocks noChangeAspect="1"/>
                                </pic:cNvPicPr>
                              </pic:nvPicPr>
                              <pic:blipFill>
                                <a:blip r:embed="rId14"/>
                                <a:stretch>
                                  <a:fillRect/>
                                </a:stretch>
                              </pic:blipFill>
                              <pic:spPr>
                                <a:xfrm>
                                  <a:off x="0" y="0"/>
                                  <a:ext cx="2422525" cy="1816735"/>
                                </a:xfrm>
                                <a:prstGeom prst="rect">
                                  <a:avLst/>
                                </a:prstGeom>
                              </pic:spPr>
                            </pic:pic>
                          </a:graphicData>
                        </a:graphic>
                      </wp:inline>
                    </w:drawing>
                  </w:r>
                </w:p>
              </w:tc>
              <w:tc>
                <w:tcPr>
                  <w:tcW w:w="2420" w:type="pct"/>
                  <w:vAlign w:val="center"/>
                </w:tcPr>
                <w:p>
                  <w:pPr>
                    <w:pStyle w:val="48"/>
                    <w:rPr>
                      <w:rFonts w:hint="eastAsia" w:eastAsia="宋体"/>
                      <w:lang w:eastAsia="zh-CN"/>
                    </w:rPr>
                  </w:pPr>
                  <w:r>
                    <w:rPr>
                      <w:rFonts w:hint="eastAsia" w:eastAsia="宋体"/>
                      <w:lang w:eastAsia="zh-CN"/>
                    </w:rPr>
                    <w:drawing>
                      <wp:inline distT="0" distB="0" distL="114300" distR="114300">
                        <wp:extent cx="2276475" cy="1706880"/>
                        <wp:effectExtent l="0" t="0" r="9525" b="7620"/>
                        <wp:docPr id="7" name="图片 7" descr="微信图片_20231019134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10191342211"/>
                                <pic:cNvPicPr>
                                  <a:picLocks noChangeAspect="1"/>
                                </pic:cNvPicPr>
                              </pic:nvPicPr>
                              <pic:blipFill>
                                <a:blip r:embed="rId15"/>
                                <a:stretch>
                                  <a:fillRect/>
                                </a:stretch>
                              </pic:blipFill>
                              <pic:spPr>
                                <a:xfrm>
                                  <a:off x="0" y="0"/>
                                  <a:ext cx="2276475" cy="17068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9" w:type="pct"/>
                  <w:vAlign w:val="center"/>
                </w:tcPr>
                <w:p>
                  <w:pPr>
                    <w:pStyle w:val="48"/>
                  </w:pPr>
                  <w:r>
                    <w:rPr>
                      <w:rFonts w:hint="eastAsia"/>
                    </w:rPr>
                    <w:t>门诊住院楼</w:t>
                  </w:r>
                </w:p>
              </w:tc>
              <w:tc>
                <w:tcPr>
                  <w:tcW w:w="2420" w:type="pct"/>
                  <w:vAlign w:val="center"/>
                </w:tcPr>
                <w:p>
                  <w:pPr>
                    <w:pStyle w:val="48"/>
                    <w:rPr>
                      <w:rFonts w:hint="default" w:eastAsia="宋体"/>
                      <w:lang w:val="en-US" w:eastAsia="zh-CN"/>
                    </w:rPr>
                  </w:pPr>
                  <w:r>
                    <w:rPr>
                      <w:rFonts w:hint="eastAsia"/>
                      <w:lang w:val="en-US" w:eastAsia="zh-CN"/>
                    </w:rPr>
                    <w:t>公卫服务楼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9" w:type="pct"/>
                  <w:vAlign w:val="center"/>
                </w:tcPr>
                <w:p>
                  <w:pPr>
                    <w:pStyle w:val="48"/>
                    <w:rPr>
                      <w:rFonts w:hint="eastAsia" w:eastAsia="宋体"/>
                      <w:lang w:eastAsia="zh-CN"/>
                    </w:rPr>
                  </w:pPr>
                  <w:r>
                    <w:rPr>
                      <w:rFonts w:hint="eastAsia" w:eastAsia="宋体"/>
                      <w:lang w:eastAsia="zh-CN"/>
                    </w:rPr>
                    <w:drawing>
                      <wp:inline distT="0" distB="0" distL="114300" distR="114300">
                        <wp:extent cx="2426335" cy="2304415"/>
                        <wp:effectExtent l="0" t="0" r="12065" b="635"/>
                        <wp:docPr id="8" name="图片 8" descr="微信图片_20231019134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10191342233"/>
                                <pic:cNvPicPr>
                                  <a:picLocks noChangeAspect="1"/>
                                </pic:cNvPicPr>
                              </pic:nvPicPr>
                              <pic:blipFill>
                                <a:blip r:embed="rId16"/>
                                <a:stretch>
                                  <a:fillRect/>
                                </a:stretch>
                              </pic:blipFill>
                              <pic:spPr>
                                <a:xfrm>
                                  <a:off x="0" y="0"/>
                                  <a:ext cx="2426335" cy="2304415"/>
                                </a:xfrm>
                                <a:prstGeom prst="rect">
                                  <a:avLst/>
                                </a:prstGeom>
                              </pic:spPr>
                            </pic:pic>
                          </a:graphicData>
                        </a:graphic>
                      </wp:inline>
                    </w:drawing>
                  </w:r>
                </w:p>
              </w:tc>
              <w:tc>
                <w:tcPr>
                  <w:tcW w:w="2420" w:type="pct"/>
                  <w:vAlign w:val="center"/>
                </w:tcPr>
                <w:p>
                  <w:pPr>
                    <w:pStyle w:val="48"/>
                    <w:rPr>
                      <w:rFonts w:hint="eastAsia" w:eastAsia="宋体"/>
                      <w:lang w:eastAsia="zh-CN"/>
                    </w:rPr>
                  </w:pPr>
                  <w:r>
                    <w:rPr>
                      <w:rFonts w:hint="eastAsia" w:eastAsia="宋体"/>
                      <w:lang w:eastAsia="zh-CN"/>
                    </w:rPr>
                    <w:drawing>
                      <wp:inline distT="0" distB="0" distL="114300" distR="114300">
                        <wp:extent cx="2276475" cy="2289175"/>
                        <wp:effectExtent l="0" t="0" r="9525" b="15875"/>
                        <wp:docPr id="9" name="图片 9" descr="微信图片_20231019134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10191342272"/>
                                <pic:cNvPicPr>
                                  <a:picLocks noChangeAspect="1"/>
                                </pic:cNvPicPr>
                              </pic:nvPicPr>
                              <pic:blipFill>
                                <a:blip r:embed="rId17"/>
                                <a:stretch>
                                  <a:fillRect/>
                                </a:stretch>
                              </pic:blipFill>
                              <pic:spPr>
                                <a:xfrm>
                                  <a:off x="0" y="0"/>
                                  <a:ext cx="2276475" cy="22891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9" w:type="pct"/>
                  <w:vAlign w:val="center"/>
                </w:tcPr>
                <w:p>
                  <w:pPr>
                    <w:pStyle w:val="48"/>
                  </w:pPr>
                  <w:r>
                    <w:t>医疗废物暂存间</w:t>
                  </w:r>
                </w:p>
              </w:tc>
              <w:tc>
                <w:tcPr>
                  <w:tcW w:w="2420" w:type="pct"/>
                  <w:vAlign w:val="center"/>
                </w:tcPr>
                <w:p>
                  <w:pPr>
                    <w:pStyle w:val="48"/>
                  </w:pPr>
                  <w:r>
                    <w:rPr>
                      <w:rFonts w:hint="eastAsia"/>
                    </w:rPr>
                    <w:t>污水处理站</w:t>
                  </w:r>
                </w:p>
              </w:tc>
            </w:tr>
          </w:tbl>
          <w:p>
            <w:pPr>
              <w:pStyle w:val="7"/>
              <w:shd w:val="clear"/>
              <w:ind w:firstLine="480"/>
              <w:rPr>
                <w:u w:val="none"/>
              </w:rPr>
            </w:pPr>
            <w:r>
              <w:rPr>
                <w:rFonts w:hint="eastAsia"/>
                <w:u w:val="none"/>
              </w:rPr>
              <w:t>根据医院现有情况以及没有设置传染性病房等基本情况，且乡镇卫生院为一级医疗机构，污染物成分较为简单，委托检测单位检测的污染因子中未设置沙门氏菌因子，项目污染物的检测是符合要求的。</w:t>
            </w:r>
          </w:p>
          <w:p>
            <w:pPr>
              <w:pStyle w:val="7"/>
              <w:ind w:firstLine="480"/>
              <w:rPr>
                <w:b/>
                <w:bCs/>
                <w:u w:val="none"/>
              </w:rPr>
            </w:pPr>
            <w:r>
              <w:rPr>
                <w:b/>
                <w:bCs/>
                <w:u w:val="none"/>
              </w:rPr>
              <w:t>2、</w:t>
            </w:r>
            <w:r>
              <w:rPr>
                <w:rFonts w:hint="eastAsia"/>
                <w:b/>
                <w:bCs/>
                <w:u w:val="none"/>
              </w:rPr>
              <w:t>污染物排放及达标情况</w:t>
            </w:r>
          </w:p>
          <w:p>
            <w:pPr>
              <w:pStyle w:val="7"/>
              <w:keepNext w:val="0"/>
              <w:keepLines w:val="0"/>
              <w:pageBreakBefore w:val="0"/>
              <w:widowControl w:val="0"/>
              <w:kinsoku/>
              <w:wordWrap/>
              <w:overflowPunct/>
              <w:topLinePunct w:val="0"/>
              <w:autoSpaceDE/>
              <w:autoSpaceDN/>
              <w:bidi w:val="0"/>
              <w:adjustRightInd/>
              <w:snapToGrid/>
              <w:ind w:firstLine="480"/>
              <w:jc w:val="both"/>
              <w:textAlignment w:val="auto"/>
              <w:rPr>
                <w:color w:val="auto"/>
                <w:u w:val="none" w:color="auto"/>
                <w:shd w:val="clear"/>
              </w:rPr>
            </w:pPr>
            <w:r>
              <w:rPr>
                <w:rFonts w:hint="eastAsia"/>
                <w:u w:val="none" w:color="auto"/>
                <w:lang w:eastAsia="zh-CN"/>
              </w:rPr>
              <w:t>临湘市桃林镇中心卫生院(临湘市桃林镇中心妇幼保健计划生育服务站）</w:t>
            </w:r>
            <w:r>
              <w:rPr>
                <w:u w:val="none" w:color="auto"/>
                <w:shd w:val="clear"/>
              </w:rPr>
              <w:t>于20</w:t>
            </w:r>
            <w:r>
              <w:rPr>
                <w:rFonts w:hint="eastAsia"/>
                <w:u w:val="none" w:color="auto"/>
                <w:shd w:val="clear"/>
              </w:rPr>
              <w:t>23</w:t>
            </w:r>
            <w:r>
              <w:rPr>
                <w:u w:val="none" w:color="auto"/>
                <w:shd w:val="clear"/>
              </w:rPr>
              <w:t>年</w:t>
            </w:r>
            <w:r>
              <w:rPr>
                <w:rFonts w:hint="eastAsia"/>
                <w:u w:val="none" w:color="auto"/>
                <w:shd w:val="clear"/>
                <w:lang w:val="en-US" w:eastAsia="zh-CN"/>
              </w:rPr>
              <w:t>10</w:t>
            </w:r>
            <w:r>
              <w:rPr>
                <w:u w:val="none" w:color="auto"/>
                <w:shd w:val="clear"/>
              </w:rPr>
              <w:t>月</w:t>
            </w:r>
            <w:r>
              <w:rPr>
                <w:rFonts w:hint="eastAsia"/>
                <w:u w:val="none" w:color="auto"/>
                <w:shd w:val="clear"/>
                <w:lang w:val="en-US" w:eastAsia="zh-CN"/>
              </w:rPr>
              <w:t>1</w:t>
            </w:r>
            <w:r>
              <w:rPr>
                <w:rFonts w:hint="eastAsia"/>
                <w:u w:val="none" w:color="auto"/>
                <w:shd w:val="clear"/>
              </w:rPr>
              <w:t>5</w:t>
            </w:r>
            <w:r>
              <w:rPr>
                <w:rFonts w:hint="eastAsia"/>
                <w:u w:val="none" w:color="auto"/>
                <w:shd w:val="clear"/>
                <w:lang w:val="en-US" w:eastAsia="zh-CN"/>
              </w:rPr>
              <w:t>日-17</w:t>
            </w:r>
            <w:r>
              <w:rPr>
                <w:rFonts w:hint="eastAsia"/>
                <w:u w:val="none" w:color="auto"/>
                <w:shd w:val="clear"/>
              </w:rPr>
              <w:t>日</w:t>
            </w:r>
            <w:r>
              <w:rPr>
                <w:u w:val="none" w:color="auto"/>
                <w:shd w:val="clear"/>
              </w:rPr>
              <w:t>委</w:t>
            </w:r>
            <w:r>
              <w:rPr>
                <w:u w:val="none" w:color="auto"/>
              </w:rPr>
              <w:t>托</w:t>
            </w:r>
            <w:r>
              <w:rPr>
                <w:color w:val="auto"/>
                <w:u w:val="none" w:color="auto"/>
              </w:rPr>
              <w:t>湖南</w:t>
            </w:r>
            <w:r>
              <w:rPr>
                <w:rFonts w:hint="eastAsia"/>
                <w:color w:val="auto"/>
                <w:u w:val="none" w:color="auto"/>
                <w:lang w:val="en-US" w:eastAsia="zh-CN"/>
              </w:rPr>
              <w:t>衡润科技</w:t>
            </w:r>
            <w:r>
              <w:rPr>
                <w:color w:val="auto"/>
                <w:u w:val="none" w:color="auto"/>
              </w:rPr>
              <w:t>有限公司对卫生院的废气、噪声等进行了监测</w:t>
            </w:r>
            <w:r>
              <w:rPr>
                <w:rFonts w:hint="eastAsia"/>
                <w:color w:val="000000" w:themeColor="text1"/>
                <w:u w:val="none" w:color="auto"/>
                <w:lang w:val="en-US" w:eastAsia="zh-CN"/>
                <w14:textFill>
                  <w14:solidFill>
                    <w14:schemeClr w14:val="tx1"/>
                  </w14:solidFill>
                </w14:textFill>
              </w:rPr>
              <w:t>（</w:t>
            </w:r>
            <w:r>
              <w:rPr>
                <w:rFonts w:hint="eastAsia" w:cs="Times New Roman"/>
                <w:color w:val="000000" w:themeColor="text1"/>
                <w:highlight w:val="none"/>
                <w:u w:val="none" w:color="auto"/>
                <w:lang w:val="en-US" w:eastAsia="zh-CN"/>
                <w14:textFill>
                  <w14:solidFill>
                    <w14:schemeClr w14:val="tx1"/>
                  </w14:solidFill>
                </w14:textFill>
              </w:rPr>
              <w:t>检测报告编号：湘衡检字[HJ（2023）J]第129号</w:t>
            </w:r>
            <w:r>
              <w:rPr>
                <w:rFonts w:hint="eastAsia"/>
                <w:color w:val="000000" w:themeColor="text1"/>
                <w:u w:val="none" w:color="auto"/>
                <w:lang w:val="en-US" w:eastAsia="zh-CN"/>
                <w14:textFill>
                  <w14:solidFill>
                    <w14:schemeClr w14:val="tx1"/>
                  </w14:solidFill>
                </w14:textFill>
              </w:rPr>
              <w:t>），</w:t>
            </w:r>
            <w:r>
              <w:rPr>
                <w:rFonts w:hint="eastAsia"/>
                <w:color w:val="auto"/>
                <w:u w:val="none" w:color="auto"/>
                <w:shd w:val="clear"/>
                <w:lang w:val="en-US" w:eastAsia="zh-CN"/>
              </w:rPr>
              <w:t>检测</w:t>
            </w:r>
            <w:r>
              <w:rPr>
                <w:color w:val="auto"/>
                <w:u w:val="none" w:color="auto"/>
                <w:shd w:val="clear"/>
              </w:rPr>
              <w:t>结果见下表。</w:t>
            </w:r>
          </w:p>
          <w:p>
            <w:pPr>
              <w:pStyle w:val="7"/>
              <w:ind w:firstLine="480"/>
              <w:rPr>
                <w:u w:val="none"/>
              </w:rPr>
            </w:pPr>
            <w:r>
              <w:rPr>
                <w:rFonts w:hint="eastAsia"/>
                <w:u w:val="none"/>
              </w:rPr>
              <w:t>（1）废水</w:t>
            </w:r>
          </w:p>
          <w:p>
            <w:pPr>
              <w:pStyle w:val="7"/>
              <w:keepNext w:val="0"/>
              <w:keepLines w:val="0"/>
              <w:pageBreakBefore w:val="0"/>
              <w:widowControl w:val="0"/>
              <w:kinsoku/>
              <w:wordWrap/>
              <w:overflowPunct/>
              <w:topLinePunct w:val="0"/>
              <w:autoSpaceDE/>
              <w:autoSpaceDN/>
              <w:bidi w:val="0"/>
              <w:adjustRightInd/>
              <w:snapToGrid/>
              <w:ind w:firstLine="480"/>
              <w:jc w:val="both"/>
              <w:textAlignment w:val="auto"/>
              <w:rPr>
                <w:rFonts w:hint="eastAsia"/>
                <w:u w:val="none"/>
              </w:rPr>
            </w:pPr>
            <w:r>
              <w:rPr>
                <w:rFonts w:hint="eastAsia"/>
                <w:u w:val="none"/>
              </w:rPr>
              <w:t>医院生活污水进入化粪池处理后与医疗废水进入场内污水处理站处理后通过市政污水管网进入</w:t>
            </w:r>
            <w:r>
              <w:rPr>
                <w:rFonts w:hint="eastAsia"/>
                <w:u w:val="none"/>
                <w:lang w:val="en-US" w:eastAsia="zh-CN"/>
              </w:rPr>
              <w:t>桃林镇污水处理厂</w:t>
            </w:r>
            <w:r>
              <w:rPr>
                <w:rFonts w:hint="eastAsia"/>
                <w:u w:val="none"/>
              </w:rPr>
              <w:t>处理后达标排放。</w:t>
            </w:r>
          </w:p>
          <w:p>
            <w:pPr>
              <w:pStyle w:val="7"/>
              <w:keepNext w:val="0"/>
              <w:keepLines w:val="0"/>
              <w:pageBreakBefore w:val="0"/>
              <w:widowControl w:val="0"/>
              <w:shd w:val="clear"/>
              <w:kinsoku/>
              <w:wordWrap/>
              <w:overflowPunct/>
              <w:topLinePunct w:val="0"/>
              <w:autoSpaceDE/>
              <w:autoSpaceDN/>
              <w:bidi w:val="0"/>
              <w:adjustRightInd/>
              <w:snapToGrid/>
              <w:spacing w:before="313" w:beforeLines="100"/>
              <w:ind w:firstLine="480"/>
              <w:jc w:val="both"/>
              <w:textAlignment w:val="auto"/>
              <w:rPr>
                <w:rFonts w:hint="default"/>
                <w:u w:val="single"/>
                <w:lang w:val="en-US" w:eastAsia="zh-CN"/>
              </w:rPr>
            </w:pPr>
            <w:r>
              <w:rPr>
                <w:rFonts w:hint="eastAsia"/>
                <w:u w:val="single"/>
                <w:lang w:eastAsia="zh-CN"/>
              </w:rPr>
              <w:t>临湘市桃林镇中心卫生院(临湘市桃林镇中心妇幼保健计划生育服务站）</w:t>
            </w:r>
            <w:r>
              <w:rPr>
                <w:rFonts w:hint="eastAsia"/>
                <w:u w:val="single"/>
                <w:lang w:val="en-US" w:eastAsia="zh-CN"/>
              </w:rPr>
              <w:t>废水处理设备与临湘市长安街道社区卫生服务中心（临湘市长安街道妇幼保健计划生育服务站）污水处理设备同属瑞康科技，处理规模、工艺均相同，引用临湘市长安街道社区卫生服务中心（临湘市长安街道妇幼保健计划生育服务站）委托湖南衡润科技有限公司于2023年11月30日-12月01日对该院</w:t>
            </w:r>
            <w:r>
              <w:rPr>
                <w:rFonts w:hint="eastAsia"/>
                <w:u w:val="single" w:color="auto"/>
                <w:lang w:val="en-US" w:eastAsia="zh-CN"/>
              </w:rPr>
              <w:t>废水处理设施进口、总排口、接触池出口进行监测</w:t>
            </w:r>
            <w:r>
              <w:rPr>
                <w:rFonts w:hint="eastAsia"/>
                <w:color w:val="000000" w:themeColor="text1"/>
                <w:u w:val="single" w:color="auto"/>
                <w:lang w:val="en-US" w:eastAsia="zh-CN"/>
                <w14:textFill>
                  <w14:solidFill>
                    <w14:schemeClr w14:val="tx1"/>
                  </w14:solidFill>
                </w14:textFill>
              </w:rPr>
              <w:t>（</w:t>
            </w:r>
            <w:r>
              <w:rPr>
                <w:rFonts w:hint="eastAsia" w:cs="Times New Roman"/>
                <w:color w:val="000000" w:themeColor="text1"/>
                <w:highlight w:val="none"/>
                <w:u w:val="single" w:color="auto"/>
                <w:lang w:val="en-US" w:eastAsia="zh-CN"/>
                <w14:textFill>
                  <w14:solidFill>
                    <w14:schemeClr w14:val="tx1"/>
                  </w14:solidFill>
                </w14:textFill>
              </w:rPr>
              <w:t>检测报告编号：湘衡检字[HJ（2023）K]第108号</w:t>
            </w:r>
            <w:r>
              <w:rPr>
                <w:rFonts w:hint="eastAsia"/>
                <w:color w:val="000000" w:themeColor="text1"/>
                <w:u w:val="single" w:color="auto"/>
                <w:lang w:val="en-US" w:eastAsia="zh-CN"/>
                <w14:textFill>
                  <w14:solidFill>
                    <w14:schemeClr w14:val="tx1"/>
                  </w14:solidFill>
                </w14:textFill>
              </w:rPr>
              <w:t>）</w:t>
            </w:r>
            <w:r>
              <w:rPr>
                <w:rFonts w:hint="eastAsia"/>
                <w:u w:val="single" w:color="auto"/>
                <w:lang w:val="en-US" w:eastAsia="zh-CN"/>
              </w:rPr>
              <w:t>，检测结果见下表。</w:t>
            </w:r>
          </w:p>
          <w:p>
            <w:pPr>
              <w:pStyle w:val="49"/>
              <w:shd w:val="clear"/>
              <w:rPr>
                <w:rFonts w:hint="default"/>
                <w:u w:val="single"/>
                <w:shd w:val="clear"/>
                <w:lang w:val="en-US" w:eastAsia="zh-CN"/>
              </w:rPr>
            </w:pPr>
            <w:r>
              <w:rPr>
                <w:rFonts w:hint="eastAsia"/>
                <w:u w:val="single"/>
                <w:shd w:val="clear"/>
                <w:lang w:val="en-US" w:eastAsia="zh-CN"/>
              </w:rPr>
              <w:t>表</w:t>
            </w:r>
            <w:r>
              <w:rPr>
                <w:rFonts w:hint="eastAsia"/>
                <w:u w:val="single"/>
                <w:shd w:val="clear"/>
              </w:rPr>
              <w:t>2.3-2</w:t>
            </w:r>
            <w:r>
              <w:rPr>
                <w:rFonts w:hint="eastAsia"/>
                <w:u w:val="single"/>
                <w:shd w:val="clear"/>
                <w:lang w:val="en-US" w:eastAsia="zh-CN"/>
              </w:rPr>
              <w:t xml:space="preserve"> 废水处理设施检测结果 </w:t>
            </w:r>
            <w:r>
              <w:rPr>
                <w:rFonts w:hint="eastAsia"/>
                <w:u w:val="single"/>
                <w:shd w:val="clear"/>
              </w:rPr>
              <w:t>单位</w:t>
            </w:r>
            <w:r>
              <w:rPr>
                <w:u w:val="single"/>
                <w:shd w:val="clear"/>
              </w:rPr>
              <w:t>mg/L</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158"/>
              <w:gridCol w:w="822"/>
              <w:gridCol w:w="877"/>
              <w:gridCol w:w="877"/>
              <w:gridCol w:w="878"/>
              <w:gridCol w:w="878"/>
              <w:gridCol w:w="804"/>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监测点位</w:t>
                  </w:r>
                </w:p>
              </w:tc>
              <w:tc>
                <w:tcPr>
                  <w:tcW w:w="737"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日期</w:t>
                  </w:r>
                </w:p>
              </w:tc>
              <w:tc>
                <w:tcPr>
                  <w:tcW w:w="523"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项目</w:t>
                  </w:r>
                </w:p>
              </w:tc>
              <w:tc>
                <w:tcPr>
                  <w:tcW w:w="558"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第一次</w:t>
                  </w:r>
                </w:p>
              </w:tc>
              <w:tc>
                <w:tcPr>
                  <w:tcW w:w="558"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第二次</w:t>
                  </w:r>
                </w:p>
              </w:tc>
              <w:tc>
                <w:tcPr>
                  <w:tcW w:w="559"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第三次</w:t>
                  </w:r>
                </w:p>
              </w:tc>
              <w:tc>
                <w:tcPr>
                  <w:tcW w:w="559"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第</w:t>
                  </w:r>
                  <w:r>
                    <w:rPr>
                      <w:rFonts w:hint="eastAsia" w:cs="Times New Roman"/>
                      <w:color w:val="auto"/>
                      <w:kern w:val="0"/>
                      <w:sz w:val="21"/>
                      <w:szCs w:val="21"/>
                      <w:u w:val="single"/>
                      <w:lang w:val="en-US" w:eastAsia="zh-CN" w:bidi="ar-SA"/>
                    </w:rPr>
                    <w:t>四</w:t>
                  </w:r>
                  <w:r>
                    <w:rPr>
                      <w:rFonts w:hint="eastAsia" w:ascii="Times New Roman" w:hAnsi="Times New Roman" w:eastAsia="宋体" w:cs="Times New Roman"/>
                      <w:color w:val="auto"/>
                      <w:kern w:val="0"/>
                      <w:sz w:val="21"/>
                      <w:szCs w:val="21"/>
                      <w:u w:val="single"/>
                      <w:lang w:val="en-US" w:eastAsia="zh-CN" w:bidi="ar-SA"/>
                    </w:rPr>
                    <w:t>次</w:t>
                  </w:r>
                </w:p>
              </w:tc>
              <w:tc>
                <w:tcPr>
                  <w:tcW w:w="51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限值</w:t>
                  </w:r>
                </w:p>
              </w:tc>
              <w:tc>
                <w:tcPr>
                  <w:tcW w:w="49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restar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eastAsia="宋体" w:cs="Times New Roman"/>
                      <w:color w:val="auto"/>
                      <w:kern w:val="0"/>
                      <w:sz w:val="21"/>
                      <w:szCs w:val="21"/>
                      <w:u w:val="single"/>
                      <w:lang w:val="en-US" w:eastAsia="zh-CN" w:bidi="ar-SA"/>
                    </w:rPr>
                    <w:t>W1废水处理设施进口</w:t>
                  </w:r>
                </w:p>
              </w:tc>
              <w:tc>
                <w:tcPr>
                  <w:tcW w:w="737" w:type="pct"/>
                  <w:vMerge w:val="restar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2023.11.30</w:t>
                  </w: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流量</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cs="Times New Roman"/>
                      <w:color w:val="000000"/>
                      <w:kern w:val="2"/>
                      <w:sz w:val="21"/>
                      <w:szCs w:val="21"/>
                      <w:u w:val="single"/>
                      <w:lang w:val="en-US" w:eastAsia="zh-CN" w:bidi="ar-SA"/>
                    </w:rPr>
                    <w:t>0.3</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cs="Times New Roman"/>
                      <w:color w:val="000000"/>
                      <w:kern w:val="2"/>
                      <w:sz w:val="21"/>
                      <w:szCs w:val="21"/>
                      <w:u w:val="single"/>
                      <w:lang w:val="en-US" w:eastAsia="zh-CN" w:bidi="ar-SA"/>
                    </w:rPr>
                    <w:t>0.3</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cs="Times New Roman"/>
                      <w:color w:val="000000"/>
                      <w:kern w:val="2"/>
                      <w:sz w:val="21"/>
                      <w:szCs w:val="21"/>
                      <w:u w:val="single"/>
                      <w:lang w:val="en-US" w:eastAsia="zh-CN" w:bidi="ar-SA"/>
                    </w:rPr>
                    <w:t>0.4</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cs="Times New Roman"/>
                      <w:color w:val="000000"/>
                      <w:kern w:val="2"/>
                      <w:sz w:val="21"/>
                      <w:szCs w:val="21"/>
                      <w:u w:val="single"/>
                      <w:lang w:val="en-US" w:eastAsia="zh-CN" w:bidi="ar-SA"/>
                    </w:rPr>
                    <w:t>0.4</w:t>
                  </w:r>
                </w:p>
              </w:tc>
              <w:tc>
                <w:tcPr>
                  <w:tcW w:w="51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jc w:val="center"/>
                    <w:rPr>
                      <w:rFonts w:hint="default" w:ascii="Times New Roman" w:hAnsi="Times New Roman" w:eastAsia="宋体" w:cs="Times New Roman"/>
                      <w:color w:val="auto"/>
                      <w:kern w:val="0"/>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pH</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6.7</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6.5</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6.9</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6.9</w:t>
                  </w:r>
                </w:p>
              </w:tc>
              <w:tc>
                <w:tcPr>
                  <w:tcW w:w="51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jc w:val="center"/>
                    <w:rPr>
                      <w:rFonts w:hint="default" w:ascii="Times New Roman" w:hAnsi="Times New Roman" w:eastAsia="宋体" w:cs="Times New Roman"/>
                      <w:color w:val="auto"/>
                      <w:kern w:val="0"/>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悬浮物</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46</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44</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45</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49</w:t>
                  </w:r>
                </w:p>
              </w:tc>
              <w:tc>
                <w:tcPr>
                  <w:tcW w:w="51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jc w:val="center"/>
                    <w:rPr>
                      <w:rFonts w:hint="default" w:ascii="Times New Roman" w:hAnsi="Times New Roman" w:eastAsia="宋体" w:cs="Times New Roman"/>
                      <w:color w:val="auto"/>
                      <w:kern w:val="0"/>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化学需氧量</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177</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156</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148</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184</w:t>
                  </w:r>
                </w:p>
              </w:tc>
              <w:tc>
                <w:tcPr>
                  <w:tcW w:w="51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jc w:val="center"/>
                    <w:rPr>
                      <w:rFonts w:hint="default" w:ascii="Times New Roman" w:hAnsi="Times New Roman" w:eastAsia="宋体" w:cs="Times New Roman"/>
                      <w:color w:val="auto"/>
                      <w:kern w:val="0"/>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eastAsia="宋体" w:cs="Times New Roman"/>
                      <w:color w:val="auto"/>
                      <w:kern w:val="0"/>
                      <w:sz w:val="21"/>
                      <w:szCs w:val="21"/>
                      <w:u w:val="single"/>
                      <w:lang w:val="en-US" w:eastAsia="zh-CN" w:bidi="ar-SA"/>
                    </w:rPr>
                    <w:t>BOD5</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48.2</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45.8</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44.1</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42.7</w:t>
                  </w:r>
                </w:p>
              </w:tc>
              <w:tc>
                <w:tcPr>
                  <w:tcW w:w="51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jc w:val="center"/>
                    <w:rPr>
                      <w:rFonts w:hint="default" w:ascii="Times New Roman" w:hAnsi="Times New Roman" w:eastAsia="宋体" w:cs="Times New Roman"/>
                      <w:color w:val="auto"/>
                      <w:kern w:val="0"/>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氨氮</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51.0</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52.8</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55.4</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51.9</w:t>
                  </w:r>
                </w:p>
              </w:tc>
              <w:tc>
                <w:tcPr>
                  <w:tcW w:w="51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jc w:val="center"/>
                    <w:rPr>
                      <w:rFonts w:hint="default" w:ascii="Times New Roman" w:hAnsi="Times New Roman" w:eastAsia="宋体" w:cs="Times New Roman"/>
                      <w:color w:val="auto"/>
                      <w:kern w:val="0"/>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动植物油</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0.08</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0.12</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0.10</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0.16</w:t>
                  </w:r>
                </w:p>
              </w:tc>
              <w:tc>
                <w:tcPr>
                  <w:tcW w:w="51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jc w:val="center"/>
                    <w:rPr>
                      <w:rFonts w:hint="default" w:ascii="Times New Roman" w:hAnsi="Times New Roman" w:eastAsia="宋体" w:cs="Times New Roman"/>
                      <w:color w:val="auto"/>
                      <w:kern w:val="0"/>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石油类</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0.50</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0.46</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0.47</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0.41</w:t>
                  </w:r>
                </w:p>
              </w:tc>
              <w:tc>
                <w:tcPr>
                  <w:tcW w:w="51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jc w:val="center"/>
                    <w:rPr>
                      <w:rFonts w:hint="default" w:ascii="Times New Roman" w:hAnsi="Times New Roman" w:eastAsia="宋体" w:cs="Times New Roman"/>
                      <w:color w:val="auto"/>
                      <w:kern w:val="0"/>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阴离子表面活性剂</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0.16</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0.15</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0.15</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0.15</w:t>
                  </w:r>
                </w:p>
              </w:tc>
              <w:tc>
                <w:tcPr>
                  <w:tcW w:w="51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jc w:val="center"/>
                    <w:rPr>
                      <w:rFonts w:hint="default" w:ascii="Times New Roman" w:hAnsi="Times New Roman" w:eastAsia="宋体" w:cs="Times New Roman"/>
                      <w:color w:val="auto"/>
                      <w:kern w:val="0"/>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挥发酚</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0.028</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0.022</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0.041</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0.022</w:t>
                  </w:r>
                </w:p>
              </w:tc>
              <w:tc>
                <w:tcPr>
                  <w:tcW w:w="51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jc w:val="center"/>
                    <w:rPr>
                      <w:rFonts w:hint="default" w:ascii="Times New Roman" w:hAnsi="Times New Roman" w:eastAsia="宋体" w:cs="Times New Roman"/>
                      <w:color w:val="auto"/>
                      <w:kern w:val="0"/>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总氰化物</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1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jc w:val="center"/>
                    <w:rPr>
                      <w:rFonts w:hint="default" w:ascii="Times New Roman" w:hAnsi="Times New Roman" w:eastAsia="宋体" w:cs="Times New Roman"/>
                      <w:color w:val="auto"/>
                      <w:kern w:val="0"/>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粪大肠菌群</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000000"/>
                      <w:sz w:val="21"/>
                      <w:szCs w:val="21"/>
                      <w:highlight w:val="none"/>
                      <w:u w:val="single"/>
                      <w:lang w:val="en-US" w:eastAsia="zh-CN"/>
                    </w:rPr>
                    <w:t>1.7</w:t>
                  </w:r>
                  <w:r>
                    <w:rPr>
                      <w:rFonts w:hint="default" w:ascii="Times New Roman" w:hAnsi="Times New Roman" w:eastAsia="宋体" w:cs="Times New Roman"/>
                      <w:color w:val="000000"/>
                      <w:sz w:val="21"/>
                      <w:szCs w:val="21"/>
                      <w:highlight w:val="none"/>
                      <w:u w:val="single"/>
                      <w:lang w:val="en-US" w:eastAsia="zh-CN"/>
                    </w:rPr>
                    <w:t>×10</w:t>
                  </w:r>
                  <w:r>
                    <w:rPr>
                      <w:rFonts w:hint="eastAsia" w:ascii="Times New Roman" w:hAnsi="Times New Roman" w:eastAsia="宋体" w:cs="Times New Roman"/>
                      <w:color w:val="000000"/>
                      <w:sz w:val="21"/>
                      <w:szCs w:val="21"/>
                      <w:highlight w:val="none"/>
                      <w:u w:val="single"/>
                      <w:vertAlign w:val="superscript"/>
                      <w:lang w:val="en-US" w:eastAsia="zh-CN"/>
                    </w:rPr>
                    <w:t>4</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000000"/>
                      <w:sz w:val="21"/>
                      <w:szCs w:val="21"/>
                      <w:highlight w:val="none"/>
                      <w:u w:val="single"/>
                      <w:lang w:val="en-US" w:eastAsia="zh-CN"/>
                    </w:rPr>
                    <w:t>2.1</w:t>
                  </w:r>
                  <w:r>
                    <w:rPr>
                      <w:rFonts w:hint="default" w:ascii="Times New Roman" w:hAnsi="Times New Roman" w:eastAsia="宋体" w:cs="Times New Roman"/>
                      <w:color w:val="000000"/>
                      <w:sz w:val="21"/>
                      <w:szCs w:val="21"/>
                      <w:highlight w:val="none"/>
                      <w:u w:val="single"/>
                      <w:lang w:val="en-US" w:eastAsia="zh-CN"/>
                    </w:rPr>
                    <w:t>×10</w:t>
                  </w:r>
                  <w:r>
                    <w:rPr>
                      <w:rFonts w:hint="eastAsia" w:ascii="Times New Roman" w:hAnsi="Times New Roman" w:eastAsia="宋体" w:cs="Times New Roman"/>
                      <w:color w:val="000000"/>
                      <w:sz w:val="21"/>
                      <w:szCs w:val="21"/>
                      <w:highlight w:val="none"/>
                      <w:u w:val="single"/>
                      <w:vertAlign w:val="superscript"/>
                      <w:lang w:val="en-US" w:eastAsia="zh-CN"/>
                    </w:rPr>
                    <w:t>4</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000000"/>
                      <w:sz w:val="21"/>
                      <w:szCs w:val="21"/>
                      <w:highlight w:val="none"/>
                      <w:u w:val="single"/>
                      <w:lang w:val="en-US" w:eastAsia="zh-CN"/>
                    </w:rPr>
                    <w:t>2.3</w:t>
                  </w:r>
                  <w:r>
                    <w:rPr>
                      <w:rFonts w:hint="default" w:ascii="Times New Roman" w:hAnsi="Times New Roman" w:eastAsia="宋体" w:cs="Times New Roman"/>
                      <w:color w:val="000000"/>
                      <w:sz w:val="21"/>
                      <w:szCs w:val="21"/>
                      <w:highlight w:val="none"/>
                      <w:u w:val="single"/>
                      <w:lang w:val="en-US" w:eastAsia="zh-CN"/>
                    </w:rPr>
                    <w:t>×10</w:t>
                  </w:r>
                  <w:r>
                    <w:rPr>
                      <w:rFonts w:hint="eastAsia" w:ascii="Times New Roman" w:hAnsi="Times New Roman" w:eastAsia="宋体" w:cs="Times New Roman"/>
                      <w:color w:val="000000"/>
                      <w:sz w:val="21"/>
                      <w:szCs w:val="21"/>
                      <w:highlight w:val="none"/>
                      <w:u w:val="single"/>
                      <w:vertAlign w:val="superscript"/>
                      <w:lang w:val="en-US" w:eastAsia="zh-CN"/>
                    </w:rPr>
                    <w:t>4</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000000"/>
                      <w:sz w:val="21"/>
                      <w:szCs w:val="21"/>
                      <w:highlight w:val="none"/>
                      <w:u w:val="single"/>
                      <w:lang w:val="en-US" w:eastAsia="zh-CN"/>
                    </w:rPr>
                    <w:t>3.3</w:t>
                  </w:r>
                  <w:r>
                    <w:rPr>
                      <w:rFonts w:hint="default" w:ascii="Times New Roman" w:hAnsi="Times New Roman" w:eastAsia="宋体" w:cs="Times New Roman"/>
                      <w:color w:val="000000"/>
                      <w:sz w:val="21"/>
                      <w:szCs w:val="21"/>
                      <w:highlight w:val="none"/>
                      <w:u w:val="single"/>
                      <w:lang w:val="en-US" w:eastAsia="zh-CN"/>
                    </w:rPr>
                    <w:t>×10</w:t>
                  </w:r>
                  <w:r>
                    <w:rPr>
                      <w:rFonts w:hint="eastAsia" w:ascii="Times New Roman" w:hAnsi="Times New Roman" w:eastAsia="宋体" w:cs="Times New Roman"/>
                      <w:color w:val="000000"/>
                      <w:sz w:val="21"/>
                      <w:szCs w:val="21"/>
                      <w:highlight w:val="none"/>
                      <w:u w:val="single"/>
                      <w:vertAlign w:val="superscript"/>
                      <w:lang w:val="en-US" w:eastAsia="zh-CN"/>
                    </w:rPr>
                    <w:t>4</w:t>
                  </w:r>
                </w:p>
              </w:tc>
              <w:tc>
                <w:tcPr>
                  <w:tcW w:w="51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restar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eastAsia="宋体" w:cs="Times New Roman"/>
                      <w:bCs w:val="0"/>
                      <w:color w:val="000000"/>
                      <w:kern w:val="2"/>
                      <w:sz w:val="21"/>
                      <w:szCs w:val="21"/>
                      <w:u w:val="single"/>
                    </w:rPr>
                    <w:t>W2废水总排口</w:t>
                  </w: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流量</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000000"/>
                      <w:kern w:val="2"/>
                      <w:sz w:val="21"/>
                      <w:szCs w:val="21"/>
                      <w:u w:val="single"/>
                      <w:lang w:val="en-US" w:eastAsia="zh-CN" w:bidi="ar-SA"/>
                    </w:rPr>
                    <w:t>0.3</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000000"/>
                      <w:kern w:val="2"/>
                      <w:sz w:val="21"/>
                      <w:szCs w:val="21"/>
                      <w:u w:val="single"/>
                      <w:lang w:val="en-US" w:eastAsia="zh-CN" w:bidi="ar-SA"/>
                    </w:rPr>
                    <w:t>0.3</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000000"/>
                      <w:kern w:val="2"/>
                      <w:sz w:val="21"/>
                      <w:szCs w:val="21"/>
                      <w:u w:val="single"/>
                      <w:lang w:val="en-US" w:eastAsia="zh-CN" w:bidi="ar-SA"/>
                    </w:rPr>
                    <w:t>0.4</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000000"/>
                      <w:kern w:val="2"/>
                      <w:sz w:val="21"/>
                      <w:szCs w:val="21"/>
                      <w:u w:val="single"/>
                      <w:lang w:val="en-US" w:eastAsia="zh-CN" w:bidi="ar-SA"/>
                    </w:rPr>
                    <w:t>0.4</w:t>
                  </w:r>
                </w:p>
              </w:tc>
              <w:tc>
                <w:tcPr>
                  <w:tcW w:w="512" w:type="pct"/>
                  <w:vAlign w:val="center"/>
                </w:tcPr>
                <w:p>
                  <w:pPr>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jc w:val="center"/>
                    <w:rPr>
                      <w:rFonts w:hint="default" w:ascii="Times New Roman" w:hAnsi="Times New Roman" w:eastAsia="宋体" w:cs="Times New Roman"/>
                      <w:color w:val="auto"/>
                      <w:kern w:val="0"/>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pH</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7.0</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7.1</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7.1</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7.2</w:t>
                  </w:r>
                </w:p>
              </w:tc>
              <w:tc>
                <w:tcPr>
                  <w:tcW w:w="512" w:type="pct"/>
                  <w:vAlign w:val="center"/>
                </w:tcPr>
                <w:p>
                  <w:pPr>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6-9</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jc w:val="center"/>
                    <w:rPr>
                      <w:rFonts w:hint="default" w:ascii="Times New Roman" w:hAnsi="Times New Roman" w:eastAsia="宋体" w:cs="Times New Roman"/>
                      <w:color w:val="auto"/>
                      <w:kern w:val="0"/>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悬浮物</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25</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27</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26</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24</w:t>
                  </w:r>
                </w:p>
              </w:tc>
              <w:tc>
                <w:tcPr>
                  <w:tcW w:w="512" w:type="pct"/>
                  <w:vAlign w:val="center"/>
                </w:tcPr>
                <w:p>
                  <w:pPr>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60</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jc w:val="center"/>
                    <w:rPr>
                      <w:rFonts w:hint="default" w:ascii="Times New Roman" w:hAnsi="Times New Roman" w:eastAsia="宋体" w:cs="Times New Roman"/>
                      <w:color w:val="auto"/>
                      <w:kern w:val="0"/>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化学需氧量</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48</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43</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55</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50</w:t>
                  </w:r>
                </w:p>
              </w:tc>
              <w:tc>
                <w:tcPr>
                  <w:tcW w:w="512" w:type="pct"/>
                  <w:vAlign w:val="center"/>
                </w:tcPr>
                <w:p>
                  <w:pPr>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250</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jc w:val="center"/>
                    <w:rPr>
                      <w:rFonts w:hint="default" w:ascii="Times New Roman" w:hAnsi="Times New Roman" w:eastAsia="宋体" w:cs="Times New Roman"/>
                      <w:color w:val="auto"/>
                      <w:kern w:val="0"/>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default" w:ascii="Times New Roman" w:hAnsi="Times New Roman" w:eastAsia="宋体" w:cs="Times New Roman"/>
                      <w:color w:val="auto"/>
                      <w:kern w:val="0"/>
                      <w:sz w:val="21"/>
                      <w:szCs w:val="21"/>
                      <w:u w:val="single"/>
                      <w:lang w:val="en-US" w:eastAsia="zh-CN" w:bidi="ar-SA"/>
                    </w:rPr>
                    <w:t>BOD5</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21.8</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20.9</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22.0</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21.5</w:t>
                  </w:r>
                </w:p>
              </w:tc>
              <w:tc>
                <w:tcPr>
                  <w:tcW w:w="512" w:type="pct"/>
                  <w:vAlign w:val="center"/>
                </w:tcPr>
                <w:p>
                  <w:pPr>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100</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jc w:val="center"/>
                    <w:rPr>
                      <w:rFonts w:hint="default" w:ascii="Times New Roman" w:hAnsi="Times New Roman" w:eastAsia="宋体" w:cs="Times New Roman"/>
                      <w:color w:val="auto"/>
                      <w:kern w:val="0"/>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氨氮</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34.3</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34.3</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34.4</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34.4</w:t>
                  </w:r>
                </w:p>
              </w:tc>
              <w:tc>
                <w:tcPr>
                  <w:tcW w:w="512" w:type="pct"/>
                  <w:vAlign w:val="center"/>
                </w:tcPr>
                <w:p>
                  <w:pPr>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4</w:t>
                  </w:r>
                  <w:r>
                    <w:rPr>
                      <w:rFonts w:hint="eastAsia" w:cs="Times New Roman"/>
                      <w:color w:val="auto"/>
                      <w:kern w:val="0"/>
                      <w:sz w:val="21"/>
                      <w:szCs w:val="21"/>
                      <w:u w:val="single"/>
                      <w:lang w:val="en-US" w:eastAsia="zh-CN" w:bidi="ar-SA"/>
                    </w:rPr>
                    <w:t>0</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jc w:val="center"/>
                    <w:rPr>
                      <w:rFonts w:hint="default" w:ascii="Times New Roman" w:hAnsi="Times New Roman" w:eastAsia="宋体" w:cs="Times New Roman"/>
                      <w:color w:val="auto"/>
                      <w:kern w:val="0"/>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动植物油</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12" w:type="pct"/>
                  <w:vAlign w:val="center"/>
                </w:tcPr>
                <w:p>
                  <w:pPr>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20</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jc w:val="center"/>
                    <w:rPr>
                      <w:rFonts w:hint="default" w:ascii="Times New Roman" w:hAnsi="Times New Roman" w:eastAsia="宋体" w:cs="Times New Roman"/>
                      <w:color w:val="auto"/>
                      <w:kern w:val="0"/>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石油类</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12" w:type="pct"/>
                  <w:vAlign w:val="center"/>
                </w:tcPr>
                <w:p>
                  <w:pPr>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20</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jc w:val="center"/>
                    <w:rPr>
                      <w:rFonts w:hint="default" w:ascii="Times New Roman" w:hAnsi="Times New Roman" w:eastAsia="宋体" w:cs="Times New Roman"/>
                      <w:color w:val="auto"/>
                      <w:kern w:val="0"/>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阴离子表面活性剂</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0.05</w:t>
                  </w:r>
                </w:p>
              </w:tc>
              <w:tc>
                <w:tcPr>
                  <w:tcW w:w="512" w:type="pct"/>
                  <w:vAlign w:val="center"/>
                </w:tcPr>
                <w:p>
                  <w:pPr>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10</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jc w:val="center"/>
                    <w:rPr>
                      <w:rFonts w:hint="default" w:ascii="Times New Roman" w:hAnsi="Times New Roman" w:eastAsia="宋体" w:cs="Times New Roman"/>
                      <w:color w:val="auto"/>
                      <w:kern w:val="0"/>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挥发酚</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0.014</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0.011</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0.018</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12" w:type="pct"/>
                  <w:vAlign w:val="center"/>
                </w:tcPr>
                <w:p>
                  <w:pPr>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1.0</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jc w:val="center"/>
                    <w:rPr>
                      <w:rFonts w:hint="default" w:ascii="Times New Roman" w:hAnsi="Times New Roman" w:eastAsia="宋体" w:cs="Times New Roman"/>
                      <w:color w:val="auto"/>
                      <w:kern w:val="0"/>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总氰化物</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12" w:type="pct"/>
                  <w:vAlign w:val="center"/>
                </w:tcPr>
                <w:p>
                  <w:pPr>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0.5</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jc w:val="center"/>
                    <w:rPr>
                      <w:rFonts w:hint="default" w:ascii="Times New Roman" w:hAnsi="Times New Roman" w:eastAsia="宋体" w:cs="Times New Roman"/>
                      <w:color w:val="auto"/>
                      <w:kern w:val="0"/>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粪大肠菌群</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000000"/>
                      <w:sz w:val="21"/>
                      <w:szCs w:val="21"/>
                      <w:highlight w:val="none"/>
                      <w:u w:val="single"/>
                      <w:lang w:val="en-US" w:eastAsia="zh-CN"/>
                    </w:rPr>
                    <w:t>1.1</w:t>
                  </w:r>
                  <w:r>
                    <w:rPr>
                      <w:rFonts w:hint="default" w:ascii="Times New Roman" w:hAnsi="Times New Roman" w:eastAsia="宋体" w:cs="Times New Roman"/>
                      <w:color w:val="000000"/>
                      <w:sz w:val="21"/>
                      <w:szCs w:val="21"/>
                      <w:highlight w:val="none"/>
                      <w:u w:val="single"/>
                      <w:lang w:val="en-US" w:eastAsia="zh-CN"/>
                    </w:rPr>
                    <w:t>×10</w:t>
                  </w:r>
                  <w:r>
                    <w:rPr>
                      <w:rFonts w:hint="eastAsia" w:ascii="Times New Roman" w:hAnsi="Times New Roman" w:eastAsia="宋体" w:cs="Times New Roman"/>
                      <w:color w:val="000000"/>
                      <w:sz w:val="21"/>
                      <w:szCs w:val="21"/>
                      <w:highlight w:val="none"/>
                      <w:u w:val="single"/>
                      <w:vertAlign w:val="superscript"/>
                      <w:lang w:val="en-US" w:eastAsia="zh-CN"/>
                    </w:rPr>
                    <w:t>3</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000000"/>
                      <w:sz w:val="21"/>
                      <w:szCs w:val="21"/>
                      <w:highlight w:val="none"/>
                      <w:u w:val="single"/>
                      <w:lang w:val="en-US" w:eastAsia="zh-CN"/>
                    </w:rPr>
                    <w:t>1.3</w:t>
                  </w:r>
                  <w:r>
                    <w:rPr>
                      <w:rFonts w:hint="default" w:ascii="Times New Roman" w:hAnsi="Times New Roman" w:eastAsia="宋体" w:cs="Times New Roman"/>
                      <w:color w:val="000000"/>
                      <w:sz w:val="21"/>
                      <w:szCs w:val="21"/>
                      <w:highlight w:val="none"/>
                      <w:u w:val="single"/>
                      <w:lang w:val="en-US" w:eastAsia="zh-CN"/>
                    </w:rPr>
                    <w:t>×10</w:t>
                  </w:r>
                  <w:r>
                    <w:rPr>
                      <w:rFonts w:hint="eastAsia" w:ascii="Times New Roman" w:hAnsi="Times New Roman" w:eastAsia="宋体" w:cs="Times New Roman"/>
                      <w:color w:val="000000"/>
                      <w:sz w:val="21"/>
                      <w:szCs w:val="21"/>
                      <w:highlight w:val="none"/>
                      <w:u w:val="single"/>
                      <w:vertAlign w:val="superscript"/>
                      <w:lang w:val="en-US" w:eastAsia="zh-CN"/>
                    </w:rPr>
                    <w:t>3</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000000"/>
                      <w:sz w:val="21"/>
                      <w:szCs w:val="21"/>
                      <w:highlight w:val="none"/>
                      <w:u w:val="single"/>
                      <w:lang w:val="en-US" w:eastAsia="zh-CN"/>
                    </w:rPr>
                    <w:t>1.4</w:t>
                  </w:r>
                  <w:r>
                    <w:rPr>
                      <w:rFonts w:hint="default" w:ascii="Times New Roman" w:hAnsi="Times New Roman" w:eastAsia="宋体" w:cs="Times New Roman"/>
                      <w:color w:val="000000"/>
                      <w:sz w:val="21"/>
                      <w:szCs w:val="21"/>
                      <w:highlight w:val="none"/>
                      <w:u w:val="single"/>
                      <w:lang w:val="en-US" w:eastAsia="zh-CN"/>
                    </w:rPr>
                    <w:t>×10</w:t>
                  </w:r>
                  <w:r>
                    <w:rPr>
                      <w:rFonts w:hint="eastAsia" w:ascii="Times New Roman" w:hAnsi="Times New Roman" w:eastAsia="宋体" w:cs="Times New Roman"/>
                      <w:color w:val="000000"/>
                      <w:sz w:val="21"/>
                      <w:szCs w:val="21"/>
                      <w:highlight w:val="none"/>
                      <w:u w:val="single"/>
                      <w:vertAlign w:val="superscript"/>
                      <w:lang w:val="en-US" w:eastAsia="zh-CN"/>
                    </w:rPr>
                    <w:t>3</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000000"/>
                      <w:sz w:val="21"/>
                      <w:szCs w:val="21"/>
                      <w:highlight w:val="none"/>
                      <w:u w:val="single"/>
                      <w:lang w:val="en-US" w:eastAsia="zh-CN"/>
                    </w:rPr>
                    <w:t>1.4</w:t>
                  </w:r>
                  <w:r>
                    <w:rPr>
                      <w:rFonts w:hint="default" w:ascii="Times New Roman" w:hAnsi="Times New Roman" w:eastAsia="宋体" w:cs="Times New Roman"/>
                      <w:color w:val="000000"/>
                      <w:sz w:val="21"/>
                      <w:szCs w:val="21"/>
                      <w:highlight w:val="none"/>
                      <w:u w:val="single"/>
                      <w:lang w:val="en-US" w:eastAsia="zh-CN"/>
                    </w:rPr>
                    <w:t>×10</w:t>
                  </w:r>
                  <w:r>
                    <w:rPr>
                      <w:rFonts w:hint="eastAsia" w:ascii="Times New Roman" w:hAnsi="Times New Roman" w:eastAsia="宋体" w:cs="Times New Roman"/>
                      <w:color w:val="000000"/>
                      <w:sz w:val="21"/>
                      <w:szCs w:val="21"/>
                      <w:highlight w:val="none"/>
                      <w:u w:val="single"/>
                      <w:vertAlign w:val="superscript"/>
                      <w:lang w:val="en-US" w:eastAsia="zh-CN"/>
                    </w:rPr>
                    <w:t>3</w:t>
                  </w:r>
                </w:p>
              </w:tc>
              <w:tc>
                <w:tcPr>
                  <w:tcW w:w="512" w:type="pct"/>
                  <w:vAlign w:val="center"/>
                </w:tcPr>
                <w:p>
                  <w:pPr>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5000</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W3接触池出口</w:t>
                  </w: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heme="minorEastAsia" w:hAnsiTheme="minorEastAsia" w:eastAsiaTheme="minorEastAsia" w:cstheme="minorEastAsia"/>
                      <w:bCs/>
                      <w:color w:val="auto"/>
                      <w:sz w:val="21"/>
                      <w:szCs w:val="21"/>
                      <w:u w:val="single"/>
                      <w:lang w:val="en-US" w:eastAsia="zh-CN"/>
                    </w:rPr>
                    <w:t>总余氯</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2.73</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2.69</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2.66</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2.70</w:t>
                  </w:r>
                </w:p>
              </w:tc>
              <w:tc>
                <w:tcPr>
                  <w:tcW w:w="512" w:type="pct"/>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w:t>
                  </w:r>
                </w:p>
              </w:tc>
              <w:tc>
                <w:tcPr>
                  <w:tcW w:w="492" w:type="pct"/>
                  <w:vAlign w:val="center"/>
                </w:tcPr>
                <w:p>
                  <w:pPr>
                    <w:jc w:val="center"/>
                    <w:rPr>
                      <w:rFonts w:hint="default"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restart"/>
                  <w:vAlign w:val="center"/>
                </w:tcPr>
                <w:p>
                  <w:pPr>
                    <w:jc w:val="center"/>
                    <w:rPr>
                      <w:rFonts w:hint="eastAsia" w:ascii="Times New Roman" w:hAnsi="Times New Roman" w:cs="Times New Roman"/>
                      <w:color w:val="auto"/>
                      <w:kern w:val="2"/>
                      <w:sz w:val="21"/>
                      <w:szCs w:val="21"/>
                      <w:u w:val="single"/>
                      <w:lang w:val="en-US" w:eastAsia="zh-CN" w:bidi="ar-SA"/>
                    </w:rPr>
                  </w:pPr>
                  <w:r>
                    <w:rPr>
                      <w:rFonts w:hint="default" w:ascii="Times New Roman" w:hAnsi="Times New Roman" w:eastAsia="宋体" w:cs="Times New Roman"/>
                      <w:color w:val="auto"/>
                      <w:kern w:val="0"/>
                      <w:sz w:val="21"/>
                      <w:szCs w:val="21"/>
                      <w:u w:val="single"/>
                      <w:lang w:val="en-US" w:eastAsia="zh-CN" w:bidi="ar-SA"/>
                    </w:rPr>
                    <w:t>W1废水处理设施进口</w:t>
                  </w:r>
                </w:p>
              </w:tc>
              <w:tc>
                <w:tcPr>
                  <w:tcW w:w="737" w:type="pct"/>
                  <w:vMerge w:val="restart"/>
                  <w:vAlign w:val="center"/>
                </w:tcPr>
                <w:p>
                  <w:pPr>
                    <w:keepNext w:val="0"/>
                    <w:keepLines w:val="0"/>
                    <w:widowControl w:val="0"/>
                    <w:suppressLineNumbers w:val="0"/>
                    <w:spacing w:before="0" w:beforeAutospacing="0" w:after="0" w:afterAutospacing="0"/>
                    <w:ind w:left="0" w:leftChars="0" w:right="0" w:rightChars="0"/>
                    <w:jc w:val="center"/>
                    <w:rPr>
                      <w:rFonts w:hint="default" w:asciiTheme="minorEastAsia" w:hAnsiTheme="minorEastAsia" w:eastAsiaTheme="minorEastAsia" w:cstheme="minorEastAsia"/>
                      <w:bCs/>
                      <w:color w:val="auto"/>
                      <w:sz w:val="21"/>
                      <w:szCs w:val="21"/>
                      <w:u w:val="single"/>
                      <w:lang w:val="en-US" w:eastAsia="zh-CN"/>
                    </w:rPr>
                  </w:pPr>
                  <w:r>
                    <w:rPr>
                      <w:rFonts w:hint="eastAsia" w:cs="Times New Roman"/>
                      <w:color w:val="auto"/>
                      <w:kern w:val="0"/>
                      <w:sz w:val="21"/>
                      <w:szCs w:val="21"/>
                      <w:u w:val="single"/>
                      <w:lang w:val="en-US" w:eastAsia="zh-CN" w:bidi="ar-SA"/>
                    </w:rPr>
                    <w:t>2023.12.01</w:t>
                  </w: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bidi="ar-SA"/>
                    </w:rPr>
                    <w:t>流量</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000000"/>
                      <w:kern w:val="2"/>
                      <w:sz w:val="21"/>
                      <w:szCs w:val="21"/>
                      <w:u w:val="single"/>
                      <w:lang w:val="en-US" w:eastAsia="zh-CN" w:bidi="ar-SA"/>
                    </w:rPr>
                    <w:t>0.3</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000000"/>
                      <w:kern w:val="2"/>
                      <w:sz w:val="21"/>
                      <w:szCs w:val="21"/>
                      <w:u w:val="single"/>
                      <w:lang w:val="en-US" w:eastAsia="zh-CN" w:bidi="ar-SA"/>
                    </w:rPr>
                    <w:t>0.3</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000000"/>
                      <w:kern w:val="2"/>
                      <w:sz w:val="21"/>
                      <w:szCs w:val="21"/>
                      <w:u w:val="single"/>
                      <w:lang w:val="en-US" w:eastAsia="zh-CN" w:bidi="ar-SA"/>
                    </w:rPr>
                    <w:t>0.4</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000000"/>
                      <w:kern w:val="2"/>
                      <w:sz w:val="21"/>
                      <w:szCs w:val="21"/>
                      <w:u w:val="single"/>
                      <w:lang w:val="en-US" w:eastAsia="zh-CN" w:bidi="ar-SA"/>
                    </w:rPr>
                    <w:t>0.4</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bidi="ar-SA"/>
                    </w:rPr>
                    <w:t>pH</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6.8</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6.7</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6.9</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6.8</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bidi="ar-SA"/>
                    </w:rPr>
                    <w:t>悬浮物</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w:t>
                  </w:r>
                  <w:r>
                    <w:rPr>
                      <w:rFonts w:hint="eastAsia" w:ascii="Times New Roman" w:hAnsi="Times New Roman" w:eastAsia="宋体" w:cs="Times New Roman"/>
                      <w:color w:val="auto"/>
                      <w:kern w:val="2"/>
                      <w:sz w:val="21"/>
                      <w:szCs w:val="21"/>
                      <w:highlight w:val="none"/>
                      <w:u w:val="single"/>
                      <w:lang w:val="en-US" w:eastAsia="zh-CN" w:bidi="ar-SA"/>
                    </w:rPr>
                    <w:t>4</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w:t>
                  </w:r>
                  <w:r>
                    <w:rPr>
                      <w:rFonts w:hint="eastAsia" w:ascii="Times New Roman" w:hAnsi="Times New Roman" w:eastAsia="宋体" w:cs="Times New Roman"/>
                      <w:color w:val="auto"/>
                      <w:kern w:val="2"/>
                      <w:sz w:val="21"/>
                      <w:szCs w:val="21"/>
                      <w:highlight w:val="none"/>
                      <w:u w:val="single"/>
                      <w:lang w:val="en-US" w:eastAsia="zh-CN" w:bidi="ar-SA"/>
                    </w:rPr>
                    <w:t>5</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w:t>
                  </w:r>
                  <w:r>
                    <w:rPr>
                      <w:rFonts w:hint="eastAsia" w:ascii="Times New Roman" w:hAnsi="Times New Roman" w:eastAsia="宋体" w:cs="Times New Roman"/>
                      <w:color w:val="auto"/>
                      <w:kern w:val="2"/>
                      <w:sz w:val="21"/>
                      <w:szCs w:val="21"/>
                      <w:highlight w:val="none"/>
                      <w:u w:val="single"/>
                      <w:lang w:val="en-US" w:eastAsia="zh-CN" w:bidi="ar-SA"/>
                    </w:rPr>
                    <w:t>3</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w:t>
                  </w:r>
                  <w:r>
                    <w:rPr>
                      <w:rFonts w:hint="eastAsia" w:ascii="Times New Roman" w:hAnsi="Times New Roman" w:eastAsia="宋体" w:cs="Times New Roman"/>
                      <w:color w:val="auto"/>
                      <w:kern w:val="2"/>
                      <w:sz w:val="21"/>
                      <w:szCs w:val="21"/>
                      <w:highlight w:val="none"/>
                      <w:u w:val="single"/>
                      <w:lang w:val="en-US" w:eastAsia="zh-CN" w:bidi="ar-SA"/>
                    </w:rPr>
                    <w:t>7</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bidi="ar-SA"/>
                    </w:rPr>
                    <w:t>化学需氧量</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145</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156</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160</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149</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r>
                    <w:rPr>
                      <w:rFonts w:hint="default" w:ascii="Times New Roman" w:hAnsi="Times New Roman" w:eastAsia="宋体" w:cs="Times New Roman"/>
                      <w:color w:val="auto"/>
                      <w:kern w:val="0"/>
                      <w:sz w:val="21"/>
                      <w:szCs w:val="21"/>
                      <w:u w:val="single"/>
                      <w:lang w:val="en-US" w:eastAsia="zh-CN" w:bidi="ar-SA"/>
                    </w:rPr>
                    <w:t>BOD5</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41.5</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42.6</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44.8</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43.7</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bidi="ar-SA"/>
                    </w:rPr>
                    <w:t>氨氮</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48.3</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47.8</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47.2</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48.1</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bidi="ar-SA"/>
                    </w:rPr>
                    <w:t>动植物油</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0.30</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0.19</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bidi="ar-SA"/>
                    </w:rPr>
                    <w:t>石油类</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0.31</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0.25</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0.28</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0.22</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bidi="ar-SA"/>
                    </w:rPr>
                    <w:t>阴离子表面活性剂</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0.13</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0.10</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0.10</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0.07</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bidi="ar-SA"/>
                    </w:rPr>
                    <w:t>挥发酚</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0.020</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0.026</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bidi="ar-SA"/>
                    </w:rPr>
                    <w:t>总氰化物</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bidi="ar-SA"/>
                    </w:rPr>
                    <w:t>粪大肠菌群</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eastAsia="宋体" w:cs="Times New Roman"/>
                      <w:color w:val="000000"/>
                      <w:sz w:val="21"/>
                      <w:szCs w:val="21"/>
                      <w:highlight w:val="none"/>
                      <w:u w:val="single"/>
                      <w:lang w:val="en-US" w:eastAsia="zh-CN"/>
                    </w:rPr>
                    <w:t>1.7</w:t>
                  </w:r>
                  <w:r>
                    <w:rPr>
                      <w:rFonts w:hint="default" w:ascii="Times New Roman" w:hAnsi="Times New Roman" w:eastAsia="宋体" w:cs="Times New Roman"/>
                      <w:color w:val="000000"/>
                      <w:sz w:val="21"/>
                      <w:szCs w:val="21"/>
                      <w:highlight w:val="none"/>
                      <w:u w:val="single"/>
                      <w:lang w:val="en-US" w:eastAsia="zh-CN"/>
                    </w:rPr>
                    <w:t>×10</w:t>
                  </w:r>
                  <w:r>
                    <w:rPr>
                      <w:rFonts w:hint="eastAsia" w:ascii="Times New Roman" w:hAnsi="Times New Roman" w:eastAsia="宋体" w:cs="Times New Roman"/>
                      <w:color w:val="000000"/>
                      <w:sz w:val="21"/>
                      <w:szCs w:val="21"/>
                      <w:highlight w:val="none"/>
                      <w:u w:val="single"/>
                      <w:vertAlign w:val="superscript"/>
                      <w:lang w:val="en-US" w:eastAsia="zh-CN"/>
                    </w:rPr>
                    <w:t>3</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eastAsia="宋体" w:cs="Times New Roman"/>
                      <w:color w:val="000000"/>
                      <w:sz w:val="21"/>
                      <w:szCs w:val="21"/>
                      <w:highlight w:val="none"/>
                      <w:u w:val="single"/>
                      <w:lang w:val="en-US" w:eastAsia="zh-CN"/>
                    </w:rPr>
                    <w:t>2.4</w:t>
                  </w:r>
                  <w:r>
                    <w:rPr>
                      <w:rFonts w:hint="default" w:ascii="Times New Roman" w:hAnsi="Times New Roman" w:eastAsia="宋体" w:cs="Times New Roman"/>
                      <w:color w:val="000000"/>
                      <w:sz w:val="21"/>
                      <w:szCs w:val="21"/>
                      <w:highlight w:val="none"/>
                      <w:u w:val="single"/>
                      <w:lang w:val="en-US" w:eastAsia="zh-CN"/>
                    </w:rPr>
                    <w:t>×10</w:t>
                  </w:r>
                  <w:r>
                    <w:rPr>
                      <w:rFonts w:hint="eastAsia" w:ascii="Times New Roman" w:hAnsi="Times New Roman" w:eastAsia="宋体" w:cs="Times New Roman"/>
                      <w:color w:val="000000"/>
                      <w:sz w:val="21"/>
                      <w:szCs w:val="21"/>
                      <w:highlight w:val="none"/>
                      <w:u w:val="single"/>
                      <w:vertAlign w:val="superscript"/>
                      <w:lang w:val="en-US" w:eastAsia="zh-CN"/>
                    </w:rPr>
                    <w:t>3</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eastAsia="宋体" w:cs="Times New Roman"/>
                      <w:color w:val="000000"/>
                      <w:sz w:val="21"/>
                      <w:szCs w:val="21"/>
                      <w:highlight w:val="none"/>
                      <w:u w:val="single"/>
                      <w:lang w:val="en-US" w:eastAsia="zh-CN"/>
                    </w:rPr>
                    <w:t>2.1</w:t>
                  </w:r>
                  <w:r>
                    <w:rPr>
                      <w:rFonts w:hint="default" w:ascii="Times New Roman" w:hAnsi="Times New Roman" w:eastAsia="宋体" w:cs="Times New Roman"/>
                      <w:color w:val="000000"/>
                      <w:sz w:val="21"/>
                      <w:szCs w:val="21"/>
                      <w:highlight w:val="none"/>
                      <w:u w:val="single"/>
                      <w:lang w:val="en-US" w:eastAsia="zh-CN"/>
                    </w:rPr>
                    <w:t>×10</w:t>
                  </w:r>
                  <w:r>
                    <w:rPr>
                      <w:rFonts w:hint="eastAsia" w:ascii="Times New Roman" w:hAnsi="Times New Roman" w:eastAsia="宋体" w:cs="Times New Roman"/>
                      <w:color w:val="000000"/>
                      <w:sz w:val="21"/>
                      <w:szCs w:val="21"/>
                      <w:highlight w:val="none"/>
                      <w:u w:val="single"/>
                      <w:vertAlign w:val="superscript"/>
                      <w:lang w:val="en-US" w:eastAsia="zh-CN"/>
                    </w:rPr>
                    <w:t>3</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eastAsia="宋体" w:cs="Times New Roman"/>
                      <w:color w:val="000000"/>
                      <w:sz w:val="21"/>
                      <w:szCs w:val="21"/>
                      <w:highlight w:val="none"/>
                      <w:u w:val="single"/>
                      <w:lang w:val="en-US" w:eastAsia="zh-CN"/>
                    </w:rPr>
                    <w:t>1.4</w:t>
                  </w:r>
                  <w:r>
                    <w:rPr>
                      <w:rFonts w:hint="default" w:ascii="Times New Roman" w:hAnsi="Times New Roman" w:eastAsia="宋体" w:cs="Times New Roman"/>
                      <w:color w:val="000000"/>
                      <w:sz w:val="21"/>
                      <w:szCs w:val="21"/>
                      <w:highlight w:val="none"/>
                      <w:u w:val="single"/>
                      <w:lang w:val="en-US" w:eastAsia="zh-CN"/>
                    </w:rPr>
                    <w:t>×10</w:t>
                  </w:r>
                  <w:r>
                    <w:rPr>
                      <w:rFonts w:hint="eastAsia" w:ascii="Times New Roman" w:hAnsi="Times New Roman" w:eastAsia="宋体" w:cs="Times New Roman"/>
                      <w:color w:val="000000"/>
                      <w:sz w:val="21"/>
                      <w:szCs w:val="21"/>
                      <w:highlight w:val="none"/>
                      <w:u w:val="single"/>
                      <w:vertAlign w:val="superscript"/>
                      <w:lang w:val="en-US" w:eastAsia="zh-CN"/>
                    </w:rPr>
                    <w:t>3</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restar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default" w:ascii="Times New Roman" w:hAnsi="Times New Roman" w:eastAsia="宋体" w:cs="Times New Roman"/>
                      <w:bCs w:val="0"/>
                      <w:color w:val="000000"/>
                      <w:kern w:val="2"/>
                      <w:sz w:val="21"/>
                      <w:szCs w:val="21"/>
                      <w:u w:val="single"/>
                    </w:rPr>
                    <w:t>W2废水总排口</w:t>
                  </w: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bidi="ar-SA"/>
                    </w:rPr>
                    <w:t>流量</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000000"/>
                      <w:kern w:val="2"/>
                      <w:sz w:val="21"/>
                      <w:szCs w:val="21"/>
                      <w:u w:val="single"/>
                      <w:lang w:val="en-US" w:eastAsia="zh-CN" w:bidi="ar-SA"/>
                    </w:rPr>
                    <w:t>0.3</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000000"/>
                      <w:kern w:val="2"/>
                      <w:sz w:val="21"/>
                      <w:szCs w:val="21"/>
                      <w:u w:val="single"/>
                      <w:lang w:val="en-US" w:eastAsia="zh-CN" w:bidi="ar-SA"/>
                    </w:rPr>
                    <w:t>0.3</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000000"/>
                      <w:kern w:val="2"/>
                      <w:sz w:val="21"/>
                      <w:szCs w:val="21"/>
                      <w:u w:val="single"/>
                      <w:lang w:val="en-US" w:eastAsia="zh-CN" w:bidi="ar-SA"/>
                    </w:rPr>
                    <w:t>0.4</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000000"/>
                      <w:kern w:val="2"/>
                      <w:sz w:val="21"/>
                      <w:szCs w:val="21"/>
                      <w:u w:val="single"/>
                      <w:lang w:val="en-US" w:eastAsia="zh-CN" w:bidi="ar-SA"/>
                    </w:rPr>
                    <w:t>0.4</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bidi="ar-SA"/>
                    </w:rPr>
                    <w:t>pH</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7.1</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7.1</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7.1</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7.2</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6-9</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bidi="ar-SA"/>
                    </w:rPr>
                    <w:t>悬浮物</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2</w:t>
                  </w:r>
                  <w:r>
                    <w:rPr>
                      <w:rFonts w:hint="eastAsia" w:ascii="Times New Roman" w:hAnsi="Times New Roman" w:eastAsia="宋体" w:cs="Times New Roman"/>
                      <w:color w:val="auto"/>
                      <w:kern w:val="2"/>
                      <w:sz w:val="21"/>
                      <w:szCs w:val="21"/>
                      <w:highlight w:val="none"/>
                      <w:u w:val="single"/>
                      <w:lang w:val="en-US" w:eastAsia="zh-CN" w:bidi="ar-SA"/>
                    </w:rPr>
                    <w:t>5</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2</w:t>
                  </w:r>
                  <w:r>
                    <w:rPr>
                      <w:rFonts w:hint="eastAsia" w:ascii="Times New Roman" w:hAnsi="Times New Roman" w:eastAsia="宋体" w:cs="Times New Roman"/>
                      <w:color w:val="auto"/>
                      <w:kern w:val="2"/>
                      <w:sz w:val="21"/>
                      <w:szCs w:val="21"/>
                      <w:highlight w:val="none"/>
                      <w:u w:val="single"/>
                      <w:lang w:val="en-US" w:eastAsia="zh-CN" w:bidi="ar-SA"/>
                    </w:rPr>
                    <w:t>6</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2</w:t>
                  </w:r>
                  <w:r>
                    <w:rPr>
                      <w:rFonts w:hint="eastAsia" w:ascii="Times New Roman" w:hAnsi="Times New Roman" w:eastAsia="宋体" w:cs="Times New Roman"/>
                      <w:color w:val="auto"/>
                      <w:kern w:val="2"/>
                      <w:sz w:val="21"/>
                      <w:szCs w:val="21"/>
                      <w:highlight w:val="none"/>
                      <w:u w:val="single"/>
                      <w:lang w:val="en-US" w:eastAsia="zh-CN" w:bidi="ar-SA"/>
                    </w:rPr>
                    <w:t>7</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2</w:t>
                  </w:r>
                  <w:r>
                    <w:rPr>
                      <w:rFonts w:hint="eastAsia" w:ascii="Times New Roman" w:hAnsi="Times New Roman" w:eastAsia="宋体" w:cs="Times New Roman"/>
                      <w:color w:val="auto"/>
                      <w:kern w:val="2"/>
                      <w:sz w:val="21"/>
                      <w:szCs w:val="21"/>
                      <w:highlight w:val="none"/>
                      <w:u w:val="single"/>
                      <w:lang w:val="en-US" w:eastAsia="zh-CN" w:bidi="ar-SA"/>
                    </w:rPr>
                    <w:t>9</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60</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bidi="ar-SA"/>
                    </w:rPr>
                    <w:t>化学需氧量</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39</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45</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32</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48</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250</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r>
                    <w:rPr>
                      <w:rFonts w:hint="default" w:ascii="Times New Roman" w:hAnsi="Times New Roman" w:eastAsia="宋体" w:cs="Times New Roman"/>
                      <w:color w:val="auto"/>
                      <w:kern w:val="0"/>
                      <w:sz w:val="21"/>
                      <w:szCs w:val="21"/>
                      <w:u w:val="single"/>
                      <w:lang w:val="en-US" w:eastAsia="zh-CN" w:bidi="ar-SA"/>
                    </w:rPr>
                    <w:t>BOD5</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19.5</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20.6</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19.8</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21.0</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100</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bidi="ar-SA"/>
                    </w:rPr>
                    <w:t>氨氮</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32.7</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32.8</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32.8</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highlight w:val="none"/>
                      <w:u w:val="single"/>
                      <w:lang w:val="en-US" w:eastAsia="zh-CN" w:bidi="ar-SA"/>
                    </w:rPr>
                    <w:t>32.8</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4</w:t>
                  </w:r>
                  <w:r>
                    <w:rPr>
                      <w:rFonts w:hint="eastAsia" w:cs="Times New Roman"/>
                      <w:color w:val="auto"/>
                      <w:kern w:val="0"/>
                      <w:sz w:val="21"/>
                      <w:szCs w:val="21"/>
                      <w:u w:val="single"/>
                      <w:lang w:val="en-US" w:eastAsia="zh-CN" w:bidi="ar-SA"/>
                    </w:rPr>
                    <w:t>0</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bidi="ar-SA"/>
                    </w:rPr>
                    <w:t>动植物油</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20</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bidi="ar-SA"/>
                    </w:rPr>
                    <w:t>石油类</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20</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bidi="ar-SA"/>
                    </w:rPr>
                    <w:t>阴离子表面活性剂</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10</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bidi="ar-SA"/>
                    </w:rPr>
                    <w:t>挥发酚</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0.011</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1.0</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总氰化物</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ND</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0.5</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粪大肠菌群</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eastAsia="宋体" w:cs="Times New Roman"/>
                      <w:color w:val="000000"/>
                      <w:sz w:val="21"/>
                      <w:szCs w:val="21"/>
                      <w:highlight w:val="none"/>
                      <w:u w:val="single"/>
                      <w:lang w:val="en-US" w:eastAsia="zh-CN"/>
                    </w:rPr>
                    <w:t>1.3</w:t>
                  </w:r>
                  <w:r>
                    <w:rPr>
                      <w:rFonts w:hint="default" w:ascii="Times New Roman" w:hAnsi="Times New Roman" w:eastAsia="宋体" w:cs="Times New Roman"/>
                      <w:color w:val="000000"/>
                      <w:sz w:val="21"/>
                      <w:szCs w:val="21"/>
                      <w:highlight w:val="none"/>
                      <w:u w:val="single"/>
                      <w:lang w:val="en-US" w:eastAsia="zh-CN"/>
                    </w:rPr>
                    <w:t>×10</w:t>
                  </w:r>
                  <w:r>
                    <w:rPr>
                      <w:rFonts w:hint="eastAsia" w:ascii="Times New Roman" w:hAnsi="Times New Roman" w:eastAsia="宋体" w:cs="Times New Roman"/>
                      <w:color w:val="000000"/>
                      <w:sz w:val="21"/>
                      <w:szCs w:val="21"/>
                      <w:highlight w:val="none"/>
                      <w:u w:val="single"/>
                      <w:vertAlign w:val="superscript"/>
                      <w:lang w:val="en-US" w:eastAsia="zh-CN"/>
                    </w:rPr>
                    <w:t>2</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eastAsia="宋体" w:cs="Times New Roman"/>
                      <w:color w:val="000000"/>
                      <w:sz w:val="21"/>
                      <w:szCs w:val="21"/>
                      <w:highlight w:val="none"/>
                      <w:u w:val="single"/>
                      <w:lang w:val="en-US" w:eastAsia="zh-CN"/>
                    </w:rPr>
                    <w:t>1.7</w:t>
                  </w:r>
                  <w:r>
                    <w:rPr>
                      <w:rFonts w:hint="default" w:ascii="Times New Roman" w:hAnsi="Times New Roman" w:eastAsia="宋体" w:cs="Times New Roman"/>
                      <w:color w:val="000000"/>
                      <w:sz w:val="21"/>
                      <w:szCs w:val="21"/>
                      <w:highlight w:val="none"/>
                      <w:u w:val="single"/>
                      <w:lang w:val="en-US" w:eastAsia="zh-CN"/>
                    </w:rPr>
                    <w:t>×10</w:t>
                  </w:r>
                  <w:r>
                    <w:rPr>
                      <w:rFonts w:hint="eastAsia" w:ascii="Times New Roman" w:hAnsi="Times New Roman" w:eastAsia="宋体" w:cs="Times New Roman"/>
                      <w:color w:val="000000"/>
                      <w:sz w:val="21"/>
                      <w:szCs w:val="21"/>
                      <w:highlight w:val="none"/>
                      <w:u w:val="single"/>
                      <w:vertAlign w:val="superscript"/>
                      <w:lang w:val="en-US" w:eastAsia="zh-CN"/>
                    </w:rPr>
                    <w:t>2</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eastAsia="宋体" w:cs="Times New Roman"/>
                      <w:color w:val="000000"/>
                      <w:sz w:val="21"/>
                      <w:szCs w:val="21"/>
                      <w:highlight w:val="none"/>
                      <w:u w:val="single"/>
                      <w:lang w:val="en-US" w:eastAsia="zh-CN"/>
                    </w:rPr>
                    <w:t>1.3</w:t>
                  </w:r>
                  <w:r>
                    <w:rPr>
                      <w:rFonts w:hint="default" w:ascii="Times New Roman" w:hAnsi="Times New Roman" w:eastAsia="宋体" w:cs="Times New Roman"/>
                      <w:color w:val="000000"/>
                      <w:sz w:val="21"/>
                      <w:szCs w:val="21"/>
                      <w:highlight w:val="none"/>
                      <w:u w:val="single"/>
                      <w:lang w:val="en-US" w:eastAsia="zh-CN"/>
                    </w:rPr>
                    <w:t>×10</w:t>
                  </w:r>
                  <w:r>
                    <w:rPr>
                      <w:rFonts w:hint="eastAsia" w:ascii="Times New Roman" w:hAnsi="Times New Roman" w:eastAsia="宋体" w:cs="Times New Roman"/>
                      <w:color w:val="000000"/>
                      <w:sz w:val="21"/>
                      <w:szCs w:val="21"/>
                      <w:highlight w:val="none"/>
                      <w:u w:val="single"/>
                      <w:vertAlign w:val="superscript"/>
                      <w:lang w:val="en-US" w:eastAsia="zh-CN"/>
                    </w:rPr>
                    <w:t>2</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eastAsia="宋体" w:cs="Times New Roman"/>
                      <w:color w:val="000000"/>
                      <w:sz w:val="21"/>
                      <w:szCs w:val="21"/>
                      <w:highlight w:val="none"/>
                      <w:u w:val="single"/>
                      <w:lang w:val="en-US" w:eastAsia="zh-CN"/>
                    </w:rPr>
                    <w:t>1.7</w:t>
                  </w:r>
                  <w:r>
                    <w:rPr>
                      <w:rFonts w:hint="default" w:ascii="Times New Roman" w:hAnsi="Times New Roman" w:eastAsia="宋体" w:cs="Times New Roman"/>
                      <w:color w:val="000000"/>
                      <w:sz w:val="21"/>
                      <w:szCs w:val="21"/>
                      <w:highlight w:val="none"/>
                      <w:u w:val="single"/>
                      <w:lang w:val="en-US" w:eastAsia="zh-CN"/>
                    </w:rPr>
                    <w:t>×10</w:t>
                  </w:r>
                  <w:r>
                    <w:rPr>
                      <w:rFonts w:hint="eastAsia" w:ascii="Times New Roman" w:hAnsi="Times New Roman" w:eastAsia="宋体" w:cs="Times New Roman"/>
                      <w:color w:val="000000"/>
                      <w:sz w:val="21"/>
                      <w:szCs w:val="21"/>
                      <w:highlight w:val="none"/>
                      <w:u w:val="single"/>
                      <w:vertAlign w:val="superscript"/>
                      <w:lang w:val="en-US" w:eastAsia="zh-CN"/>
                    </w:rPr>
                    <w:t>2</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5000</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W3接触池出口</w:t>
                  </w:r>
                </w:p>
              </w:tc>
              <w:tc>
                <w:tcPr>
                  <w:tcW w:w="737" w:type="pct"/>
                  <w:vMerge w:val="continue"/>
                  <w:vAlign w:val="center"/>
                </w:tcPr>
                <w:p>
                  <w:pPr>
                    <w:keepNext w:val="0"/>
                    <w:keepLines w:val="0"/>
                    <w:widowControl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bCs/>
                      <w:color w:val="auto"/>
                      <w:sz w:val="21"/>
                      <w:szCs w:val="21"/>
                      <w:u w:val="single"/>
                      <w:lang w:val="en-US" w:eastAsia="zh-CN"/>
                    </w:rPr>
                  </w:pPr>
                </w:p>
              </w:tc>
              <w:tc>
                <w:tcPr>
                  <w:tcW w:w="52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u w:val="single"/>
                      <w:lang w:val="en-US" w:eastAsia="zh-CN" w:bidi="ar-SA"/>
                    </w:rPr>
                  </w:pPr>
                  <w:r>
                    <w:rPr>
                      <w:rFonts w:hint="eastAsia" w:asciiTheme="minorEastAsia" w:hAnsiTheme="minorEastAsia" w:eastAsiaTheme="minorEastAsia" w:cstheme="minorEastAsia"/>
                      <w:bCs/>
                      <w:color w:val="auto"/>
                      <w:sz w:val="21"/>
                      <w:szCs w:val="21"/>
                      <w:u w:val="single"/>
                      <w:lang w:val="en-US" w:eastAsia="zh-CN"/>
                    </w:rPr>
                    <w:t>总余氯</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2.68</w:t>
                  </w:r>
                </w:p>
              </w:tc>
              <w:tc>
                <w:tcPr>
                  <w:tcW w:w="558"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2.72</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2.61</w:t>
                  </w:r>
                </w:p>
              </w:tc>
              <w:tc>
                <w:tcPr>
                  <w:tcW w:w="559"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2.64</w:t>
                  </w:r>
                </w:p>
              </w:tc>
              <w:tc>
                <w:tcPr>
                  <w:tcW w:w="51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w:t>
                  </w:r>
                </w:p>
              </w:tc>
              <w:tc>
                <w:tcPr>
                  <w:tcW w:w="492" w:type="pct"/>
                  <w:vAlign w:val="center"/>
                </w:tcPr>
                <w:p>
                  <w:pPr>
                    <w:jc w:val="center"/>
                    <w:rPr>
                      <w:rFonts w:hint="eastAsia" w:cs="Times New Roman"/>
                      <w:color w:val="auto"/>
                      <w:kern w:val="0"/>
                      <w:sz w:val="21"/>
                      <w:szCs w:val="21"/>
                      <w:u w:val="single"/>
                      <w:lang w:val="en-US" w:eastAsia="zh-CN" w:bidi="ar-SA"/>
                    </w:rPr>
                  </w:pPr>
                  <w:r>
                    <w:rPr>
                      <w:rFonts w:hint="eastAsia" w:cs="Times New Roman"/>
                      <w:color w:val="auto"/>
                      <w:kern w:val="0"/>
                      <w:sz w:val="21"/>
                      <w:szCs w:val="21"/>
                      <w:u w:val="single"/>
                      <w:lang w:val="en-US" w:eastAsia="zh-CN" w:bidi="ar-SA"/>
                    </w:rPr>
                    <w:t>/</w:t>
                  </w:r>
                </w:p>
              </w:tc>
            </w:tr>
          </w:tbl>
          <w:p>
            <w:pPr>
              <w:keepNext w:val="0"/>
              <w:keepLines w:val="0"/>
              <w:pageBreakBefore w:val="0"/>
              <w:widowControl w:val="0"/>
              <w:kinsoku/>
              <w:wordWrap/>
              <w:overflowPunct/>
              <w:topLinePunct w:val="0"/>
              <w:autoSpaceDE/>
              <w:autoSpaceDN/>
              <w:bidi w:val="0"/>
              <w:adjustRightInd/>
              <w:snapToGrid/>
              <w:spacing w:before="313" w:beforeLines="100"/>
              <w:ind w:firstLine="480" w:firstLineChars="200"/>
              <w:jc w:val="both"/>
              <w:textAlignment w:val="auto"/>
              <w:rPr>
                <w:rFonts w:hint="eastAsia" w:eastAsia="宋体"/>
                <w:u w:val="single"/>
                <w:lang w:val="en-US" w:eastAsia="zh-CN"/>
              </w:rPr>
            </w:pPr>
            <w:r>
              <w:rPr>
                <w:u w:val="single"/>
              </w:rPr>
              <w:t>从</w:t>
            </w:r>
            <w:r>
              <w:rPr>
                <w:rFonts w:hint="eastAsia"/>
                <w:u w:val="single"/>
                <w:lang w:val="en-US" w:eastAsia="zh-CN"/>
              </w:rPr>
              <w:t>以上检测结果可知</w:t>
            </w:r>
            <w:r>
              <w:rPr>
                <w:u w:val="single"/>
              </w:rPr>
              <w:t>，医疗废水</w:t>
            </w:r>
            <w:r>
              <w:rPr>
                <w:rFonts w:hint="eastAsia"/>
                <w:u w:val="single"/>
                <w:lang w:val="en-US" w:eastAsia="zh-CN"/>
              </w:rPr>
              <w:t>排口</w:t>
            </w:r>
            <w:r>
              <w:rPr>
                <w:rFonts w:hint="eastAsia"/>
                <w:u w:val="single"/>
              </w:rPr>
              <w:t>各</w:t>
            </w:r>
            <w:r>
              <w:rPr>
                <w:u w:val="single"/>
              </w:rPr>
              <w:t>污染因子均达到《医疗机构水污染物排放标准》</w:t>
            </w:r>
            <w:r>
              <w:rPr>
                <w:rFonts w:hint="eastAsia"/>
                <w:u w:val="single"/>
                <w:lang w:eastAsia="zh-CN"/>
              </w:rPr>
              <w:t>（</w:t>
            </w:r>
            <w:r>
              <w:rPr>
                <w:u w:val="single"/>
              </w:rPr>
              <w:t>GB18466-2005</w:t>
            </w:r>
            <w:r>
              <w:rPr>
                <w:rFonts w:hint="eastAsia"/>
                <w:u w:val="single"/>
                <w:lang w:eastAsia="zh-CN"/>
              </w:rPr>
              <w:t>）</w:t>
            </w:r>
            <w:r>
              <w:rPr>
                <w:u w:val="single"/>
              </w:rPr>
              <w:t>表2中预处理标准</w:t>
            </w:r>
            <w:r>
              <w:rPr>
                <w:rFonts w:hint="eastAsia"/>
                <w:u w:val="single"/>
              </w:rPr>
              <w:t>的排放限值</w:t>
            </w:r>
            <w:r>
              <w:rPr>
                <w:rFonts w:ascii="Times New Roman" w:hAnsi="Times New Roman" w:eastAsia="宋体" w:cs="Times New Roman"/>
                <w:color w:val="auto"/>
                <w:u w:val="single"/>
              </w:rPr>
              <w:t>。</w:t>
            </w:r>
          </w:p>
          <w:p>
            <w:pPr>
              <w:pStyle w:val="7"/>
              <w:ind w:firstLine="480"/>
              <w:rPr>
                <w:u w:val="none"/>
              </w:rPr>
            </w:pPr>
            <w:r>
              <w:rPr>
                <w:rFonts w:hint="eastAsia"/>
                <w:u w:val="none"/>
              </w:rPr>
              <w:t>（2）废气</w:t>
            </w:r>
          </w:p>
          <w:p>
            <w:pPr>
              <w:pStyle w:val="7"/>
              <w:ind w:firstLine="480"/>
              <w:rPr>
                <w:u w:val="none"/>
              </w:rPr>
            </w:pPr>
            <w:r>
              <w:rPr>
                <w:rFonts w:hint="eastAsia"/>
                <w:color w:val="auto"/>
              </w:rPr>
              <w:t>现有</w:t>
            </w:r>
            <w:r>
              <w:rPr>
                <w:color w:val="auto"/>
              </w:rPr>
              <w:t>污水处理站</w:t>
            </w:r>
            <w:r>
              <w:rPr>
                <w:rFonts w:hint="eastAsia"/>
                <w:color w:val="auto"/>
              </w:rPr>
              <w:t>污水处理系统</w:t>
            </w:r>
            <w:r>
              <w:rPr>
                <w:color w:val="auto"/>
              </w:rPr>
              <w:t>所有水池均采用地埋封闭式，污水池采用密闭设计，可有效防止病菌通过空气传播和污水气味对环境的影响，只留必要的检修孔，</w:t>
            </w:r>
            <w:r>
              <w:rPr>
                <w:rFonts w:hint="eastAsia"/>
                <w:color w:val="auto"/>
              </w:rPr>
              <w:t>能起到较好的控制污染的</w:t>
            </w:r>
            <w:r>
              <w:rPr>
                <w:rFonts w:hint="eastAsia"/>
                <w:color w:val="auto"/>
                <w:lang w:val="en-GB"/>
              </w:rPr>
              <w:t>作用</w:t>
            </w:r>
            <w:r>
              <w:rPr>
                <w:rFonts w:hint="eastAsia"/>
                <w:color w:val="auto"/>
                <w:lang w:eastAsia="zh-CN"/>
              </w:rPr>
              <w:t>，</w:t>
            </w:r>
            <w:r>
              <w:rPr>
                <w:rFonts w:hint="eastAsia"/>
                <w:color w:val="auto"/>
                <w:lang w:val="en-US" w:eastAsia="zh-CN"/>
              </w:rPr>
              <w:t>对</w:t>
            </w:r>
            <w:r>
              <w:rPr>
                <w:rFonts w:hint="eastAsia"/>
                <w:u w:val="none"/>
              </w:rPr>
              <w:t>周围环境影响不大。</w:t>
            </w:r>
          </w:p>
          <w:p>
            <w:pPr>
              <w:pStyle w:val="49"/>
              <w:shd w:val="clear"/>
              <w:rPr>
                <w:u w:val="single"/>
              </w:rPr>
            </w:pPr>
            <w:r>
              <w:rPr>
                <w:rFonts w:hint="eastAsia"/>
                <w:u w:val="single"/>
              </w:rPr>
              <w:t>表2.3-2</w:t>
            </w:r>
            <w:r>
              <w:rPr>
                <w:rFonts w:hint="eastAsia"/>
                <w:u w:val="single"/>
                <w:lang w:val="en-US" w:eastAsia="zh-CN"/>
              </w:rPr>
              <w:t>无组织</w:t>
            </w:r>
            <w:r>
              <w:rPr>
                <w:u w:val="single"/>
              </w:rPr>
              <w:t>废气检测结果</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966"/>
              <w:gridCol w:w="901"/>
              <w:gridCol w:w="794"/>
              <w:gridCol w:w="794"/>
              <w:gridCol w:w="899"/>
              <w:gridCol w:w="953"/>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79" w:type="dxa"/>
                  <w:vMerge w:val="restart"/>
                  <w:tcBorders>
                    <w:tl2br w:val="nil"/>
                    <w:tr2bl w:val="nil"/>
                  </w:tcBorders>
                  <w:vAlign w:val="center"/>
                </w:tcPr>
                <w:p>
                  <w:pPr>
                    <w:pStyle w:val="48"/>
                    <w:spacing w:line="276" w:lineRule="auto"/>
                    <w:rPr>
                      <w:u w:val="single"/>
                    </w:rPr>
                  </w:pPr>
                  <w:r>
                    <w:rPr>
                      <w:u w:val="single"/>
                    </w:rPr>
                    <w:t>监测点位</w:t>
                  </w:r>
                </w:p>
              </w:tc>
              <w:tc>
                <w:tcPr>
                  <w:tcW w:w="966" w:type="dxa"/>
                  <w:vMerge w:val="restart"/>
                  <w:tcBorders>
                    <w:tl2br w:val="nil"/>
                    <w:tr2bl w:val="nil"/>
                  </w:tcBorders>
                  <w:vAlign w:val="center"/>
                </w:tcPr>
                <w:p>
                  <w:pPr>
                    <w:pStyle w:val="48"/>
                    <w:spacing w:line="276" w:lineRule="auto"/>
                    <w:rPr>
                      <w:u w:val="single"/>
                    </w:rPr>
                  </w:pPr>
                  <w:r>
                    <w:rPr>
                      <w:rFonts w:hint="eastAsia"/>
                      <w:u w:val="single"/>
                    </w:rPr>
                    <w:t>检测日期</w:t>
                  </w:r>
                </w:p>
              </w:tc>
              <w:tc>
                <w:tcPr>
                  <w:tcW w:w="901" w:type="dxa"/>
                  <w:vMerge w:val="restart"/>
                  <w:tcBorders>
                    <w:tl2br w:val="nil"/>
                    <w:tr2bl w:val="nil"/>
                  </w:tcBorders>
                  <w:vAlign w:val="center"/>
                </w:tcPr>
                <w:p>
                  <w:pPr>
                    <w:pStyle w:val="48"/>
                    <w:spacing w:line="276" w:lineRule="auto"/>
                    <w:rPr>
                      <w:u w:val="single"/>
                    </w:rPr>
                  </w:pPr>
                  <w:r>
                    <w:rPr>
                      <w:u w:val="single"/>
                    </w:rPr>
                    <w:t>监测</w:t>
                  </w:r>
                  <w:r>
                    <w:rPr>
                      <w:rFonts w:hint="eastAsia"/>
                      <w:u w:val="single"/>
                    </w:rPr>
                    <w:t>频次</w:t>
                  </w:r>
                </w:p>
              </w:tc>
              <w:tc>
                <w:tcPr>
                  <w:tcW w:w="3440" w:type="dxa"/>
                  <w:gridSpan w:val="4"/>
                  <w:tcBorders>
                    <w:tl2br w:val="nil"/>
                    <w:tr2bl w:val="nil"/>
                  </w:tcBorders>
                  <w:vAlign w:val="center"/>
                </w:tcPr>
                <w:p>
                  <w:pPr>
                    <w:pStyle w:val="48"/>
                    <w:spacing w:line="276" w:lineRule="auto"/>
                    <w:rPr>
                      <w:u w:val="single"/>
                    </w:rPr>
                  </w:pPr>
                  <w:r>
                    <w:rPr>
                      <w:u w:val="single"/>
                    </w:rPr>
                    <w:t>检测结果（mg/m³）</w:t>
                  </w:r>
                </w:p>
              </w:tc>
              <w:tc>
                <w:tcPr>
                  <w:tcW w:w="794" w:type="dxa"/>
                  <w:tcBorders>
                    <w:tl2br w:val="nil"/>
                    <w:tr2bl w:val="nil"/>
                  </w:tcBorders>
                  <w:vAlign w:val="center"/>
                </w:tcPr>
                <w:p>
                  <w:pPr>
                    <w:pStyle w:val="48"/>
                    <w:spacing w:line="276" w:lineRule="auto"/>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79" w:type="dxa"/>
                  <w:vMerge w:val="continue"/>
                  <w:tcBorders>
                    <w:tl2br w:val="nil"/>
                    <w:tr2bl w:val="nil"/>
                  </w:tcBorders>
                </w:tcPr>
                <w:p>
                  <w:pPr>
                    <w:pStyle w:val="48"/>
                    <w:spacing w:line="276" w:lineRule="auto"/>
                    <w:rPr>
                      <w:u w:val="single"/>
                    </w:rPr>
                  </w:pPr>
                </w:p>
              </w:tc>
              <w:tc>
                <w:tcPr>
                  <w:tcW w:w="966" w:type="dxa"/>
                  <w:vMerge w:val="continue"/>
                  <w:tcBorders>
                    <w:tl2br w:val="nil"/>
                    <w:tr2bl w:val="nil"/>
                  </w:tcBorders>
                  <w:vAlign w:val="center"/>
                </w:tcPr>
                <w:p>
                  <w:pPr>
                    <w:pStyle w:val="48"/>
                    <w:spacing w:line="276" w:lineRule="auto"/>
                    <w:rPr>
                      <w:u w:val="single"/>
                    </w:rPr>
                  </w:pPr>
                </w:p>
              </w:tc>
              <w:tc>
                <w:tcPr>
                  <w:tcW w:w="901" w:type="dxa"/>
                  <w:vMerge w:val="continue"/>
                  <w:tcBorders>
                    <w:tl2br w:val="nil"/>
                    <w:tr2bl w:val="nil"/>
                  </w:tcBorders>
                  <w:vAlign w:val="center"/>
                </w:tcPr>
                <w:p>
                  <w:pPr>
                    <w:pStyle w:val="48"/>
                    <w:spacing w:line="276" w:lineRule="auto"/>
                    <w:rPr>
                      <w:u w:val="single"/>
                    </w:rPr>
                  </w:pPr>
                </w:p>
              </w:tc>
              <w:tc>
                <w:tcPr>
                  <w:tcW w:w="794" w:type="dxa"/>
                  <w:tcBorders>
                    <w:tl2br w:val="nil"/>
                    <w:tr2bl w:val="nil"/>
                  </w:tcBorders>
                  <w:vAlign w:val="center"/>
                </w:tcPr>
                <w:p>
                  <w:pPr>
                    <w:pStyle w:val="48"/>
                    <w:spacing w:line="276" w:lineRule="auto"/>
                    <w:rPr>
                      <w:u w:val="single"/>
                    </w:rPr>
                  </w:pPr>
                  <w:r>
                    <w:rPr>
                      <w:u w:val="single"/>
                    </w:rPr>
                    <w:t>氨</w:t>
                  </w:r>
                </w:p>
              </w:tc>
              <w:tc>
                <w:tcPr>
                  <w:tcW w:w="794" w:type="dxa"/>
                  <w:tcBorders>
                    <w:tl2br w:val="nil"/>
                    <w:tr2bl w:val="nil"/>
                  </w:tcBorders>
                  <w:vAlign w:val="center"/>
                </w:tcPr>
                <w:p>
                  <w:pPr>
                    <w:pStyle w:val="48"/>
                    <w:spacing w:line="276" w:lineRule="auto"/>
                    <w:rPr>
                      <w:u w:val="single"/>
                    </w:rPr>
                  </w:pPr>
                  <w:r>
                    <w:rPr>
                      <w:rFonts w:hint="eastAsia"/>
                      <w:u w:val="single"/>
                    </w:rPr>
                    <w:t>氯气</w:t>
                  </w:r>
                </w:p>
              </w:tc>
              <w:tc>
                <w:tcPr>
                  <w:tcW w:w="899" w:type="dxa"/>
                  <w:tcBorders>
                    <w:tl2br w:val="nil"/>
                    <w:tr2bl w:val="nil"/>
                  </w:tcBorders>
                  <w:vAlign w:val="center"/>
                </w:tcPr>
                <w:p>
                  <w:pPr>
                    <w:pStyle w:val="48"/>
                    <w:spacing w:line="276" w:lineRule="auto"/>
                    <w:rPr>
                      <w:u w:val="single"/>
                    </w:rPr>
                  </w:pPr>
                  <w:r>
                    <w:rPr>
                      <w:u w:val="single"/>
                    </w:rPr>
                    <w:t>硫化氢</w:t>
                  </w:r>
                </w:p>
              </w:tc>
              <w:tc>
                <w:tcPr>
                  <w:tcW w:w="953" w:type="dxa"/>
                  <w:tcBorders>
                    <w:tl2br w:val="nil"/>
                    <w:tr2bl w:val="nil"/>
                  </w:tcBorders>
                  <w:vAlign w:val="center"/>
                </w:tcPr>
                <w:p>
                  <w:pPr>
                    <w:pStyle w:val="48"/>
                    <w:spacing w:line="276" w:lineRule="auto"/>
                    <w:rPr>
                      <w:u w:val="single"/>
                    </w:rPr>
                  </w:pPr>
                  <w:r>
                    <w:rPr>
                      <w:u w:val="single"/>
                    </w:rPr>
                    <w:t>臭气浓度</w:t>
                  </w:r>
                </w:p>
              </w:tc>
              <w:tc>
                <w:tcPr>
                  <w:tcW w:w="794" w:type="dxa"/>
                  <w:tcBorders>
                    <w:tl2br w:val="nil"/>
                    <w:tr2bl w:val="nil"/>
                  </w:tcBorders>
                  <w:vAlign w:val="center"/>
                </w:tcPr>
                <w:p>
                  <w:pPr>
                    <w:pStyle w:val="48"/>
                    <w:spacing w:line="276" w:lineRule="auto"/>
                    <w:rPr>
                      <w:u w:val="single"/>
                    </w:rPr>
                  </w:pPr>
                  <w:r>
                    <w:rPr>
                      <w:rFonts w:hint="eastAsia" w:ascii="Times New Roman" w:hAnsi="Times New Roman" w:eastAsia="宋体" w:cs="Times New Roman"/>
                      <w:b w:val="0"/>
                      <w:bCs w:val="0"/>
                      <w:color w:val="auto"/>
                      <w:sz w:val="21"/>
                      <w:szCs w:val="21"/>
                      <w:u w:val="single"/>
                      <w:lang w:val="en-US" w:eastAsia="zh-CN"/>
                    </w:rPr>
                    <w:t>甲烷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restart"/>
                  <w:tcBorders>
                    <w:tl2br w:val="nil"/>
                    <w:tr2bl w:val="nil"/>
                  </w:tcBorders>
                  <w:vAlign w:val="center"/>
                </w:tcPr>
                <w:p>
                  <w:pPr>
                    <w:pStyle w:val="48"/>
                    <w:spacing w:line="276" w:lineRule="auto"/>
                    <w:rPr>
                      <w:u w:val="single"/>
                    </w:rPr>
                  </w:pPr>
                  <w:r>
                    <w:rPr>
                      <w:rFonts w:hint="default" w:ascii="Times New Roman" w:hAnsi="Times New Roman" w:eastAsia="宋体" w:cs="Times New Roman"/>
                      <w:b w:val="0"/>
                      <w:bCs w:val="0"/>
                      <w:color w:val="auto"/>
                      <w:sz w:val="21"/>
                      <w:szCs w:val="21"/>
                      <w:u w:val="single"/>
                      <w:lang w:val="en-US" w:eastAsia="zh-CN"/>
                    </w:rPr>
                    <w:t>污水处理站上风向G2</w:t>
                  </w:r>
                </w:p>
              </w:tc>
              <w:tc>
                <w:tcPr>
                  <w:tcW w:w="966" w:type="dxa"/>
                  <w:vMerge w:val="restart"/>
                  <w:tcBorders>
                    <w:tl2br w:val="nil"/>
                    <w:tr2bl w:val="nil"/>
                  </w:tcBorders>
                  <w:vAlign w:val="center"/>
                </w:tcPr>
                <w:p>
                  <w:pPr>
                    <w:pStyle w:val="48"/>
                    <w:spacing w:line="276" w:lineRule="auto"/>
                    <w:rPr>
                      <w:rFonts w:hint="default" w:eastAsia="宋体"/>
                      <w:u w:val="single"/>
                      <w:lang w:val="en-US" w:eastAsia="zh-CN"/>
                    </w:rPr>
                  </w:pPr>
                  <w:r>
                    <w:rPr>
                      <w:rFonts w:hint="eastAsia"/>
                      <w:u w:val="single"/>
                      <w:lang w:val="en-US" w:eastAsia="zh-CN"/>
                    </w:rPr>
                    <w:t>10.15</w:t>
                  </w:r>
                </w:p>
              </w:tc>
              <w:tc>
                <w:tcPr>
                  <w:tcW w:w="901" w:type="dxa"/>
                  <w:tcBorders>
                    <w:tl2br w:val="nil"/>
                    <w:tr2bl w:val="nil"/>
                  </w:tcBorders>
                  <w:vAlign w:val="center"/>
                </w:tcPr>
                <w:p>
                  <w:pPr>
                    <w:pStyle w:val="48"/>
                    <w:spacing w:line="276" w:lineRule="auto"/>
                    <w:rPr>
                      <w:u w:val="single"/>
                    </w:rPr>
                  </w:pPr>
                  <w:r>
                    <w:rPr>
                      <w:rFonts w:hint="eastAsia"/>
                      <w:u w:val="single"/>
                    </w:rPr>
                    <w:t>第1次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0.02</w:t>
                  </w:r>
                </w:p>
              </w:tc>
              <w:tc>
                <w:tcPr>
                  <w:tcW w:w="794" w:type="dxa"/>
                  <w:tcBorders>
                    <w:tl2br w:val="nil"/>
                    <w:tr2bl w:val="nil"/>
                  </w:tcBorders>
                  <w:vAlign w:val="center"/>
                </w:tcPr>
                <w:p>
                  <w:pPr>
                    <w:widowControl/>
                    <w:jc w:val="center"/>
                    <w:textAlignment w:val="center"/>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default" w:ascii="Times New Roman" w:hAnsi="Times New Roman" w:eastAsia="宋体" w:cs="Times New Roman"/>
                      <w:color w:val="000000"/>
                      <w:kern w:val="2"/>
                      <w:sz w:val="21"/>
                      <w:szCs w:val="21"/>
                      <w:highlight w:val="none"/>
                      <w:u w:val="single"/>
                      <w:lang w:val="en-US" w:eastAsia="zh-CN" w:bidi="ar-SA"/>
                    </w:rPr>
                    <w:t>0.03</w:t>
                  </w:r>
                </w:p>
              </w:tc>
              <w:tc>
                <w:tcPr>
                  <w:tcW w:w="899" w:type="dxa"/>
                  <w:tcBorders>
                    <w:tl2br w:val="nil"/>
                    <w:tr2bl w:val="nil"/>
                  </w:tcBorders>
                  <w:vAlign w:val="center"/>
                </w:tcPr>
                <w:p>
                  <w:pPr>
                    <w:widowControl/>
                    <w:jc w:val="center"/>
                    <w:textAlignment w:val="center"/>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spacing w:line="276" w:lineRule="auto"/>
                    <w:jc w:val="center"/>
                    <w:rPr>
                      <w:u w:val="single"/>
                    </w:rPr>
                  </w:pPr>
                  <w:r>
                    <w:rPr>
                      <w:rFonts w:hint="default" w:ascii="Times New Roman" w:hAnsi="Times New Roman" w:eastAsia="宋体" w:cs="Times New Roman"/>
                      <w:color w:val="auto"/>
                      <w:kern w:val="2"/>
                      <w:sz w:val="21"/>
                      <w:szCs w:val="21"/>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10</w:t>
                  </w:r>
                </w:p>
              </w:tc>
              <w:tc>
                <w:tcPr>
                  <w:tcW w:w="794" w:type="dxa"/>
                  <w:tcBorders>
                    <w:tl2br w:val="nil"/>
                    <w:tr2bl w:val="nil"/>
                  </w:tcBorders>
                  <w:vAlign w:val="center"/>
                </w:tcPr>
                <w:p>
                  <w:pPr>
                    <w:spacing w:line="276" w:lineRule="auto"/>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continue"/>
                  <w:tcBorders>
                    <w:tl2br w:val="nil"/>
                    <w:tr2bl w:val="nil"/>
                  </w:tcBorders>
                  <w:vAlign w:val="center"/>
                </w:tcPr>
                <w:p>
                  <w:pPr>
                    <w:pStyle w:val="48"/>
                    <w:spacing w:line="276" w:lineRule="auto"/>
                    <w:rPr>
                      <w:u w:val="single"/>
                    </w:rPr>
                  </w:pPr>
                </w:p>
              </w:tc>
              <w:tc>
                <w:tcPr>
                  <w:tcW w:w="901" w:type="dxa"/>
                  <w:tcBorders>
                    <w:tl2br w:val="nil"/>
                    <w:tr2bl w:val="nil"/>
                  </w:tcBorders>
                  <w:vAlign w:val="center"/>
                </w:tcPr>
                <w:p>
                  <w:pPr>
                    <w:pStyle w:val="48"/>
                    <w:spacing w:line="276" w:lineRule="auto"/>
                    <w:rPr>
                      <w:u w:val="single"/>
                    </w:rPr>
                  </w:pPr>
                  <w:r>
                    <w:rPr>
                      <w:rFonts w:hint="eastAsia"/>
                      <w:u w:val="single"/>
                    </w:rPr>
                    <w:t>第2次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0.02</w:t>
                  </w:r>
                </w:p>
              </w:tc>
              <w:tc>
                <w:tcPr>
                  <w:tcW w:w="794" w:type="dxa"/>
                  <w:tcBorders>
                    <w:tl2br w:val="nil"/>
                    <w:tr2bl w:val="nil"/>
                  </w:tcBorders>
                  <w:vAlign w:val="center"/>
                </w:tcPr>
                <w:p>
                  <w:pPr>
                    <w:widowControl/>
                    <w:jc w:val="center"/>
                    <w:textAlignment w:val="center"/>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default" w:ascii="Times New Roman" w:hAnsi="Times New Roman" w:eastAsia="宋体" w:cs="Times New Roman"/>
                      <w:color w:val="000000"/>
                      <w:kern w:val="2"/>
                      <w:sz w:val="21"/>
                      <w:szCs w:val="21"/>
                      <w:highlight w:val="none"/>
                      <w:u w:val="single"/>
                      <w:lang w:val="en-US" w:eastAsia="zh-CN" w:bidi="ar-SA"/>
                    </w:rPr>
                    <w:t>0.03</w:t>
                  </w:r>
                </w:p>
              </w:tc>
              <w:tc>
                <w:tcPr>
                  <w:tcW w:w="899" w:type="dxa"/>
                  <w:tcBorders>
                    <w:tl2br w:val="nil"/>
                    <w:tr2bl w:val="nil"/>
                  </w:tcBorders>
                  <w:vAlign w:val="center"/>
                </w:tcPr>
                <w:p>
                  <w:pPr>
                    <w:widowControl/>
                    <w:jc w:val="center"/>
                    <w:textAlignment w:val="center"/>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10</w:t>
                  </w:r>
                </w:p>
              </w:tc>
              <w:tc>
                <w:tcPr>
                  <w:tcW w:w="794"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continue"/>
                  <w:tcBorders>
                    <w:tl2br w:val="nil"/>
                    <w:tr2bl w:val="nil"/>
                  </w:tcBorders>
                  <w:vAlign w:val="center"/>
                </w:tcPr>
                <w:p>
                  <w:pPr>
                    <w:pStyle w:val="48"/>
                    <w:spacing w:line="276" w:lineRule="auto"/>
                    <w:rPr>
                      <w:u w:val="single"/>
                    </w:rPr>
                  </w:pPr>
                </w:p>
              </w:tc>
              <w:tc>
                <w:tcPr>
                  <w:tcW w:w="901" w:type="dxa"/>
                  <w:tcBorders>
                    <w:tl2br w:val="nil"/>
                    <w:tr2bl w:val="nil"/>
                  </w:tcBorders>
                  <w:vAlign w:val="center"/>
                </w:tcPr>
                <w:p>
                  <w:pPr>
                    <w:pStyle w:val="48"/>
                    <w:spacing w:line="276" w:lineRule="auto"/>
                    <w:rPr>
                      <w:u w:val="single"/>
                    </w:rPr>
                  </w:pPr>
                  <w:r>
                    <w:rPr>
                      <w:rFonts w:hint="eastAsia"/>
                      <w:u w:val="single"/>
                    </w:rPr>
                    <w:t>第3次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0.01</w:t>
                  </w:r>
                </w:p>
              </w:tc>
              <w:tc>
                <w:tcPr>
                  <w:tcW w:w="794" w:type="dxa"/>
                  <w:tcBorders>
                    <w:tl2br w:val="nil"/>
                    <w:tr2bl w:val="nil"/>
                  </w:tcBorders>
                  <w:vAlign w:val="center"/>
                </w:tcPr>
                <w:p>
                  <w:pPr>
                    <w:widowControl/>
                    <w:jc w:val="center"/>
                    <w:textAlignment w:val="center"/>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default" w:ascii="Times New Roman" w:hAnsi="Times New Roman" w:eastAsia="宋体" w:cs="Times New Roman"/>
                      <w:color w:val="000000"/>
                      <w:kern w:val="2"/>
                      <w:sz w:val="21"/>
                      <w:szCs w:val="21"/>
                      <w:highlight w:val="none"/>
                      <w:u w:val="single"/>
                      <w:lang w:val="en-US" w:eastAsia="zh-CN" w:bidi="ar-SA"/>
                    </w:rPr>
                    <w:t>0.03</w:t>
                  </w:r>
                </w:p>
              </w:tc>
              <w:tc>
                <w:tcPr>
                  <w:tcW w:w="899" w:type="dxa"/>
                  <w:tcBorders>
                    <w:tl2br w:val="nil"/>
                    <w:tr2bl w:val="nil"/>
                  </w:tcBorders>
                  <w:vAlign w:val="center"/>
                </w:tcPr>
                <w:p>
                  <w:pPr>
                    <w:widowControl/>
                    <w:jc w:val="center"/>
                    <w:textAlignment w:val="center"/>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10</w:t>
                  </w:r>
                </w:p>
              </w:tc>
              <w:tc>
                <w:tcPr>
                  <w:tcW w:w="794"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restart"/>
                  <w:tcBorders>
                    <w:tl2br w:val="nil"/>
                    <w:tr2bl w:val="nil"/>
                  </w:tcBorders>
                  <w:vAlign w:val="center"/>
                </w:tcPr>
                <w:p>
                  <w:pPr>
                    <w:pStyle w:val="48"/>
                    <w:spacing w:line="276" w:lineRule="auto"/>
                    <w:rPr>
                      <w:rFonts w:hint="default" w:eastAsia="宋体"/>
                      <w:u w:val="single"/>
                      <w:lang w:val="en-US" w:eastAsia="zh-CN"/>
                    </w:rPr>
                  </w:pPr>
                  <w:r>
                    <w:rPr>
                      <w:rFonts w:hint="eastAsia"/>
                      <w:u w:val="single"/>
                      <w:lang w:val="en-US" w:eastAsia="zh-CN"/>
                    </w:rPr>
                    <w:t>10.16</w:t>
                  </w:r>
                </w:p>
              </w:tc>
              <w:tc>
                <w:tcPr>
                  <w:tcW w:w="901" w:type="dxa"/>
                  <w:tcBorders>
                    <w:tl2br w:val="nil"/>
                    <w:tr2bl w:val="nil"/>
                  </w:tcBorders>
                  <w:vAlign w:val="center"/>
                </w:tcPr>
                <w:p>
                  <w:pPr>
                    <w:pStyle w:val="48"/>
                    <w:spacing w:line="276" w:lineRule="auto"/>
                    <w:rPr>
                      <w:u w:val="single"/>
                    </w:rPr>
                  </w:pPr>
                  <w:r>
                    <w:rPr>
                      <w:rFonts w:hint="eastAsia"/>
                      <w:u w:val="single"/>
                    </w:rPr>
                    <w:t>第1次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0.02</w:t>
                  </w:r>
                </w:p>
              </w:tc>
              <w:tc>
                <w:tcPr>
                  <w:tcW w:w="794" w:type="dxa"/>
                  <w:tcBorders>
                    <w:tl2br w:val="nil"/>
                    <w:tr2bl w:val="nil"/>
                  </w:tcBorders>
                  <w:vAlign w:val="center"/>
                </w:tcPr>
                <w:p>
                  <w:pPr>
                    <w:widowControl/>
                    <w:jc w:val="center"/>
                    <w:textAlignment w:val="center"/>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0.03</w:t>
                  </w:r>
                </w:p>
              </w:tc>
              <w:tc>
                <w:tcPr>
                  <w:tcW w:w="899" w:type="dxa"/>
                  <w:tcBorders>
                    <w:tl2br w:val="nil"/>
                    <w:tr2bl w:val="nil"/>
                  </w:tcBorders>
                  <w:vAlign w:val="center"/>
                </w:tcPr>
                <w:p>
                  <w:pPr>
                    <w:widowControl/>
                    <w:jc w:val="center"/>
                    <w:textAlignment w:val="center"/>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10</w:t>
                  </w:r>
                </w:p>
              </w:tc>
              <w:tc>
                <w:tcPr>
                  <w:tcW w:w="794"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continue"/>
                  <w:tcBorders>
                    <w:tl2br w:val="nil"/>
                    <w:tr2bl w:val="nil"/>
                  </w:tcBorders>
                  <w:vAlign w:val="center"/>
                </w:tcPr>
                <w:p>
                  <w:pPr>
                    <w:pStyle w:val="48"/>
                    <w:spacing w:line="276" w:lineRule="auto"/>
                    <w:rPr>
                      <w:u w:val="single"/>
                    </w:rPr>
                  </w:pPr>
                </w:p>
              </w:tc>
              <w:tc>
                <w:tcPr>
                  <w:tcW w:w="901" w:type="dxa"/>
                  <w:tcBorders>
                    <w:tl2br w:val="nil"/>
                    <w:tr2bl w:val="nil"/>
                  </w:tcBorders>
                  <w:vAlign w:val="center"/>
                </w:tcPr>
                <w:p>
                  <w:pPr>
                    <w:pStyle w:val="48"/>
                    <w:spacing w:line="276" w:lineRule="auto"/>
                    <w:rPr>
                      <w:u w:val="single"/>
                    </w:rPr>
                  </w:pPr>
                  <w:r>
                    <w:rPr>
                      <w:rFonts w:hint="eastAsia"/>
                      <w:u w:val="single"/>
                    </w:rPr>
                    <w:t>第2次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0.02</w:t>
                  </w:r>
                </w:p>
              </w:tc>
              <w:tc>
                <w:tcPr>
                  <w:tcW w:w="794" w:type="dxa"/>
                  <w:tcBorders>
                    <w:tl2br w:val="nil"/>
                    <w:tr2bl w:val="nil"/>
                  </w:tcBorders>
                  <w:vAlign w:val="center"/>
                </w:tcPr>
                <w:p>
                  <w:pPr>
                    <w:widowControl/>
                    <w:jc w:val="center"/>
                    <w:textAlignment w:val="center"/>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0.03</w:t>
                  </w:r>
                </w:p>
              </w:tc>
              <w:tc>
                <w:tcPr>
                  <w:tcW w:w="899" w:type="dxa"/>
                  <w:tcBorders>
                    <w:tl2br w:val="nil"/>
                    <w:tr2bl w:val="nil"/>
                  </w:tcBorders>
                  <w:vAlign w:val="center"/>
                </w:tcPr>
                <w:p>
                  <w:pPr>
                    <w:widowControl/>
                    <w:jc w:val="center"/>
                    <w:textAlignment w:val="center"/>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10</w:t>
                  </w:r>
                </w:p>
              </w:tc>
              <w:tc>
                <w:tcPr>
                  <w:tcW w:w="794"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continue"/>
                  <w:tcBorders>
                    <w:tl2br w:val="nil"/>
                    <w:tr2bl w:val="nil"/>
                  </w:tcBorders>
                  <w:vAlign w:val="center"/>
                </w:tcPr>
                <w:p>
                  <w:pPr>
                    <w:pStyle w:val="48"/>
                    <w:spacing w:line="276" w:lineRule="auto"/>
                    <w:rPr>
                      <w:u w:val="single"/>
                    </w:rPr>
                  </w:pPr>
                </w:p>
              </w:tc>
              <w:tc>
                <w:tcPr>
                  <w:tcW w:w="901" w:type="dxa"/>
                  <w:tcBorders>
                    <w:tl2br w:val="nil"/>
                    <w:tr2bl w:val="nil"/>
                  </w:tcBorders>
                  <w:vAlign w:val="center"/>
                </w:tcPr>
                <w:p>
                  <w:pPr>
                    <w:pStyle w:val="48"/>
                    <w:spacing w:line="276" w:lineRule="auto"/>
                    <w:rPr>
                      <w:u w:val="single"/>
                    </w:rPr>
                  </w:pPr>
                  <w:r>
                    <w:rPr>
                      <w:rFonts w:hint="eastAsia"/>
                      <w:u w:val="single"/>
                    </w:rPr>
                    <w:t>第3次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0.02</w:t>
                  </w:r>
                </w:p>
              </w:tc>
              <w:tc>
                <w:tcPr>
                  <w:tcW w:w="794" w:type="dxa"/>
                  <w:tcBorders>
                    <w:tl2br w:val="nil"/>
                    <w:tr2bl w:val="nil"/>
                  </w:tcBorders>
                  <w:vAlign w:val="center"/>
                </w:tcPr>
                <w:p>
                  <w:pPr>
                    <w:widowControl/>
                    <w:jc w:val="center"/>
                    <w:textAlignment w:val="center"/>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0.03</w:t>
                  </w:r>
                </w:p>
              </w:tc>
              <w:tc>
                <w:tcPr>
                  <w:tcW w:w="899" w:type="dxa"/>
                  <w:tcBorders>
                    <w:tl2br w:val="nil"/>
                    <w:tr2bl w:val="nil"/>
                  </w:tcBorders>
                  <w:vAlign w:val="center"/>
                </w:tcPr>
                <w:p>
                  <w:pPr>
                    <w:widowControl/>
                    <w:jc w:val="center"/>
                    <w:textAlignment w:val="center"/>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10</w:t>
                  </w:r>
                </w:p>
              </w:tc>
              <w:tc>
                <w:tcPr>
                  <w:tcW w:w="794"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restart"/>
                  <w:tcBorders>
                    <w:tl2br w:val="nil"/>
                    <w:tr2bl w:val="nil"/>
                  </w:tcBorders>
                  <w:vAlign w:val="center"/>
                </w:tcPr>
                <w:p>
                  <w:pPr>
                    <w:pStyle w:val="48"/>
                    <w:spacing w:line="276" w:lineRule="auto"/>
                    <w:rPr>
                      <w:u w:val="single"/>
                    </w:rPr>
                  </w:pPr>
                  <w:r>
                    <w:rPr>
                      <w:rFonts w:hint="default" w:ascii="Times New Roman" w:hAnsi="Times New Roman" w:eastAsia="宋体" w:cs="Times New Roman"/>
                      <w:b w:val="0"/>
                      <w:bCs w:val="0"/>
                      <w:color w:val="auto"/>
                      <w:sz w:val="21"/>
                      <w:szCs w:val="21"/>
                      <w:u w:val="single"/>
                      <w:lang w:val="en-US" w:eastAsia="zh-CN"/>
                    </w:rPr>
                    <w:t>污水处理站下风向G3</w:t>
                  </w:r>
                </w:p>
              </w:tc>
              <w:tc>
                <w:tcPr>
                  <w:tcW w:w="966" w:type="dxa"/>
                  <w:vMerge w:val="restart"/>
                  <w:tcBorders>
                    <w:tl2br w:val="nil"/>
                    <w:tr2bl w:val="nil"/>
                  </w:tcBorders>
                  <w:vAlign w:val="center"/>
                </w:tcPr>
                <w:p>
                  <w:pPr>
                    <w:pStyle w:val="48"/>
                    <w:spacing w:line="276" w:lineRule="auto"/>
                    <w:rPr>
                      <w:u w:val="single"/>
                    </w:rPr>
                  </w:pPr>
                  <w:r>
                    <w:rPr>
                      <w:rFonts w:hint="eastAsia"/>
                      <w:u w:val="single"/>
                      <w:lang w:val="en-US" w:eastAsia="zh-CN"/>
                    </w:rPr>
                    <w:t>10.15</w:t>
                  </w:r>
                </w:p>
              </w:tc>
              <w:tc>
                <w:tcPr>
                  <w:tcW w:w="901" w:type="dxa"/>
                  <w:tcBorders>
                    <w:tl2br w:val="nil"/>
                    <w:tr2bl w:val="nil"/>
                  </w:tcBorders>
                  <w:vAlign w:val="center"/>
                </w:tcPr>
                <w:p>
                  <w:pPr>
                    <w:pStyle w:val="48"/>
                    <w:spacing w:line="276" w:lineRule="auto"/>
                    <w:rPr>
                      <w:u w:val="single"/>
                    </w:rPr>
                  </w:pPr>
                  <w:r>
                    <w:rPr>
                      <w:rFonts w:hint="eastAsia"/>
                      <w:u w:val="single"/>
                    </w:rPr>
                    <w:t>第1次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kern w:val="0"/>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0.02</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kern w:val="0"/>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0.06</w:t>
                  </w:r>
                </w:p>
              </w:tc>
              <w:tc>
                <w:tcPr>
                  <w:tcW w:w="899" w:type="dxa"/>
                  <w:tcBorders>
                    <w:tl2br w:val="nil"/>
                    <w:tr2bl w:val="nil"/>
                  </w:tcBorders>
                  <w:vAlign w:val="center"/>
                </w:tcPr>
                <w:p>
                  <w:pPr>
                    <w:widowControl/>
                    <w:jc w:val="center"/>
                    <w:textAlignment w:val="center"/>
                    <w:rPr>
                      <w:kern w:val="0"/>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kern w:val="0"/>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10</w:t>
                  </w:r>
                </w:p>
              </w:tc>
              <w:tc>
                <w:tcPr>
                  <w:tcW w:w="794"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continue"/>
                  <w:tcBorders>
                    <w:tl2br w:val="nil"/>
                    <w:tr2bl w:val="nil"/>
                  </w:tcBorders>
                  <w:vAlign w:val="center"/>
                </w:tcPr>
                <w:p>
                  <w:pPr>
                    <w:pStyle w:val="48"/>
                    <w:spacing w:line="276" w:lineRule="auto"/>
                    <w:rPr>
                      <w:u w:val="single"/>
                    </w:rPr>
                  </w:pPr>
                </w:p>
              </w:tc>
              <w:tc>
                <w:tcPr>
                  <w:tcW w:w="901" w:type="dxa"/>
                  <w:tcBorders>
                    <w:tl2br w:val="nil"/>
                    <w:tr2bl w:val="nil"/>
                  </w:tcBorders>
                  <w:vAlign w:val="center"/>
                </w:tcPr>
                <w:p>
                  <w:pPr>
                    <w:pStyle w:val="48"/>
                    <w:spacing w:line="276" w:lineRule="auto"/>
                    <w:rPr>
                      <w:u w:val="single"/>
                    </w:rPr>
                  </w:pPr>
                  <w:r>
                    <w:rPr>
                      <w:rFonts w:hint="eastAsia"/>
                      <w:u w:val="single"/>
                    </w:rPr>
                    <w:t>第2次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kern w:val="0"/>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0.02</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kern w:val="0"/>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0.06</w:t>
                  </w:r>
                </w:p>
              </w:tc>
              <w:tc>
                <w:tcPr>
                  <w:tcW w:w="899" w:type="dxa"/>
                  <w:tcBorders>
                    <w:tl2br w:val="nil"/>
                    <w:tr2bl w:val="nil"/>
                  </w:tcBorders>
                  <w:vAlign w:val="center"/>
                </w:tcPr>
                <w:p>
                  <w:pPr>
                    <w:widowControl/>
                    <w:jc w:val="center"/>
                    <w:textAlignment w:val="center"/>
                    <w:rPr>
                      <w:kern w:val="0"/>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10</w:t>
                  </w:r>
                </w:p>
              </w:tc>
              <w:tc>
                <w:tcPr>
                  <w:tcW w:w="794"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continue"/>
                  <w:tcBorders>
                    <w:tl2br w:val="nil"/>
                    <w:tr2bl w:val="nil"/>
                  </w:tcBorders>
                  <w:vAlign w:val="center"/>
                </w:tcPr>
                <w:p>
                  <w:pPr>
                    <w:pStyle w:val="48"/>
                    <w:spacing w:line="276" w:lineRule="auto"/>
                    <w:rPr>
                      <w:u w:val="single"/>
                    </w:rPr>
                  </w:pPr>
                </w:p>
              </w:tc>
              <w:tc>
                <w:tcPr>
                  <w:tcW w:w="901" w:type="dxa"/>
                  <w:tcBorders>
                    <w:tl2br w:val="nil"/>
                    <w:tr2bl w:val="nil"/>
                  </w:tcBorders>
                  <w:vAlign w:val="center"/>
                </w:tcPr>
                <w:p>
                  <w:pPr>
                    <w:pStyle w:val="48"/>
                    <w:spacing w:line="276" w:lineRule="auto"/>
                    <w:rPr>
                      <w:u w:val="single"/>
                    </w:rPr>
                  </w:pPr>
                  <w:r>
                    <w:rPr>
                      <w:rFonts w:hint="eastAsia"/>
                      <w:u w:val="single"/>
                    </w:rPr>
                    <w:t>第3次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kern w:val="0"/>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0.03</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kern w:val="0"/>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0.06</w:t>
                  </w:r>
                </w:p>
              </w:tc>
              <w:tc>
                <w:tcPr>
                  <w:tcW w:w="899" w:type="dxa"/>
                  <w:tcBorders>
                    <w:tl2br w:val="nil"/>
                    <w:tr2bl w:val="nil"/>
                  </w:tcBorders>
                  <w:vAlign w:val="center"/>
                </w:tcPr>
                <w:p>
                  <w:pPr>
                    <w:widowControl/>
                    <w:jc w:val="center"/>
                    <w:textAlignment w:val="center"/>
                    <w:rPr>
                      <w:kern w:val="0"/>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10</w:t>
                  </w:r>
                </w:p>
              </w:tc>
              <w:tc>
                <w:tcPr>
                  <w:tcW w:w="794"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restart"/>
                  <w:tcBorders>
                    <w:tl2br w:val="nil"/>
                    <w:tr2bl w:val="nil"/>
                  </w:tcBorders>
                  <w:vAlign w:val="center"/>
                </w:tcPr>
                <w:p>
                  <w:pPr>
                    <w:pStyle w:val="48"/>
                    <w:spacing w:line="276" w:lineRule="auto"/>
                    <w:rPr>
                      <w:u w:val="single"/>
                    </w:rPr>
                  </w:pPr>
                  <w:r>
                    <w:rPr>
                      <w:rFonts w:hint="eastAsia"/>
                      <w:u w:val="single"/>
                      <w:lang w:val="en-US" w:eastAsia="zh-CN"/>
                    </w:rPr>
                    <w:t>10.16</w:t>
                  </w:r>
                </w:p>
              </w:tc>
              <w:tc>
                <w:tcPr>
                  <w:tcW w:w="901" w:type="dxa"/>
                  <w:tcBorders>
                    <w:tl2br w:val="nil"/>
                    <w:tr2bl w:val="nil"/>
                  </w:tcBorders>
                  <w:vAlign w:val="center"/>
                </w:tcPr>
                <w:p>
                  <w:pPr>
                    <w:pStyle w:val="48"/>
                    <w:spacing w:line="276" w:lineRule="auto"/>
                    <w:rPr>
                      <w:u w:val="single"/>
                    </w:rPr>
                  </w:pPr>
                  <w:r>
                    <w:rPr>
                      <w:rFonts w:hint="eastAsia"/>
                      <w:u w:val="single"/>
                    </w:rPr>
                    <w:t>第1次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0.02</w:t>
                  </w:r>
                </w:p>
              </w:tc>
              <w:tc>
                <w:tcPr>
                  <w:tcW w:w="794" w:type="dxa"/>
                  <w:tcBorders>
                    <w:tl2br w:val="nil"/>
                    <w:tr2bl w:val="nil"/>
                  </w:tcBorders>
                  <w:vAlign w:val="center"/>
                </w:tcPr>
                <w:p>
                  <w:pPr>
                    <w:widowControl/>
                    <w:jc w:val="center"/>
                    <w:textAlignment w:val="center"/>
                    <w:rPr>
                      <w:kern w:val="0"/>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0.05</w:t>
                  </w:r>
                </w:p>
              </w:tc>
              <w:tc>
                <w:tcPr>
                  <w:tcW w:w="899" w:type="dxa"/>
                  <w:tcBorders>
                    <w:tl2br w:val="nil"/>
                    <w:tr2bl w:val="nil"/>
                  </w:tcBorders>
                  <w:vAlign w:val="center"/>
                </w:tcPr>
                <w:p>
                  <w:pPr>
                    <w:widowControl/>
                    <w:jc w:val="center"/>
                    <w:textAlignment w:val="center"/>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10</w:t>
                  </w:r>
                </w:p>
              </w:tc>
              <w:tc>
                <w:tcPr>
                  <w:tcW w:w="794"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continue"/>
                  <w:tcBorders>
                    <w:tl2br w:val="nil"/>
                    <w:tr2bl w:val="nil"/>
                  </w:tcBorders>
                  <w:vAlign w:val="center"/>
                </w:tcPr>
                <w:p>
                  <w:pPr>
                    <w:pStyle w:val="48"/>
                    <w:spacing w:line="276" w:lineRule="auto"/>
                    <w:rPr>
                      <w:u w:val="single"/>
                    </w:rPr>
                  </w:pPr>
                </w:p>
              </w:tc>
              <w:tc>
                <w:tcPr>
                  <w:tcW w:w="901" w:type="dxa"/>
                  <w:tcBorders>
                    <w:tl2br w:val="nil"/>
                    <w:tr2bl w:val="nil"/>
                  </w:tcBorders>
                  <w:vAlign w:val="center"/>
                </w:tcPr>
                <w:p>
                  <w:pPr>
                    <w:pStyle w:val="48"/>
                    <w:spacing w:line="276" w:lineRule="auto"/>
                    <w:rPr>
                      <w:u w:val="single"/>
                    </w:rPr>
                  </w:pPr>
                  <w:r>
                    <w:rPr>
                      <w:rFonts w:hint="eastAsia"/>
                      <w:u w:val="single"/>
                    </w:rPr>
                    <w:t>第2次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0.02</w:t>
                  </w:r>
                </w:p>
              </w:tc>
              <w:tc>
                <w:tcPr>
                  <w:tcW w:w="794" w:type="dxa"/>
                  <w:tcBorders>
                    <w:tl2br w:val="nil"/>
                    <w:tr2bl w:val="nil"/>
                  </w:tcBorders>
                  <w:vAlign w:val="center"/>
                </w:tcPr>
                <w:p>
                  <w:pPr>
                    <w:widowControl/>
                    <w:jc w:val="center"/>
                    <w:textAlignment w:val="center"/>
                    <w:rPr>
                      <w:kern w:val="0"/>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0.05</w:t>
                  </w:r>
                </w:p>
              </w:tc>
              <w:tc>
                <w:tcPr>
                  <w:tcW w:w="899" w:type="dxa"/>
                  <w:tcBorders>
                    <w:tl2br w:val="nil"/>
                    <w:tr2bl w:val="nil"/>
                  </w:tcBorders>
                  <w:vAlign w:val="center"/>
                </w:tcPr>
                <w:p>
                  <w:pPr>
                    <w:widowControl/>
                    <w:jc w:val="center"/>
                    <w:textAlignment w:val="center"/>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10</w:t>
                  </w:r>
                </w:p>
              </w:tc>
              <w:tc>
                <w:tcPr>
                  <w:tcW w:w="794"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continue"/>
                  <w:tcBorders>
                    <w:tl2br w:val="nil"/>
                    <w:tr2bl w:val="nil"/>
                  </w:tcBorders>
                  <w:vAlign w:val="center"/>
                </w:tcPr>
                <w:p>
                  <w:pPr>
                    <w:pStyle w:val="48"/>
                    <w:spacing w:line="276" w:lineRule="auto"/>
                    <w:rPr>
                      <w:u w:val="single"/>
                    </w:rPr>
                  </w:pPr>
                </w:p>
              </w:tc>
              <w:tc>
                <w:tcPr>
                  <w:tcW w:w="901" w:type="dxa"/>
                  <w:tcBorders>
                    <w:tl2br w:val="nil"/>
                    <w:tr2bl w:val="nil"/>
                  </w:tcBorders>
                  <w:vAlign w:val="center"/>
                </w:tcPr>
                <w:p>
                  <w:pPr>
                    <w:pStyle w:val="48"/>
                    <w:spacing w:line="276" w:lineRule="auto"/>
                    <w:rPr>
                      <w:u w:val="single"/>
                    </w:rPr>
                  </w:pPr>
                  <w:r>
                    <w:rPr>
                      <w:rFonts w:hint="eastAsia"/>
                      <w:u w:val="single"/>
                    </w:rPr>
                    <w:t>第3次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0.03</w:t>
                  </w:r>
                </w:p>
              </w:tc>
              <w:tc>
                <w:tcPr>
                  <w:tcW w:w="794" w:type="dxa"/>
                  <w:tcBorders>
                    <w:tl2br w:val="nil"/>
                    <w:tr2bl w:val="nil"/>
                  </w:tcBorders>
                  <w:vAlign w:val="center"/>
                </w:tcPr>
                <w:p>
                  <w:pPr>
                    <w:widowControl/>
                    <w:jc w:val="center"/>
                    <w:textAlignment w:val="center"/>
                    <w:rPr>
                      <w:kern w:val="0"/>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0.06</w:t>
                  </w:r>
                </w:p>
              </w:tc>
              <w:tc>
                <w:tcPr>
                  <w:tcW w:w="899" w:type="dxa"/>
                  <w:tcBorders>
                    <w:tl2br w:val="nil"/>
                    <w:tr2bl w:val="nil"/>
                  </w:tcBorders>
                  <w:vAlign w:val="center"/>
                </w:tcPr>
                <w:p>
                  <w:pPr>
                    <w:widowControl/>
                    <w:jc w:val="center"/>
                    <w:textAlignment w:val="center"/>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10</w:t>
                  </w:r>
                </w:p>
              </w:tc>
              <w:tc>
                <w:tcPr>
                  <w:tcW w:w="794"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restart"/>
                  <w:tcBorders>
                    <w:tl2br w:val="nil"/>
                    <w:tr2bl w:val="nil"/>
                  </w:tcBorders>
                  <w:vAlign w:val="center"/>
                </w:tcPr>
                <w:p>
                  <w:pPr>
                    <w:pStyle w:val="48"/>
                    <w:spacing w:line="276" w:lineRule="auto"/>
                    <w:rPr>
                      <w:u w:val="single"/>
                    </w:rPr>
                  </w:pPr>
                  <w:r>
                    <w:rPr>
                      <w:rFonts w:hint="default" w:ascii="Times New Roman" w:hAnsi="Times New Roman" w:eastAsia="宋体" w:cs="Times New Roman"/>
                      <w:b w:val="0"/>
                      <w:bCs w:val="0"/>
                      <w:color w:val="auto"/>
                      <w:sz w:val="21"/>
                      <w:szCs w:val="21"/>
                      <w:u w:val="single"/>
                      <w:lang w:val="en-US" w:eastAsia="zh-CN"/>
                    </w:rPr>
                    <w:t>污水处理站下风向G4</w:t>
                  </w:r>
                </w:p>
              </w:tc>
              <w:tc>
                <w:tcPr>
                  <w:tcW w:w="966" w:type="dxa"/>
                  <w:vMerge w:val="restart"/>
                  <w:tcBorders>
                    <w:tl2br w:val="nil"/>
                    <w:tr2bl w:val="nil"/>
                  </w:tcBorders>
                  <w:vAlign w:val="center"/>
                </w:tcPr>
                <w:p>
                  <w:pPr>
                    <w:pStyle w:val="48"/>
                    <w:spacing w:line="276" w:lineRule="auto"/>
                    <w:rPr>
                      <w:u w:val="single"/>
                    </w:rPr>
                  </w:pPr>
                  <w:r>
                    <w:rPr>
                      <w:rFonts w:hint="eastAsia"/>
                      <w:u w:val="single"/>
                      <w:lang w:val="en-US" w:eastAsia="zh-CN"/>
                    </w:rPr>
                    <w:t>10.15</w:t>
                  </w:r>
                </w:p>
              </w:tc>
              <w:tc>
                <w:tcPr>
                  <w:tcW w:w="901" w:type="dxa"/>
                  <w:tcBorders>
                    <w:tl2br w:val="nil"/>
                    <w:tr2bl w:val="nil"/>
                  </w:tcBorders>
                  <w:vAlign w:val="center"/>
                </w:tcPr>
                <w:p>
                  <w:pPr>
                    <w:pStyle w:val="48"/>
                    <w:spacing w:line="276" w:lineRule="auto"/>
                    <w:rPr>
                      <w:u w:val="single"/>
                    </w:rPr>
                  </w:pPr>
                  <w:r>
                    <w:rPr>
                      <w:rFonts w:hint="eastAsia"/>
                      <w:u w:val="single"/>
                    </w:rPr>
                    <w:t>第1次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kern w:val="0"/>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0.03</w:t>
                  </w:r>
                </w:p>
              </w:tc>
              <w:tc>
                <w:tcPr>
                  <w:tcW w:w="794" w:type="dxa"/>
                  <w:tcBorders>
                    <w:tl2br w:val="nil"/>
                    <w:tr2bl w:val="nil"/>
                  </w:tcBorders>
                  <w:vAlign w:val="center"/>
                </w:tcPr>
                <w:p>
                  <w:pPr>
                    <w:widowControl/>
                    <w:jc w:val="center"/>
                    <w:textAlignment w:val="center"/>
                    <w:rPr>
                      <w:kern w:val="0"/>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0.07</w:t>
                  </w:r>
                </w:p>
              </w:tc>
              <w:tc>
                <w:tcPr>
                  <w:tcW w:w="899" w:type="dxa"/>
                  <w:tcBorders>
                    <w:tl2br w:val="nil"/>
                    <w:tr2bl w:val="nil"/>
                  </w:tcBorders>
                  <w:vAlign w:val="center"/>
                </w:tcPr>
                <w:p>
                  <w:pPr>
                    <w:widowControl/>
                    <w:jc w:val="center"/>
                    <w:textAlignment w:val="center"/>
                    <w:rPr>
                      <w:kern w:val="0"/>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kern w:val="0"/>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10</w:t>
                  </w:r>
                </w:p>
              </w:tc>
              <w:tc>
                <w:tcPr>
                  <w:tcW w:w="794"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continue"/>
                  <w:tcBorders>
                    <w:tl2br w:val="nil"/>
                    <w:tr2bl w:val="nil"/>
                  </w:tcBorders>
                  <w:vAlign w:val="center"/>
                </w:tcPr>
                <w:p>
                  <w:pPr>
                    <w:pStyle w:val="48"/>
                    <w:spacing w:line="276" w:lineRule="auto"/>
                    <w:rPr>
                      <w:u w:val="single"/>
                    </w:rPr>
                  </w:pPr>
                </w:p>
              </w:tc>
              <w:tc>
                <w:tcPr>
                  <w:tcW w:w="901" w:type="dxa"/>
                  <w:tcBorders>
                    <w:tl2br w:val="nil"/>
                    <w:tr2bl w:val="nil"/>
                  </w:tcBorders>
                  <w:vAlign w:val="center"/>
                </w:tcPr>
                <w:p>
                  <w:pPr>
                    <w:pStyle w:val="48"/>
                    <w:spacing w:line="276" w:lineRule="auto"/>
                    <w:rPr>
                      <w:u w:val="single"/>
                    </w:rPr>
                  </w:pPr>
                  <w:r>
                    <w:rPr>
                      <w:rFonts w:hint="eastAsia"/>
                      <w:u w:val="single"/>
                    </w:rPr>
                    <w:t>第2次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kern w:val="0"/>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0.02</w:t>
                  </w:r>
                </w:p>
              </w:tc>
              <w:tc>
                <w:tcPr>
                  <w:tcW w:w="794" w:type="dxa"/>
                  <w:tcBorders>
                    <w:tl2br w:val="nil"/>
                    <w:tr2bl w:val="nil"/>
                  </w:tcBorders>
                  <w:vAlign w:val="center"/>
                </w:tcPr>
                <w:p>
                  <w:pPr>
                    <w:widowControl/>
                    <w:jc w:val="center"/>
                    <w:textAlignment w:val="center"/>
                    <w:rPr>
                      <w:kern w:val="0"/>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0.06</w:t>
                  </w:r>
                </w:p>
              </w:tc>
              <w:tc>
                <w:tcPr>
                  <w:tcW w:w="899" w:type="dxa"/>
                  <w:tcBorders>
                    <w:tl2br w:val="nil"/>
                    <w:tr2bl w:val="nil"/>
                  </w:tcBorders>
                  <w:vAlign w:val="center"/>
                </w:tcPr>
                <w:p>
                  <w:pPr>
                    <w:widowControl/>
                    <w:jc w:val="center"/>
                    <w:textAlignment w:val="center"/>
                    <w:rPr>
                      <w:kern w:val="0"/>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10</w:t>
                  </w:r>
                </w:p>
              </w:tc>
              <w:tc>
                <w:tcPr>
                  <w:tcW w:w="794"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continue"/>
                  <w:tcBorders>
                    <w:tl2br w:val="nil"/>
                    <w:tr2bl w:val="nil"/>
                  </w:tcBorders>
                  <w:vAlign w:val="center"/>
                </w:tcPr>
                <w:p>
                  <w:pPr>
                    <w:pStyle w:val="48"/>
                    <w:spacing w:line="276" w:lineRule="auto"/>
                    <w:rPr>
                      <w:u w:val="single"/>
                    </w:rPr>
                  </w:pPr>
                </w:p>
              </w:tc>
              <w:tc>
                <w:tcPr>
                  <w:tcW w:w="901" w:type="dxa"/>
                  <w:tcBorders>
                    <w:tl2br w:val="nil"/>
                    <w:tr2bl w:val="nil"/>
                  </w:tcBorders>
                  <w:vAlign w:val="center"/>
                </w:tcPr>
                <w:p>
                  <w:pPr>
                    <w:pStyle w:val="48"/>
                    <w:spacing w:line="276" w:lineRule="auto"/>
                    <w:rPr>
                      <w:u w:val="single"/>
                    </w:rPr>
                  </w:pPr>
                  <w:r>
                    <w:rPr>
                      <w:rFonts w:hint="eastAsia"/>
                      <w:u w:val="single"/>
                    </w:rPr>
                    <w:t>第3次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kern w:val="0"/>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0.03</w:t>
                  </w:r>
                </w:p>
              </w:tc>
              <w:tc>
                <w:tcPr>
                  <w:tcW w:w="794" w:type="dxa"/>
                  <w:tcBorders>
                    <w:tl2br w:val="nil"/>
                    <w:tr2bl w:val="nil"/>
                  </w:tcBorders>
                  <w:vAlign w:val="center"/>
                </w:tcPr>
                <w:p>
                  <w:pPr>
                    <w:widowControl/>
                    <w:jc w:val="center"/>
                    <w:textAlignment w:val="center"/>
                    <w:rPr>
                      <w:kern w:val="0"/>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0.05</w:t>
                  </w:r>
                </w:p>
              </w:tc>
              <w:tc>
                <w:tcPr>
                  <w:tcW w:w="899" w:type="dxa"/>
                  <w:tcBorders>
                    <w:tl2br w:val="nil"/>
                    <w:tr2bl w:val="nil"/>
                  </w:tcBorders>
                  <w:vAlign w:val="center"/>
                </w:tcPr>
                <w:p>
                  <w:pPr>
                    <w:widowControl/>
                    <w:jc w:val="center"/>
                    <w:textAlignment w:val="center"/>
                    <w:rPr>
                      <w:kern w:val="0"/>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10</w:t>
                  </w:r>
                </w:p>
              </w:tc>
              <w:tc>
                <w:tcPr>
                  <w:tcW w:w="794"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restart"/>
                  <w:tcBorders>
                    <w:tl2br w:val="nil"/>
                    <w:tr2bl w:val="nil"/>
                  </w:tcBorders>
                  <w:vAlign w:val="center"/>
                </w:tcPr>
                <w:p>
                  <w:pPr>
                    <w:pStyle w:val="48"/>
                    <w:spacing w:line="276" w:lineRule="auto"/>
                    <w:rPr>
                      <w:u w:val="single"/>
                    </w:rPr>
                  </w:pPr>
                  <w:r>
                    <w:rPr>
                      <w:rFonts w:hint="eastAsia"/>
                      <w:u w:val="single"/>
                      <w:lang w:val="en-US" w:eastAsia="zh-CN"/>
                    </w:rPr>
                    <w:t>10.16</w:t>
                  </w:r>
                </w:p>
              </w:tc>
              <w:tc>
                <w:tcPr>
                  <w:tcW w:w="901" w:type="dxa"/>
                  <w:tcBorders>
                    <w:tl2br w:val="nil"/>
                    <w:tr2bl w:val="nil"/>
                  </w:tcBorders>
                  <w:vAlign w:val="center"/>
                </w:tcPr>
                <w:p>
                  <w:pPr>
                    <w:pStyle w:val="48"/>
                    <w:spacing w:line="276" w:lineRule="auto"/>
                    <w:rPr>
                      <w:u w:val="single"/>
                    </w:rPr>
                  </w:pPr>
                  <w:r>
                    <w:rPr>
                      <w:rFonts w:hint="eastAsia"/>
                      <w:u w:val="single"/>
                    </w:rPr>
                    <w:t>第1次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0.02</w:t>
                  </w:r>
                </w:p>
              </w:tc>
              <w:tc>
                <w:tcPr>
                  <w:tcW w:w="794" w:type="dxa"/>
                  <w:tcBorders>
                    <w:tl2br w:val="nil"/>
                    <w:tr2bl w:val="nil"/>
                  </w:tcBorders>
                  <w:vAlign w:val="center"/>
                </w:tcPr>
                <w:p>
                  <w:pPr>
                    <w:widowControl/>
                    <w:jc w:val="center"/>
                    <w:textAlignment w:val="center"/>
                    <w:rPr>
                      <w:kern w:val="0"/>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0.07</w:t>
                  </w:r>
                </w:p>
              </w:tc>
              <w:tc>
                <w:tcPr>
                  <w:tcW w:w="899" w:type="dxa"/>
                  <w:tcBorders>
                    <w:tl2br w:val="nil"/>
                    <w:tr2bl w:val="nil"/>
                  </w:tcBorders>
                  <w:vAlign w:val="center"/>
                </w:tcPr>
                <w:p>
                  <w:pPr>
                    <w:widowControl/>
                    <w:jc w:val="center"/>
                    <w:textAlignment w:val="center"/>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10</w:t>
                  </w:r>
                </w:p>
              </w:tc>
              <w:tc>
                <w:tcPr>
                  <w:tcW w:w="794"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continue"/>
                  <w:tcBorders>
                    <w:tl2br w:val="nil"/>
                    <w:tr2bl w:val="nil"/>
                  </w:tcBorders>
                  <w:vAlign w:val="center"/>
                </w:tcPr>
                <w:p>
                  <w:pPr>
                    <w:pStyle w:val="48"/>
                    <w:spacing w:line="276" w:lineRule="auto"/>
                    <w:rPr>
                      <w:u w:val="single"/>
                    </w:rPr>
                  </w:pPr>
                </w:p>
              </w:tc>
              <w:tc>
                <w:tcPr>
                  <w:tcW w:w="901" w:type="dxa"/>
                  <w:tcBorders>
                    <w:tl2br w:val="nil"/>
                    <w:tr2bl w:val="nil"/>
                  </w:tcBorders>
                  <w:vAlign w:val="center"/>
                </w:tcPr>
                <w:p>
                  <w:pPr>
                    <w:pStyle w:val="48"/>
                    <w:spacing w:line="276" w:lineRule="auto"/>
                    <w:rPr>
                      <w:u w:val="single"/>
                    </w:rPr>
                  </w:pPr>
                  <w:r>
                    <w:rPr>
                      <w:rFonts w:hint="eastAsia"/>
                      <w:u w:val="single"/>
                    </w:rPr>
                    <w:t>第2次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0.03</w:t>
                  </w:r>
                </w:p>
              </w:tc>
              <w:tc>
                <w:tcPr>
                  <w:tcW w:w="794" w:type="dxa"/>
                  <w:tcBorders>
                    <w:tl2br w:val="nil"/>
                    <w:tr2bl w:val="nil"/>
                  </w:tcBorders>
                  <w:vAlign w:val="center"/>
                </w:tcPr>
                <w:p>
                  <w:pPr>
                    <w:widowControl/>
                    <w:jc w:val="center"/>
                    <w:textAlignment w:val="center"/>
                    <w:rPr>
                      <w:kern w:val="0"/>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0.06</w:t>
                  </w:r>
                </w:p>
              </w:tc>
              <w:tc>
                <w:tcPr>
                  <w:tcW w:w="899" w:type="dxa"/>
                  <w:tcBorders>
                    <w:tl2br w:val="nil"/>
                    <w:tr2bl w:val="nil"/>
                  </w:tcBorders>
                  <w:vAlign w:val="center"/>
                </w:tcPr>
                <w:p>
                  <w:pPr>
                    <w:widowControl/>
                    <w:jc w:val="center"/>
                    <w:textAlignment w:val="center"/>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10</w:t>
                  </w:r>
                </w:p>
              </w:tc>
              <w:tc>
                <w:tcPr>
                  <w:tcW w:w="794"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continue"/>
                  <w:tcBorders>
                    <w:tl2br w:val="nil"/>
                    <w:tr2bl w:val="nil"/>
                  </w:tcBorders>
                  <w:vAlign w:val="center"/>
                </w:tcPr>
                <w:p>
                  <w:pPr>
                    <w:pStyle w:val="48"/>
                    <w:spacing w:line="276" w:lineRule="auto"/>
                    <w:rPr>
                      <w:u w:val="single"/>
                    </w:rPr>
                  </w:pPr>
                </w:p>
              </w:tc>
              <w:tc>
                <w:tcPr>
                  <w:tcW w:w="901" w:type="dxa"/>
                  <w:tcBorders>
                    <w:tl2br w:val="nil"/>
                    <w:tr2bl w:val="nil"/>
                  </w:tcBorders>
                  <w:vAlign w:val="center"/>
                </w:tcPr>
                <w:p>
                  <w:pPr>
                    <w:pStyle w:val="48"/>
                    <w:spacing w:line="276" w:lineRule="auto"/>
                    <w:rPr>
                      <w:u w:val="single"/>
                    </w:rPr>
                  </w:pPr>
                  <w:r>
                    <w:rPr>
                      <w:rFonts w:hint="eastAsia"/>
                      <w:u w:val="single"/>
                    </w:rPr>
                    <w:t>第3次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0.03</w:t>
                  </w:r>
                </w:p>
              </w:tc>
              <w:tc>
                <w:tcPr>
                  <w:tcW w:w="794" w:type="dxa"/>
                  <w:tcBorders>
                    <w:tl2br w:val="nil"/>
                    <w:tr2bl w:val="nil"/>
                  </w:tcBorders>
                  <w:vAlign w:val="center"/>
                </w:tcPr>
                <w:p>
                  <w:pPr>
                    <w:widowControl/>
                    <w:jc w:val="center"/>
                    <w:textAlignment w:val="center"/>
                    <w:rPr>
                      <w:kern w:val="0"/>
                      <w:sz w:val="21"/>
                      <w:szCs w:val="21"/>
                      <w:u w:val="single"/>
                    </w:rPr>
                  </w:pPr>
                  <w:r>
                    <w:rPr>
                      <w:rFonts w:hint="eastAsia" w:ascii="Times New Roman" w:hAnsi="Times New Roman" w:eastAsia="宋体" w:cs="Times New Roman"/>
                      <w:color w:val="auto"/>
                      <w:kern w:val="2"/>
                      <w:sz w:val="21"/>
                      <w:szCs w:val="21"/>
                      <w:highlight w:val="none"/>
                      <w:u w:val="single"/>
                      <w:lang w:val="en-US" w:eastAsia="zh-CN" w:bidi="ar-SA"/>
                    </w:rPr>
                    <w:t>0.05</w:t>
                  </w:r>
                </w:p>
              </w:tc>
              <w:tc>
                <w:tcPr>
                  <w:tcW w:w="899" w:type="dxa"/>
                  <w:tcBorders>
                    <w:tl2br w:val="nil"/>
                    <w:tr2bl w:val="nil"/>
                  </w:tcBorders>
                  <w:vAlign w:val="center"/>
                </w:tcPr>
                <w:p>
                  <w:pPr>
                    <w:widowControl/>
                    <w:jc w:val="center"/>
                    <w:textAlignment w:val="center"/>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sz w:val="21"/>
                      <w:szCs w:val="21"/>
                      <w:u w:val="single"/>
                    </w:rPr>
                  </w:pPr>
                  <w:r>
                    <w:rPr>
                      <w:rFonts w:hint="default" w:ascii="Times New Roman" w:hAnsi="Times New Roman" w:eastAsia="宋体" w:cs="Times New Roman"/>
                      <w:color w:val="auto"/>
                      <w:kern w:val="2"/>
                      <w:sz w:val="21"/>
                      <w:szCs w:val="21"/>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10</w:t>
                  </w:r>
                </w:p>
              </w:tc>
              <w:tc>
                <w:tcPr>
                  <w:tcW w:w="794"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restart"/>
                  <w:tcBorders>
                    <w:tl2br w:val="nil"/>
                    <w:tr2bl w:val="nil"/>
                  </w:tcBorders>
                  <w:vAlign w:val="center"/>
                </w:tcPr>
                <w:p>
                  <w:pPr>
                    <w:pStyle w:val="48"/>
                    <w:spacing w:line="276" w:lineRule="auto"/>
                    <w:rPr>
                      <w:rFonts w:ascii="Times New Roman" w:hAnsi="Times New Roman" w:eastAsia="宋体" w:cs="Times New Roman"/>
                      <w:kern w:val="0"/>
                      <w:sz w:val="21"/>
                      <w:szCs w:val="21"/>
                      <w:u w:val="single"/>
                      <w:lang w:val="en-US" w:eastAsia="zh-CN" w:bidi="ar-SA"/>
                    </w:rPr>
                  </w:pPr>
                  <w:r>
                    <w:rPr>
                      <w:rFonts w:hint="default" w:ascii="Times New Roman" w:hAnsi="Times New Roman" w:eastAsia="宋体" w:cs="Times New Roman"/>
                      <w:b w:val="0"/>
                      <w:bCs w:val="0"/>
                      <w:color w:val="auto"/>
                      <w:sz w:val="21"/>
                      <w:szCs w:val="21"/>
                      <w:u w:val="single"/>
                      <w:lang w:val="en-US" w:eastAsia="zh-CN"/>
                    </w:rPr>
                    <w:t>医院厂址下风向G1</w:t>
                  </w:r>
                </w:p>
              </w:tc>
              <w:tc>
                <w:tcPr>
                  <w:tcW w:w="966" w:type="dxa"/>
                  <w:vMerge w:val="restart"/>
                  <w:tcBorders>
                    <w:tl2br w:val="nil"/>
                    <w:tr2bl w:val="nil"/>
                  </w:tcBorders>
                  <w:vAlign w:val="center"/>
                </w:tcPr>
                <w:p>
                  <w:pPr>
                    <w:pStyle w:val="48"/>
                    <w:spacing w:line="276" w:lineRule="auto"/>
                    <w:rPr>
                      <w:u w:val="single"/>
                    </w:rPr>
                  </w:pPr>
                  <w:r>
                    <w:rPr>
                      <w:rFonts w:hint="eastAsia"/>
                      <w:u w:val="single"/>
                      <w:lang w:val="en-US" w:eastAsia="zh-CN"/>
                    </w:rPr>
                    <w:t>10.15</w:t>
                  </w:r>
                </w:p>
              </w:tc>
              <w:tc>
                <w:tcPr>
                  <w:tcW w:w="901" w:type="dxa"/>
                  <w:tcBorders>
                    <w:tl2br w:val="nil"/>
                    <w:tr2bl w:val="nil"/>
                  </w:tcBorders>
                  <w:vAlign w:val="center"/>
                </w:tcPr>
                <w:p>
                  <w:pPr>
                    <w:pStyle w:val="48"/>
                    <w:spacing w:line="276" w:lineRule="auto"/>
                    <w:rPr>
                      <w:rFonts w:hint="eastAsia" w:ascii="Times New Roman" w:hAnsi="Times New Roman" w:eastAsia="宋体" w:cs="Times New Roman"/>
                      <w:kern w:val="0"/>
                      <w:sz w:val="21"/>
                      <w:szCs w:val="21"/>
                      <w:u w:val="single"/>
                      <w:lang w:val="en-US" w:eastAsia="zh-CN" w:bidi="ar-SA"/>
                    </w:rPr>
                  </w:pPr>
                  <w:r>
                    <w:rPr>
                      <w:rFonts w:hint="eastAsia"/>
                      <w:u w:val="single"/>
                    </w:rPr>
                    <w:t>第1次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0.01</w:t>
                  </w:r>
                </w:p>
              </w:tc>
              <w:tc>
                <w:tcPr>
                  <w:tcW w:w="794" w:type="dxa"/>
                  <w:tcBorders>
                    <w:tl2br w:val="nil"/>
                    <w:tr2bl w:val="nil"/>
                  </w:tcBorders>
                  <w:vAlign w:val="center"/>
                </w:tcPr>
                <w:p>
                  <w:pPr>
                    <w:widowControl/>
                    <w:jc w:val="center"/>
                    <w:textAlignment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0.05</w:t>
                  </w:r>
                </w:p>
              </w:tc>
              <w:tc>
                <w:tcPr>
                  <w:tcW w:w="899" w:type="dxa"/>
                  <w:tcBorders>
                    <w:tl2br w:val="nil"/>
                    <w:tr2bl w:val="nil"/>
                  </w:tcBorders>
                  <w:vAlign w:val="center"/>
                </w:tcPr>
                <w:p>
                  <w:pPr>
                    <w:widowControl/>
                    <w:jc w:val="center"/>
                    <w:textAlignment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c>
                <w:tcPr>
                  <w:tcW w:w="794" w:type="dxa"/>
                  <w:tcBorders>
                    <w:tl2br w:val="nil"/>
                    <w:tr2bl w:val="nil"/>
                  </w:tcBorders>
                  <w:vAlign w:val="center"/>
                </w:tcPr>
                <w:p>
                  <w:pPr>
                    <w:adjustRightInd w:val="0"/>
                    <w:spacing w:line="276" w:lineRule="auto"/>
                    <w:jc w:val="center"/>
                    <w:textAlignment w:val="baseline"/>
                    <w:rPr>
                      <w:rFonts w:hint="eastAsia"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continue"/>
                  <w:tcBorders>
                    <w:tl2br w:val="nil"/>
                    <w:tr2bl w:val="nil"/>
                  </w:tcBorders>
                  <w:vAlign w:val="center"/>
                </w:tcPr>
                <w:p>
                  <w:pPr>
                    <w:pStyle w:val="48"/>
                    <w:spacing w:line="276" w:lineRule="auto"/>
                    <w:rPr>
                      <w:u w:val="single"/>
                    </w:rPr>
                  </w:pPr>
                </w:p>
              </w:tc>
              <w:tc>
                <w:tcPr>
                  <w:tcW w:w="901" w:type="dxa"/>
                  <w:tcBorders>
                    <w:tl2br w:val="nil"/>
                    <w:tr2bl w:val="nil"/>
                  </w:tcBorders>
                  <w:vAlign w:val="center"/>
                </w:tcPr>
                <w:p>
                  <w:pPr>
                    <w:pStyle w:val="48"/>
                    <w:spacing w:line="276" w:lineRule="auto"/>
                    <w:rPr>
                      <w:rFonts w:hint="eastAsia" w:ascii="Times New Roman" w:hAnsi="Times New Roman" w:eastAsia="宋体" w:cs="Times New Roman"/>
                      <w:kern w:val="0"/>
                      <w:sz w:val="21"/>
                      <w:szCs w:val="21"/>
                      <w:u w:val="single"/>
                      <w:lang w:val="en-US" w:eastAsia="zh-CN" w:bidi="ar-SA"/>
                    </w:rPr>
                  </w:pPr>
                  <w:r>
                    <w:rPr>
                      <w:rFonts w:hint="eastAsia"/>
                      <w:u w:val="single"/>
                    </w:rPr>
                    <w:t>第2次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color w:val="000000"/>
                      <w:kern w:val="2"/>
                      <w:sz w:val="21"/>
                      <w:szCs w:val="21"/>
                      <w:highlight w:val="none"/>
                      <w:u w:val="single"/>
                      <w:lang w:val="en-US" w:eastAsia="zh-CN" w:bidi="ar-SA"/>
                    </w:rPr>
                    <w:t>0.03</w:t>
                  </w:r>
                </w:p>
              </w:tc>
              <w:tc>
                <w:tcPr>
                  <w:tcW w:w="794" w:type="dxa"/>
                  <w:tcBorders>
                    <w:tl2br w:val="nil"/>
                    <w:tr2bl w:val="nil"/>
                  </w:tcBorders>
                  <w:vAlign w:val="center"/>
                </w:tcPr>
                <w:p>
                  <w:pPr>
                    <w:widowControl/>
                    <w:jc w:val="center"/>
                    <w:textAlignment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0.07</w:t>
                  </w:r>
                </w:p>
              </w:tc>
              <w:tc>
                <w:tcPr>
                  <w:tcW w:w="899" w:type="dxa"/>
                  <w:tcBorders>
                    <w:tl2br w:val="nil"/>
                    <w:tr2bl w:val="nil"/>
                  </w:tcBorders>
                  <w:vAlign w:val="center"/>
                </w:tcPr>
                <w:p>
                  <w:pPr>
                    <w:widowControl/>
                    <w:jc w:val="center"/>
                    <w:textAlignment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c>
                <w:tcPr>
                  <w:tcW w:w="794" w:type="dxa"/>
                  <w:tcBorders>
                    <w:tl2br w:val="nil"/>
                    <w:tr2bl w:val="nil"/>
                  </w:tcBorders>
                  <w:vAlign w:val="center"/>
                </w:tcPr>
                <w:p>
                  <w:pPr>
                    <w:adjustRightInd w:val="0"/>
                    <w:spacing w:line="276" w:lineRule="auto"/>
                    <w:jc w:val="center"/>
                    <w:textAlignment w:val="baseline"/>
                    <w:rPr>
                      <w:rFonts w:hint="eastAsia"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continue"/>
                  <w:tcBorders>
                    <w:tl2br w:val="nil"/>
                    <w:tr2bl w:val="nil"/>
                  </w:tcBorders>
                  <w:vAlign w:val="center"/>
                </w:tcPr>
                <w:p>
                  <w:pPr>
                    <w:pStyle w:val="48"/>
                    <w:spacing w:line="276" w:lineRule="auto"/>
                    <w:rPr>
                      <w:u w:val="single"/>
                    </w:rPr>
                  </w:pPr>
                </w:p>
              </w:tc>
              <w:tc>
                <w:tcPr>
                  <w:tcW w:w="901" w:type="dxa"/>
                  <w:tcBorders>
                    <w:tl2br w:val="nil"/>
                    <w:tr2bl w:val="nil"/>
                  </w:tcBorders>
                  <w:vAlign w:val="center"/>
                </w:tcPr>
                <w:p>
                  <w:pPr>
                    <w:pStyle w:val="48"/>
                    <w:spacing w:line="276" w:lineRule="auto"/>
                    <w:rPr>
                      <w:rFonts w:hint="eastAsia" w:ascii="Times New Roman" w:hAnsi="Times New Roman" w:eastAsia="宋体" w:cs="Times New Roman"/>
                      <w:kern w:val="0"/>
                      <w:sz w:val="21"/>
                      <w:szCs w:val="21"/>
                      <w:u w:val="single"/>
                      <w:lang w:val="en-US" w:eastAsia="zh-CN" w:bidi="ar-SA"/>
                    </w:rPr>
                  </w:pPr>
                  <w:r>
                    <w:rPr>
                      <w:rFonts w:hint="eastAsia"/>
                      <w:u w:val="single"/>
                    </w:rPr>
                    <w:t>第3次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color w:val="000000"/>
                      <w:kern w:val="2"/>
                      <w:sz w:val="21"/>
                      <w:szCs w:val="21"/>
                      <w:highlight w:val="none"/>
                      <w:u w:val="single"/>
                      <w:lang w:val="en-US" w:eastAsia="zh-CN" w:bidi="ar-SA"/>
                    </w:rPr>
                    <w:t>0.02</w:t>
                  </w:r>
                </w:p>
              </w:tc>
              <w:tc>
                <w:tcPr>
                  <w:tcW w:w="794" w:type="dxa"/>
                  <w:tcBorders>
                    <w:tl2br w:val="nil"/>
                    <w:tr2bl w:val="nil"/>
                  </w:tcBorders>
                  <w:vAlign w:val="center"/>
                </w:tcPr>
                <w:p>
                  <w:pPr>
                    <w:widowControl/>
                    <w:jc w:val="center"/>
                    <w:textAlignment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0.06</w:t>
                  </w:r>
                </w:p>
              </w:tc>
              <w:tc>
                <w:tcPr>
                  <w:tcW w:w="899" w:type="dxa"/>
                  <w:tcBorders>
                    <w:tl2br w:val="nil"/>
                    <w:tr2bl w:val="nil"/>
                  </w:tcBorders>
                  <w:vAlign w:val="center"/>
                </w:tcPr>
                <w:p>
                  <w:pPr>
                    <w:widowControl/>
                    <w:jc w:val="center"/>
                    <w:textAlignment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c>
                <w:tcPr>
                  <w:tcW w:w="794" w:type="dxa"/>
                  <w:tcBorders>
                    <w:tl2br w:val="nil"/>
                    <w:tr2bl w:val="nil"/>
                  </w:tcBorders>
                  <w:vAlign w:val="center"/>
                </w:tcPr>
                <w:p>
                  <w:pPr>
                    <w:adjustRightInd w:val="0"/>
                    <w:spacing w:line="276" w:lineRule="auto"/>
                    <w:jc w:val="center"/>
                    <w:textAlignment w:val="baseline"/>
                    <w:rPr>
                      <w:rFonts w:hint="eastAsia"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continue"/>
                  <w:tcBorders>
                    <w:tl2br w:val="nil"/>
                    <w:tr2bl w:val="nil"/>
                  </w:tcBorders>
                  <w:vAlign w:val="center"/>
                </w:tcPr>
                <w:p>
                  <w:pPr>
                    <w:pStyle w:val="48"/>
                    <w:spacing w:line="276" w:lineRule="auto"/>
                    <w:rPr>
                      <w:u w:val="single"/>
                    </w:rPr>
                  </w:pPr>
                </w:p>
              </w:tc>
              <w:tc>
                <w:tcPr>
                  <w:tcW w:w="901" w:type="dxa"/>
                  <w:tcBorders>
                    <w:tl2br w:val="nil"/>
                    <w:tr2bl w:val="nil"/>
                  </w:tcBorders>
                  <w:vAlign w:val="center"/>
                </w:tcPr>
                <w:p>
                  <w:pPr>
                    <w:pStyle w:val="48"/>
                    <w:spacing w:line="276" w:lineRule="auto"/>
                    <w:rPr>
                      <w:rFonts w:hint="eastAsia" w:ascii="Times New Roman" w:hAnsi="Times New Roman" w:eastAsia="宋体" w:cs="Times New Roman"/>
                      <w:kern w:val="0"/>
                      <w:sz w:val="21"/>
                      <w:szCs w:val="21"/>
                      <w:u w:val="single"/>
                      <w:lang w:val="en-US" w:eastAsia="zh-CN" w:bidi="ar-SA"/>
                    </w:rPr>
                  </w:pPr>
                  <w:r>
                    <w:rPr>
                      <w:rFonts w:hint="eastAsia"/>
                      <w:u w:val="single"/>
                    </w:rPr>
                    <w:t>第</w:t>
                  </w:r>
                  <w:r>
                    <w:rPr>
                      <w:rFonts w:hint="eastAsia"/>
                      <w:u w:val="single"/>
                      <w:lang w:val="en-US" w:eastAsia="zh-CN"/>
                    </w:rPr>
                    <w:t>4</w:t>
                  </w:r>
                  <w:r>
                    <w:rPr>
                      <w:rFonts w:hint="eastAsia"/>
                      <w:u w:val="single"/>
                    </w:rPr>
                    <w:t>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highlight w:val="none"/>
                      <w:u w:val="single"/>
                      <w:lang w:val="en-US" w:eastAsia="zh-CN" w:bidi="ar-SA"/>
                    </w:rPr>
                  </w:pPr>
                  <w:r>
                    <w:rPr>
                      <w:rFonts w:hint="eastAsia" w:ascii="Times New Roman" w:hAnsi="Times New Roman" w:eastAsia="宋体" w:cs="Times New Roman"/>
                      <w:color w:val="000000"/>
                      <w:kern w:val="2"/>
                      <w:sz w:val="21"/>
                      <w:szCs w:val="21"/>
                      <w:highlight w:val="none"/>
                      <w:u w:val="single"/>
                      <w:lang w:val="en-US" w:eastAsia="zh-CN" w:bidi="ar-SA"/>
                    </w:rPr>
                    <w:t>0.04</w:t>
                  </w:r>
                </w:p>
              </w:tc>
              <w:tc>
                <w:tcPr>
                  <w:tcW w:w="794" w:type="dxa"/>
                  <w:tcBorders>
                    <w:tl2br w:val="nil"/>
                    <w:tr2bl w:val="nil"/>
                  </w:tcBorders>
                  <w:vAlign w:val="center"/>
                </w:tcPr>
                <w:p>
                  <w:pPr>
                    <w:widowControl/>
                    <w:jc w:val="center"/>
                    <w:textAlignment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0.07</w:t>
                  </w:r>
                </w:p>
              </w:tc>
              <w:tc>
                <w:tcPr>
                  <w:tcW w:w="899"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c>
                <w:tcPr>
                  <w:tcW w:w="794" w:type="dxa"/>
                  <w:tcBorders>
                    <w:tl2br w:val="nil"/>
                    <w:tr2bl w:val="nil"/>
                  </w:tcBorders>
                  <w:vAlign w:val="center"/>
                </w:tcPr>
                <w:p>
                  <w:pPr>
                    <w:adjustRightInd w:val="0"/>
                    <w:spacing w:line="276" w:lineRule="auto"/>
                    <w:jc w:val="center"/>
                    <w:textAlignment w:val="baseline"/>
                    <w:rPr>
                      <w:rFonts w:hint="eastAsia"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restart"/>
                  <w:tcBorders>
                    <w:tl2br w:val="nil"/>
                    <w:tr2bl w:val="nil"/>
                  </w:tcBorders>
                  <w:vAlign w:val="center"/>
                </w:tcPr>
                <w:p>
                  <w:pPr>
                    <w:pStyle w:val="48"/>
                    <w:spacing w:line="276" w:lineRule="auto"/>
                    <w:rPr>
                      <w:u w:val="single"/>
                    </w:rPr>
                  </w:pPr>
                  <w:r>
                    <w:rPr>
                      <w:rFonts w:hint="eastAsia"/>
                      <w:u w:val="single"/>
                      <w:lang w:val="en-US" w:eastAsia="zh-CN"/>
                    </w:rPr>
                    <w:t>10.16</w:t>
                  </w:r>
                </w:p>
              </w:tc>
              <w:tc>
                <w:tcPr>
                  <w:tcW w:w="901" w:type="dxa"/>
                  <w:tcBorders>
                    <w:tl2br w:val="nil"/>
                    <w:tr2bl w:val="nil"/>
                  </w:tcBorders>
                  <w:vAlign w:val="center"/>
                </w:tcPr>
                <w:p>
                  <w:pPr>
                    <w:pStyle w:val="48"/>
                    <w:spacing w:line="276" w:lineRule="auto"/>
                    <w:rPr>
                      <w:rFonts w:hint="eastAsia" w:ascii="Times New Roman" w:hAnsi="Times New Roman" w:eastAsia="宋体" w:cs="Times New Roman"/>
                      <w:kern w:val="0"/>
                      <w:sz w:val="21"/>
                      <w:szCs w:val="21"/>
                      <w:u w:val="single"/>
                      <w:lang w:val="en-US" w:eastAsia="zh-CN" w:bidi="ar-SA"/>
                    </w:rPr>
                  </w:pPr>
                  <w:r>
                    <w:rPr>
                      <w:rFonts w:hint="eastAsia"/>
                      <w:u w:val="single"/>
                    </w:rPr>
                    <w:t>第1次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0.01</w:t>
                  </w:r>
                </w:p>
              </w:tc>
              <w:tc>
                <w:tcPr>
                  <w:tcW w:w="794" w:type="dxa"/>
                  <w:tcBorders>
                    <w:tl2br w:val="nil"/>
                    <w:tr2bl w:val="nil"/>
                  </w:tcBorders>
                  <w:vAlign w:val="center"/>
                </w:tcPr>
                <w:p>
                  <w:pPr>
                    <w:widowControl/>
                    <w:jc w:val="center"/>
                    <w:textAlignment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0.06</w:t>
                  </w:r>
                </w:p>
              </w:tc>
              <w:tc>
                <w:tcPr>
                  <w:tcW w:w="899" w:type="dxa"/>
                  <w:tcBorders>
                    <w:tl2br w:val="nil"/>
                    <w:tr2bl w:val="nil"/>
                  </w:tcBorders>
                  <w:vAlign w:val="center"/>
                </w:tcPr>
                <w:p>
                  <w:pPr>
                    <w:widowControl/>
                    <w:jc w:val="center"/>
                    <w:textAlignment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c>
                <w:tcPr>
                  <w:tcW w:w="794" w:type="dxa"/>
                  <w:tcBorders>
                    <w:tl2br w:val="nil"/>
                    <w:tr2bl w:val="nil"/>
                  </w:tcBorders>
                  <w:vAlign w:val="center"/>
                </w:tcPr>
                <w:p>
                  <w:pPr>
                    <w:adjustRightInd w:val="0"/>
                    <w:spacing w:line="276" w:lineRule="auto"/>
                    <w:jc w:val="center"/>
                    <w:textAlignment w:val="baseline"/>
                    <w:rPr>
                      <w:rFonts w:hint="eastAsia"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continue"/>
                  <w:tcBorders>
                    <w:tl2br w:val="nil"/>
                    <w:tr2bl w:val="nil"/>
                  </w:tcBorders>
                  <w:vAlign w:val="center"/>
                </w:tcPr>
                <w:p>
                  <w:pPr>
                    <w:pStyle w:val="48"/>
                    <w:spacing w:line="276" w:lineRule="auto"/>
                    <w:rPr>
                      <w:u w:val="single"/>
                    </w:rPr>
                  </w:pPr>
                </w:p>
              </w:tc>
              <w:tc>
                <w:tcPr>
                  <w:tcW w:w="901" w:type="dxa"/>
                  <w:tcBorders>
                    <w:tl2br w:val="nil"/>
                    <w:tr2bl w:val="nil"/>
                  </w:tcBorders>
                  <w:vAlign w:val="center"/>
                </w:tcPr>
                <w:p>
                  <w:pPr>
                    <w:pStyle w:val="48"/>
                    <w:spacing w:line="276" w:lineRule="auto"/>
                    <w:rPr>
                      <w:rFonts w:hint="eastAsia" w:ascii="Times New Roman" w:hAnsi="Times New Roman" w:eastAsia="宋体" w:cs="Times New Roman"/>
                      <w:kern w:val="0"/>
                      <w:sz w:val="21"/>
                      <w:szCs w:val="21"/>
                      <w:u w:val="single"/>
                      <w:lang w:val="en-US" w:eastAsia="zh-CN" w:bidi="ar-SA"/>
                    </w:rPr>
                  </w:pPr>
                  <w:r>
                    <w:rPr>
                      <w:rFonts w:hint="eastAsia"/>
                      <w:u w:val="single"/>
                    </w:rPr>
                    <w:t>第2次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0.01</w:t>
                  </w:r>
                </w:p>
              </w:tc>
              <w:tc>
                <w:tcPr>
                  <w:tcW w:w="794" w:type="dxa"/>
                  <w:tcBorders>
                    <w:tl2br w:val="nil"/>
                    <w:tr2bl w:val="nil"/>
                  </w:tcBorders>
                  <w:vAlign w:val="center"/>
                </w:tcPr>
                <w:p>
                  <w:pPr>
                    <w:widowControl/>
                    <w:jc w:val="center"/>
                    <w:textAlignment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0.08</w:t>
                  </w:r>
                </w:p>
              </w:tc>
              <w:tc>
                <w:tcPr>
                  <w:tcW w:w="899" w:type="dxa"/>
                  <w:tcBorders>
                    <w:tl2br w:val="nil"/>
                    <w:tr2bl w:val="nil"/>
                  </w:tcBorders>
                  <w:vAlign w:val="center"/>
                </w:tcPr>
                <w:p>
                  <w:pPr>
                    <w:widowControl/>
                    <w:jc w:val="center"/>
                    <w:textAlignment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c>
                <w:tcPr>
                  <w:tcW w:w="794" w:type="dxa"/>
                  <w:tcBorders>
                    <w:tl2br w:val="nil"/>
                    <w:tr2bl w:val="nil"/>
                  </w:tcBorders>
                  <w:vAlign w:val="center"/>
                </w:tcPr>
                <w:p>
                  <w:pPr>
                    <w:adjustRightInd w:val="0"/>
                    <w:spacing w:line="276" w:lineRule="auto"/>
                    <w:jc w:val="center"/>
                    <w:textAlignment w:val="baseline"/>
                    <w:rPr>
                      <w:rFonts w:hint="eastAsia"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continue"/>
                  <w:tcBorders>
                    <w:tl2br w:val="nil"/>
                    <w:tr2bl w:val="nil"/>
                  </w:tcBorders>
                  <w:vAlign w:val="center"/>
                </w:tcPr>
                <w:p>
                  <w:pPr>
                    <w:pStyle w:val="48"/>
                    <w:spacing w:line="276" w:lineRule="auto"/>
                    <w:rPr>
                      <w:u w:val="single"/>
                    </w:rPr>
                  </w:pPr>
                </w:p>
              </w:tc>
              <w:tc>
                <w:tcPr>
                  <w:tcW w:w="901" w:type="dxa"/>
                  <w:tcBorders>
                    <w:tl2br w:val="nil"/>
                    <w:tr2bl w:val="nil"/>
                  </w:tcBorders>
                  <w:vAlign w:val="center"/>
                </w:tcPr>
                <w:p>
                  <w:pPr>
                    <w:pStyle w:val="48"/>
                    <w:spacing w:line="276" w:lineRule="auto"/>
                    <w:rPr>
                      <w:rFonts w:hint="eastAsia" w:ascii="Times New Roman" w:hAnsi="Times New Roman" w:eastAsia="宋体" w:cs="Times New Roman"/>
                      <w:kern w:val="0"/>
                      <w:sz w:val="21"/>
                      <w:szCs w:val="21"/>
                      <w:u w:val="single"/>
                      <w:lang w:val="en-US" w:eastAsia="zh-CN" w:bidi="ar-SA"/>
                    </w:rPr>
                  </w:pPr>
                  <w:r>
                    <w:rPr>
                      <w:rFonts w:hint="eastAsia"/>
                      <w:u w:val="single"/>
                    </w:rPr>
                    <w:t>第3次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0.02</w:t>
                  </w:r>
                </w:p>
              </w:tc>
              <w:tc>
                <w:tcPr>
                  <w:tcW w:w="794" w:type="dxa"/>
                  <w:tcBorders>
                    <w:tl2br w:val="nil"/>
                    <w:tr2bl w:val="nil"/>
                  </w:tcBorders>
                  <w:vAlign w:val="center"/>
                </w:tcPr>
                <w:p>
                  <w:pPr>
                    <w:widowControl/>
                    <w:jc w:val="center"/>
                    <w:textAlignment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0.07</w:t>
                  </w:r>
                </w:p>
              </w:tc>
              <w:tc>
                <w:tcPr>
                  <w:tcW w:w="899" w:type="dxa"/>
                  <w:tcBorders>
                    <w:tl2br w:val="nil"/>
                    <w:tr2bl w:val="nil"/>
                  </w:tcBorders>
                  <w:vAlign w:val="center"/>
                </w:tcPr>
                <w:p>
                  <w:pPr>
                    <w:widowControl/>
                    <w:jc w:val="center"/>
                    <w:textAlignment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c>
                <w:tcPr>
                  <w:tcW w:w="794" w:type="dxa"/>
                  <w:tcBorders>
                    <w:tl2br w:val="nil"/>
                    <w:tr2bl w:val="nil"/>
                  </w:tcBorders>
                  <w:vAlign w:val="center"/>
                </w:tcPr>
                <w:p>
                  <w:pPr>
                    <w:adjustRightInd w:val="0"/>
                    <w:spacing w:line="276" w:lineRule="auto"/>
                    <w:jc w:val="center"/>
                    <w:textAlignment w:val="baseline"/>
                    <w:rPr>
                      <w:rFonts w:hint="eastAsia"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continue"/>
                  <w:tcBorders>
                    <w:tl2br w:val="nil"/>
                    <w:tr2bl w:val="nil"/>
                  </w:tcBorders>
                  <w:vAlign w:val="center"/>
                </w:tcPr>
                <w:p>
                  <w:pPr>
                    <w:pStyle w:val="48"/>
                    <w:spacing w:line="276" w:lineRule="auto"/>
                    <w:rPr>
                      <w:u w:val="single"/>
                    </w:rPr>
                  </w:pPr>
                </w:p>
              </w:tc>
              <w:tc>
                <w:tcPr>
                  <w:tcW w:w="901" w:type="dxa"/>
                  <w:tcBorders>
                    <w:tl2br w:val="nil"/>
                    <w:tr2bl w:val="nil"/>
                  </w:tcBorders>
                  <w:vAlign w:val="center"/>
                </w:tcPr>
                <w:p>
                  <w:pPr>
                    <w:pStyle w:val="48"/>
                    <w:spacing w:line="276" w:lineRule="auto"/>
                    <w:rPr>
                      <w:rFonts w:hint="eastAsia" w:ascii="Times New Roman" w:hAnsi="Times New Roman" w:eastAsia="宋体" w:cs="Times New Roman"/>
                      <w:kern w:val="0"/>
                      <w:sz w:val="21"/>
                      <w:szCs w:val="21"/>
                      <w:u w:val="single"/>
                      <w:lang w:val="en-US" w:eastAsia="zh-CN" w:bidi="ar-SA"/>
                    </w:rPr>
                  </w:pPr>
                  <w:r>
                    <w:rPr>
                      <w:rFonts w:hint="eastAsia"/>
                      <w:u w:val="single"/>
                    </w:rPr>
                    <w:t>第</w:t>
                  </w:r>
                  <w:r>
                    <w:rPr>
                      <w:rFonts w:hint="eastAsia"/>
                      <w:u w:val="single"/>
                      <w:lang w:val="en-US" w:eastAsia="zh-CN"/>
                    </w:rPr>
                    <w:t>4</w:t>
                  </w:r>
                  <w:r>
                    <w:rPr>
                      <w:rFonts w:hint="eastAsia"/>
                      <w:u w:val="single"/>
                    </w:rPr>
                    <w:t>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0.02</w:t>
                  </w:r>
                </w:p>
              </w:tc>
              <w:tc>
                <w:tcPr>
                  <w:tcW w:w="794" w:type="dxa"/>
                  <w:tcBorders>
                    <w:tl2br w:val="nil"/>
                    <w:tr2bl w:val="nil"/>
                  </w:tcBorders>
                  <w:vAlign w:val="center"/>
                </w:tcPr>
                <w:p>
                  <w:pPr>
                    <w:widowControl/>
                    <w:jc w:val="center"/>
                    <w:textAlignment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0.08</w:t>
                  </w:r>
                </w:p>
              </w:tc>
              <w:tc>
                <w:tcPr>
                  <w:tcW w:w="899"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c>
                <w:tcPr>
                  <w:tcW w:w="794" w:type="dxa"/>
                  <w:tcBorders>
                    <w:tl2br w:val="nil"/>
                    <w:tr2bl w:val="nil"/>
                  </w:tcBorders>
                  <w:vAlign w:val="center"/>
                </w:tcPr>
                <w:p>
                  <w:pPr>
                    <w:adjustRightInd w:val="0"/>
                    <w:spacing w:line="276" w:lineRule="auto"/>
                    <w:jc w:val="center"/>
                    <w:textAlignment w:val="baseline"/>
                    <w:rPr>
                      <w:rFonts w:hint="eastAsia"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restart"/>
                  <w:tcBorders>
                    <w:tl2br w:val="nil"/>
                    <w:tr2bl w:val="nil"/>
                  </w:tcBorders>
                  <w:vAlign w:val="center"/>
                </w:tcPr>
                <w:p>
                  <w:pPr>
                    <w:pStyle w:val="48"/>
                    <w:spacing w:line="276" w:lineRule="auto"/>
                    <w:rPr>
                      <w:u w:val="single"/>
                    </w:rPr>
                  </w:pPr>
                  <w:r>
                    <w:rPr>
                      <w:rFonts w:hint="eastAsia"/>
                      <w:u w:val="single"/>
                      <w:lang w:val="en-US" w:eastAsia="zh-CN"/>
                    </w:rPr>
                    <w:t>10.17</w:t>
                  </w:r>
                </w:p>
              </w:tc>
              <w:tc>
                <w:tcPr>
                  <w:tcW w:w="901" w:type="dxa"/>
                  <w:tcBorders>
                    <w:tl2br w:val="nil"/>
                    <w:tr2bl w:val="nil"/>
                  </w:tcBorders>
                  <w:vAlign w:val="center"/>
                </w:tcPr>
                <w:p>
                  <w:pPr>
                    <w:pStyle w:val="48"/>
                    <w:spacing w:line="276" w:lineRule="auto"/>
                    <w:rPr>
                      <w:rFonts w:hint="eastAsia" w:ascii="Times New Roman" w:hAnsi="Times New Roman" w:eastAsia="宋体" w:cs="Times New Roman"/>
                      <w:kern w:val="0"/>
                      <w:sz w:val="21"/>
                      <w:szCs w:val="21"/>
                      <w:u w:val="single"/>
                      <w:lang w:val="en-US" w:eastAsia="zh-CN" w:bidi="ar-SA"/>
                    </w:rPr>
                  </w:pPr>
                  <w:r>
                    <w:rPr>
                      <w:rFonts w:hint="eastAsia"/>
                      <w:u w:val="single"/>
                    </w:rPr>
                    <w:t>第1次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21"/>
                      <w:szCs w:val="21"/>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0.01</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21"/>
                      <w:szCs w:val="21"/>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0.05</w:t>
                  </w:r>
                </w:p>
              </w:tc>
              <w:tc>
                <w:tcPr>
                  <w:tcW w:w="899" w:type="dxa"/>
                  <w:tcBorders>
                    <w:tl2br w:val="nil"/>
                    <w:tr2bl w:val="nil"/>
                  </w:tcBorders>
                  <w:vAlign w:val="center"/>
                </w:tcPr>
                <w:p>
                  <w:pPr>
                    <w:widowControl/>
                    <w:jc w:val="center"/>
                    <w:textAlignment w:val="center"/>
                    <w:rPr>
                      <w:rFonts w:hint="default" w:ascii="Times New Roman" w:hAnsi="Times New Roman" w:eastAsia="宋体" w:cs="Times New Roman"/>
                      <w:kern w:val="0"/>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c>
                <w:tcPr>
                  <w:tcW w:w="794" w:type="dxa"/>
                  <w:tcBorders>
                    <w:tl2br w:val="nil"/>
                    <w:tr2bl w:val="nil"/>
                  </w:tcBorders>
                  <w:vAlign w:val="center"/>
                </w:tcPr>
                <w:p>
                  <w:pPr>
                    <w:adjustRightInd w:val="0"/>
                    <w:spacing w:line="276" w:lineRule="auto"/>
                    <w:jc w:val="center"/>
                    <w:textAlignment w:val="baseline"/>
                    <w:rPr>
                      <w:rFonts w:hint="eastAsia"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continue"/>
                  <w:tcBorders>
                    <w:tl2br w:val="nil"/>
                    <w:tr2bl w:val="nil"/>
                  </w:tcBorders>
                  <w:vAlign w:val="center"/>
                </w:tcPr>
                <w:p>
                  <w:pPr>
                    <w:pStyle w:val="48"/>
                    <w:spacing w:line="276" w:lineRule="auto"/>
                    <w:rPr>
                      <w:u w:val="single"/>
                    </w:rPr>
                  </w:pPr>
                </w:p>
              </w:tc>
              <w:tc>
                <w:tcPr>
                  <w:tcW w:w="901" w:type="dxa"/>
                  <w:tcBorders>
                    <w:tl2br w:val="nil"/>
                    <w:tr2bl w:val="nil"/>
                  </w:tcBorders>
                  <w:vAlign w:val="center"/>
                </w:tcPr>
                <w:p>
                  <w:pPr>
                    <w:pStyle w:val="48"/>
                    <w:spacing w:line="276" w:lineRule="auto"/>
                    <w:rPr>
                      <w:rFonts w:hint="eastAsia" w:ascii="Times New Roman" w:hAnsi="Times New Roman" w:eastAsia="宋体" w:cs="Times New Roman"/>
                      <w:kern w:val="0"/>
                      <w:sz w:val="21"/>
                      <w:szCs w:val="21"/>
                      <w:u w:val="single"/>
                      <w:lang w:val="en-US" w:eastAsia="zh-CN" w:bidi="ar-SA"/>
                    </w:rPr>
                  </w:pPr>
                  <w:r>
                    <w:rPr>
                      <w:rFonts w:hint="eastAsia"/>
                      <w:u w:val="single"/>
                    </w:rPr>
                    <w:t>第2次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21"/>
                      <w:szCs w:val="21"/>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0.02</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21"/>
                      <w:szCs w:val="21"/>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0.08</w:t>
                  </w:r>
                </w:p>
              </w:tc>
              <w:tc>
                <w:tcPr>
                  <w:tcW w:w="899" w:type="dxa"/>
                  <w:tcBorders>
                    <w:tl2br w:val="nil"/>
                    <w:tr2bl w:val="nil"/>
                  </w:tcBorders>
                  <w:vAlign w:val="center"/>
                </w:tcPr>
                <w:p>
                  <w:pPr>
                    <w:widowControl/>
                    <w:jc w:val="center"/>
                    <w:textAlignment w:val="center"/>
                    <w:rPr>
                      <w:rFonts w:hint="default" w:ascii="Times New Roman" w:hAnsi="Times New Roman" w:eastAsia="宋体" w:cs="Times New Roman"/>
                      <w:kern w:val="0"/>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c>
                <w:tcPr>
                  <w:tcW w:w="794" w:type="dxa"/>
                  <w:tcBorders>
                    <w:tl2br w:val="nil"/>
                    <w:tr2bl w:val="nil"/>
                  </w:tcBorders>
                  <w:vAlign w:val="center"/>
                </w:tcPr>
                <w:p>
                  <w:pPr>
                    <w:adjustRightInd w:val="0"/>
                    <w:spacing w:line="276" w:lineRule="auto"/>
                    <w:jc w:val="center"/>
                    <w:textAlignment w:val="baseline"/>
                    <w:rPr>
                      <w:rFonts w:hint="eastAsia"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continue"/>
                  <w:tcBorders>
                    <w:tl2br w:val="nil"/>
                    <w:tr2bl w:val="nil"/>
                  </w:tcBorders>
                  <w:vAlign w:val="center"/>
                </w:tcPr>
                <w:p>
                  <w:pPr>
                    <w:pStyle w:val="48"/>
                    <w:spacing w:line="276" w:lineRule="auto"/>
                    <w:rPr>
                      <w:u w:val="single"/>
                    </w:rPr>
                  </w:pPr>
                </w:p>
              </w:tc>
              <w:tc>
                <w:tcPr>
                  <w:tcW w:w="901" w:type="dxa"/>
                  <w:tcBorders>
                    <w:tl2br w:val="nil"/>
                    <w:tr2bl w:val="nil"/>
                  </w:tcBorders>
                  <w:vAlign w:val="center"/>
                </w:tcPr>
                <w:p>
                  <w:pPr>
                    <w:pStyle w:val="48"/>
                    <w:spacing w:line="276" w:lineRule="auto"/>
                    <w:rPr>
                      <w:rFonts w:hint="eastAsia" w:ascii="Times New Roman" w:hAnsi="Times New Roman" w:eastAsia="宋体" w:cs="Times New Roman"/>
                      <w:kern w:val="0"/>
                      <w:sz w:val="21"/>
                      <w:szCs w:val="21"/>
                      <w:u w:val="single"/>
                      <w:lang w:val="en-US" w:eastAsia="zh-CN" w:bidi="ar-SA"/>
                    </w:rPr>
                  </w:pPr>
                  <w:r>
                    <w:rPr>
                      <w:rFonts w:hint="eastAsia"/>
                      <w:u w:val="single"/>
                    </w:rPr>
                    <w:t>第3次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21"/>
                      <w:szCs w:val="21"/>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0.02</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21"/>
                      <w:szCs w:val="21"/>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0.06</w:t>
                  </w:r>
                </w:p>
              </w:tc>
              <w:tc>
                <w:tcPr>
                  <w:tcW w:w="899" w:type="dxa"/>
                  <w:tcBorders>
                    <w:tl2br w:val="nil"/>
                    <w:tr2bl w:val="nil"/>
                  </w:tcBorders>
                  <w:vAlign w:val="center"/>
                </w:tcPr>
                <w:p>
                  <w:pPr>
                    <w:widowControl/>
                    <w:jc w:val="center"/>
                    <w:textAlignment w:val="center"/>
                    <w:rPr>
                      <w:rFonts w:hint="default" w:ascii="Times New Roman" w:hAnsi="Times New Roman" w:eastAsia="宋体" w:cs="Times New Roman"/>
                      <w:kern w:val="0"/>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c>
                <w:tcPr>
                  <w:tcW w:w="794" w:type="dxa"/>
                  <w:tcBorders>
                    <w:tl2br w:val="nil"/>
                    <w:tr2bl w:val="nil"/>
                  </w:tcBorders>
                  <w:vAlign w:val="center"/>
                </w:tcPr>
                <w:p>
                  <w:pPr>
                    <w:adjustRightInd w:val="0"/>
                    <w:spacing w:line="276" w:lineRule="auto"/>
                    <w:jc w:val="center"/>
                    <w:textAlignment w:val="baseline"/>
                    <w:rPr>
                      <w:rFonts w:hint="eastAsia"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9" w:type="dxa"/>
                  <w:vMerge w:val="continue"/>
                  <w:tcBorders>
                    <w:tl2br w:val="nil"/>
                    <w:tr2bl w:val="nil"/>
                  </w:tcBorders>
                  <w:vAlign w:val="center"/>
                </w:tcPr>
                <w:p>
                  <w:pPr>
                    <w:pStyle w:val="48"/>
                    <w:spacing w:line="276" w:lineRule="auto"/>
                    <w:rPr>
                      <w:u w:val="single"/>
                    </w:rPr>
                  </w:pPr>
                </w:p>
              </w:tc>
              <w:tc>
                <w:tcPr>
                  <w:tcW w:w="966" w:type="dxa"/>
                  <w:vMerge w:val="continue"/>
                  <w:tcBorders>
                    <w:tl2br w:val="nil"/>
                    <w:tr2bl w:val="nil"/>
                  </w:tcBorders>
                  <w:vAlign w:val="center"/>
                </w:tcPr>
                <w:p>
                  <w:pPr>
                    <w:pStyle w:val="48"/>
                    <w:spacing w:line="276" w:lineRule="auto"/>
                    <w:rPr>
                      <w:u w:val="single"/>
                    </w:rPr>
                  </w:pPr>
                </w:p>
              </w:tc>
              <w:tc>
                <w:tcPr>
                  <w:tcW w:w="901" w:type="dxa"/>
                  <w:tcBorders>
                    <w:tl2br w:val="nil"/>
                    <w:tr2bl w:val="nil"/>
                  </w:tcBorders>
                  <w:vAlign w:val="center"/>
                </w:tcPr>
                <w:p>
                  <w:pPr>
                    <w:pStyle w:val="48"/>
                    <w:spacing w:line="276" w:lineRule="auto"/>
                    <w:rPr>
                      <w:rFonts w:hint="eastAsia" w:ascii="Times New Roman" w:hAnsi="Times New Roman" w:eastAsia="宋体" w:cs="Times New Roman"/>
                      <w:kern w:val="0"/>
                      <w:sz w:val="21"/>
                      <w:szCs w:val="21"/>
                      <w:u w:val="single"/>
                      <w:lang w:val="en-US" w:eastAsia="zh-CN" w:bidi="ar-SA"/>
                    </w:rPr>
                  </w:pPr>
                  <w:r>
                    <w:rPr>
                      <w:rFonts w:hint="eastAsia"/>
                      <w:u w:val="single"/>
                    </w:rPr>
                    <w:t>第</w:t>
                  </w:r>
                  <w:r>
                    <w:rPr>
                      <w:rFonts w:hint="eastAsia"/>
                      <w:u w:val="single"/>
                      <w:lang w:val="en-US" w:eastAsia="zh-CN"/>
                    </w:rPr>
                    <w:t>4</w:t>
                  </w:r>
                  <w:r>
                    <w:rPr>
                      <w:rFonts w:hint="eastAsia"/>
                      <w:u w:val="single"/>
                    </w:rPr>
                    <w:t>次</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0.01</w:t>
                  </w:r>
                </w:p>
              </w:tc>
              <w:tc>
                <w:tcPr>
                  <w:tcW w:w="794"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0.08</w:t>
                  </w:r>
                </w:p>
              </w:tc>
              <w:tc>
                <w:tcPr>
                  <w:tcW w:w="899"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0.001</w:t>
                  </w:r>
                </w:p>
              </w:tc>
              <w:tc>
                <w:tcPr>
                  <w:tcW w:w="953" w:type="dxa"/>
                  <w:tcBorders>
                    <w:tl2br w:val="nil"/>
                    <w:tr2bl w:val="nil"/>
                  </w:tcBorders>
                  <w:vAlign w:val="center"/>
                </w:tcPr>
                <w:p>
                  <w:pPr>
                    <w:adjustRightInd w:val="0"/>
                    <w:spacing w:line="276" w:lineRule="auto"/>
                    <w:jc w:val="center"/>
                    <w:textAlignment w:val="baseline"/>
                    <w:rPr>
                      <w:rFonts w:hint="default" w:ascii="Times New Roman" w:hAnsi="Times New Roman" w:eastAsia="宋体"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c>
                <w:tcPr>
                  <w:tcW w:w="794" w:type="dxa"/>
                  <w:tcBorders>
                    <w:tl2br w:val="nil"/>
                    <w:tr2bl w:val="nil"/>
                  </w:tcBorders>
                  <w:vAlign w:val="center"/>
                </w:tcPr>
                <w:p>
                  <w:pPr>
                    <w:adjustRightInd w:val="0"/>
                    <w:spacing w:line="276" w:lineRule="auto"/>
                    <w:jc w:val="center"/>
                    <w:textAlignment w:val="baseline"/>
                    <w:rPr>
                      <w:rFonts w:hint="eastAsia"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6" w:type="dxa"/>
                  <w:gridSpan w:val="3"/>
                  <w:tcBorders>
                    <w:tl2br w:val="nil"/>
                    <w:tr2bl w:val="nil"/>
                  </w:tcBorders>
                  <w:shd w:val="clear" w:color="auto" w:fill="auto"/>
                  <w:vAlign w:val="center"/>
                </w:tcPr>
                <w:p>
                  <w:pPr>
                    <w:pStyle w:val="48"/>
                    <w:spacing w:line="276" w:lineRule="auto"/>
                    <w:rPr>
                      <w:u w:val="single"/>
                    </w:rPr>
                  </w:pPr>
                  <w:r>
                    <w:rPr>
                      <w:u w:val="single"/>
                    </w:rPr>
                    <w:t>标准限值</w:t>
                  </w:r>
                </w:p>
              </w:tc>
              <w:tc>
                <w:tcPr>
                  <w:tcW w:w="794" w:type="dxa"/>
                  <w:tcBorders>
                    <w:tl2br w:val="nil"/>
                    <w:tr2bl w:val="nil"/>
                  </w:tcBorders>
                  <w:shd w:val="clear" w:color="auto" w:fill="auto"/>
                  <w:vAlign w:val="center"/>
                </w:tcPr>
                <w:p>
                  <w:pPr>
                    <w:pStyle w:val="48"/>
                    <w:spacing w:line="276" w:lineRule="auto"/>
                    <w:rPr>
                      <w:rFonts w:hint="default" w:eastAsia="宋体"/>
                      <w:u w:val="single"/>
                      <w:lang w:val="en-US" w:eastAsia="zh-CN"/>
                    </w:rPr>
                  </w:pPr>
                  <w:r>
                    <w:rPr>
                      <w:rFonts w:hint="eastAsia"/>
                      <w:u w:val="single"/>
                      <w:lang w:val="en-US" w:eastAsia="zh-CN"/>
                    </w:rPr>
                    <w:t>1.0</w:t>
                  </w:r>
                </w:p>
              </w:tc>
              <w:tc>
                <w:tcPr>
                  <w:tcW w:w="794" w:type="dxa"/>
                  <w:tcBorders>
                    <w:tl2br w:val="nil"/>
                    <w:tr2bl w:val="nil"/>
                  </w:tcBorders>
                  <w:shd w:val="clear" w:color="auto" w:fill="auto"/>
                  <w:vAlign w:val="center"/>
                </w:tcPr>
                <w:p>
                  <w:pPr>
                    <w:pStyle w:val="48"/>
                    <w:spacing w:line="276" w:lineRule="auto"/>
                    <w:rPr>
                      <w:rFonts w:hint="default" w:eastAsia="宋体"/>
                      <w:u w:val="single"/>
                      <w:lang w:val="en-US" w:eastAsia="zh-CN"/>
                    </w:rPr>
                  </w:pPr>
                  <w:r>
                    <w:rPr>
                      <w:rFonts w:hint="eastAsia"/>
                      <w:u w:val="single"/>
                    </w:rPr>
                    <w:t>0.</w:t>
                  </w:r>
                  <w:r>
                    <w:rPr>
                      <w:rFonts w:hint="eastAsia"/>
                      <w:u w:val="single"/>
                      <w:lang w:val="en-US" w:eastAsia="zh-CN"/>
                    </w:rPr>
                    <w:t>1</w:t>
                  </w:r>
                </w:p>
              </w:tc>
              <w:tc>
                <w:tcPr>
                  <w:tcW w:w="899" w:type="dxa"/>
                  <w:tcBorders>
                    <w:tl2br w:val="nil"/>
                    <w:tr2bl w:val="nil"/>
                  </w:tcBorders>
                  <w:shd w:val="clear" w:color="auto" w:fill="auto"/>
                  <w:vAlign w:val="center"/>
                </w:tcPr>
                <w:p>
                  <w:pPr>
                    <w:pStyle w:val="48"/>
                    <w:spacing w:line="276" w:lineRule="auto"/>
                    <w:rPr>
                      <w:u w:val="single"/>
                    </w:rPr>
                  </w:pPr>
                  <w:r>
                    <w:rPr>
                      <w:rFonts w:hint="default" w:ascii="Times New Roman" w:hAnsi="Times New Roman" w:eastAsia="宋体" w:cs="Times New Roman"/>
                      <w:color w:val="auto"/>
                      <w:kern w:val="2"/>
                      <w:sz w:val="21"/>
                      <w:szCs w:val="21"/>
                      <w:u w:val="single"/>
                      <w:lang w:val="en-US" w:eastAsia="zh-CN" w:bidi="ar-SA"/>
                    </w:rPr>
                    <w:t>﹤</w:t>
                  </w:r>
                  <w:r>
                    <w:rPr>
                      <w:rFonts w:hint="eastAsia" w:ascii="Times New Roman" w:hAnsi="Times New Roman" w:eastAsia="宋体" w:cs="Times New Roman"/>
                      <w:color w:val="auto"/>
                      <w:kern w:val="2"/>
                      <w:sz w:val="21"/>
                      <w:szCs w:val="21"/>
                      <w:u w:val="single"/>
                      <w:lang w:val="en-US" w:eastAsia="zh-CN" w:bidi="ar-SA"/>
                    </w:rPr>
                    <w:t>0.0</w:t>
                  </w:r>
                  <w:r>
                    <w:rPr>
                      <w:rFonts w:hint="eastAsia" w:cs="Times New Roman"/>
                      <w:color w:val="auto"/>
                      <w:kern w:val="2"/>
                      <w:sz w:val="21"/>
                      <w:szCs w:val="21"/>
                      <w:u w:val="single"/>
                      <w:lang w:val="en-US" w:eastAsia="zh-CN" w:bidi="ar-SA"/>
                    </w:rPr>
                    <w:t>3</w:t>
                  </w:r>
                </w:p>
              </w:tc>
              <w:tc>
                <w:tcPr>
                  <w:tcW w:w="953" w:type="dxa"/>
                  <w:tcBorders>
                    <w:tl2br w:val="nil"/>
                    <w:tr2bl w:val="nil"/>
                  </w:tcBorders>
                  <w:shd w:val="clear" w:color="auto" w:fill="auto"/>
                  <w:vAlign w:val="center"/>
                </w:tcPr>
                <w:p>
                  <w:pPr>
                    <w:pStyle w:val="48"/>
                    <w:spacing w:line="276" w:lineRule="auto"/>
                    <w:rPr>
                      <w:u w:val="single"/>
                    </w:rPr>
                  </w:pPr>
                  <w:r>
                    <w:rPr>
                      <w:rFonts w:hint="default" w:ascii="Times New Roman" w:hAnsi="Times New Roman" w:eastAsia="宋体" w:cs="Times New Roman"/>
                      <w:color w:val="auto"/>
                      <w:kern w:val="2"/>
                      <w:sz w:val="21"/>
                      <w:szCs w:val="21"/>
                      <w:highlight w:val="none"/>
                      <w:u w:val="single"/>
                      <w:lang w:val="en-US" w:eastAsia="zh-CN" w:bidi="ar-SA"/>
                    </w:rPr>
                    <w:t>10</w:t>
                  </w:r>
                </w:p>
              </w:tc>
              <w:tc>
                <w:tcPr>
                  <w:tcW w:w="794" w:type="dxa"/>
                  <w:tcBorders>
                    <w:tl2br w:val="nil"/>
                    <w:tr2bl w:val="nil"/>
                  </w:tcBorders>
                  <w:shd w:val="clear" w:color="auto" w:fill="auto"/>
                  <w:vAlign w:val="center"/>
                </w:tcPr>
                <w:p>
                  <w:pPr>
                    <w:pStyle w:val="48"/>
                    <w:spacing w:line="276" w:lineRule="auto"/>
                    <w:rPr>
                      <w:rFonts w:hint="default" w:ascii="Times New Roman" w:hAnsi="Times New Roman" w:eastAsia="宋体" w:cs="Times New Roman"/>
                      <w:color w:val="auto"/>
                      <w:kern w:val="2"/>
                      <w:sz w:val="21"/>
                      <w:szCs w:val="21"/>
                      <w:highlight w:val="none"/>
                      <w:u w:val="single"/>
                      <w:lang w:val="en-US" w:eastAsia="zh-CN" w:bidi="ar-SA"/>
                    </w:rPr>
                  </w:pPr>
                  <w:r>
                    <w:rPr>
                      <w:rFonts w:hint="eastAsia" w:cs="Times New Roman"/>
                      <w:color w:val="auto"/>
                      <w:kern w:val="2"/>
                      <w:sz w:val="21"/>
                      <w:szCs w:val="21"/>
                      <w:highlight w:val="none"/>
                      <w:u w:val="singl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6" w:type="dxa"/>
                  <w:gridSpan w:val="3"/>
                  <w:tcBorders>
                    <w:tl2br w:val="nil"/>
                    <w:tr2bl w:val="nil"/>
                  </w:tcBorders>
                  <w:vAlign w:val="center"/>
                </w:tcPr>
                <w:p>
                  <w:pPr>
                    <w:pStyle w:val="48"/>
                    <w:spacing w:line="276" w:lineRule="auto"/>
                    <w:rPr>
                      <w:u w:val="single"/>
                    </w:rPr>
                  </w:pPr>
                  <w:r>
                    <w:rPr>
                      <w:u w:val="single"/>
                    </w:rPr>
                    <w:t>是否达标</w:t>
                  </w:r>
                </w:p>
              </w:tc>
              <w:tc>
                <w:tcPr>
                  <w:tcW w:w="794" w:type="dxa"/>
                  <w:tcBorders>
                    <w:tl2br w:val="nil"/>
                    <w:tr2bl w:val="nil"/>
                  </w:tcBorders>
                  <w:vAlign w:val="center"/>
                </w:tcPr>
                <w:p>
                  <w:pPr>
                    <w:pStyle w:val="48"/>
                    <w:spacing w:line="276" w:lineRule="auto"/>
                    <w:rPr>
                      <w:u w:val="single"/>
                    </w:rPr>
                  </w:pPr>
                  <w:r>
                    <w:rPr>
                      <w:u w:val="single"/>
                    </w:rPr>
                    <w:t>是</w:t>
                  </w:r>
                </w:p>
              </w:tc>
              <w:tc>
                <w:tcPr>
                  <w:tcW w:w="794" w:type="dxa"/>
                  <w:tcBorders>
                    <w:tl2br w:val="nil"/>
                    <w:tr2bl w:val="nil"/>
                  </w:tcBorders>
                  <w:vAlign w:val="center"/>
                </w:tcPr>
                <w:p>
                  <w:pPr>
                    <w:pStyle w:val="48"/>
                    <w:spacing w:line="276" w:lineRule="auto"/>
                    <w:rPr>
                      <w:u w:val="single"/>
                    </w:rPr>
                  </w:pPr>
                  <w:r>
                    <w:rPr>
                      <w:u w:val="single"/>
                    </w:rPr>
                    <w:t>是</w:t>
                  </w:r>
                </w:p>
              </w:tc>
              <w:tc>
                <w:tcPr>
                  <w:tcW w:w="899" w:type="dxa"/>
                  <w:tcBorders>
                    <w:tl2br w:val="nil"/>
                    <w:tr2bl w:val="nil"/>
                  </w:tcBorders>
                  <w:vAlign w:val="center"/>
                </w:tcPr>
                <w:p>
                  <w:pPr>
                    <w:pStyle w:val="48"/>
                    <w:spacing w:line="276" w:lineRule="auto"/>
                    <w:rPr>
                      <w:u w:val="single"/>
                    </w:rPr>
                  </w:pPr>
                  <w:r>
                    <w:rPr>
                      <w:u w:val="single"/>
                    </w:rPr>
                    <w:t>是</w:t>
                  </w:r>
                </w:p>
              </w:tc>
              <w:tc>
                <w:tcPr>
                  <w:tcW w:w="953" w:type="dxa"/>
                  <w:tcBorders>
                    <w:tl2br w:val="nil"/>
                    <w:tr2bl w:val="nil"/>
                  </w:tcBorders>
                  <w:vAlign w:val="center"/>
                </w:tcPr>
                <w:p>
                  <w:pPr>
                    <w:pStyle w:val="48"/>
                    <w:spacing w:line="276" w:lineRule="auto"/>
                    <w:rPr>
                      <w:u w:val="single"/>
                    </w:rPr>
                  </w:pPr>
                  <w:r>
                    <w:rPr>
                      <w:u w:val="single"/>
                    </w:rPr>
                    <w:t>是</w:t>
                  </w:r>
                </w:p>
              </w:tc>
              <w:tc>
                <w:tcPr>
                  <w:tcW w:w="794" w:type="dxa"/>
                  <w:tcBorders>
                    <w:tl2br w:val="nil"/>
                    <w:tr2bl w:val="nil"/>
                  </w:tcBorders>
                  <w:vAlign w:val="center"/>
                </w:tcPr>
                <w:p>
                  <w:pPr>
                    <w:pStyle w:val="48"/>
                    <w:spacing w:line="276" w:lineRule="auto"/>
                    <w:rPr>
                      <w:u w:val="single"/>
                    </w:rPr>
                  </w:pPr>
                  <w:r>
                    <w:rPr>
                      <w:u w:val="single"/>
                    </w:rPr>
                    <w:t>是</w:t>
                  </w:r>
                </w:p>
              </w:tc>
            </w:tr>
          </w:tbl>
          <w:p>
            <w:pPr>
              <w:pStyle w:val="7"/>
              <w:ind w:firstLine="480"/>
              <w:rPr>
                <w:color w:val="auto"/>
                <w:u w:val="none"/>
              </w:rPr>
            </w:pPr>
            <w:r>
              <w:rPr>
                <w:u w:val="none"/>
              </w:rPr>
              <w:t>从</w:t>
            </w:r>
            <w:r>
              <w:rPr>
                <w:rFonts w:hint="eastAsia"/>
                <w:u w:val="none"/>
              </w:rPr>
              <w:t>上</w:t>
            </w:r>
            <w:r>
              <w:rPr>
                <w:u w:val="none"/>
              </w:rPr>
              <w:t>表可以看出，</w:t>
            </w:r>
            <w:r>
              <w:rPr>
                <w:rFonts w:hint="eastAsia"/>
                <w:u w:val="none"/>
              </w:rPr>
              <w:t>卫生院污水处理站废气污</w:t>
            </w:r>
            <w:r>
              <w:rPr>
                <w:u w:val="none"/>
              </w:rPr>
              <w:t>染因子均达到《医疗机构水污染物排放标准》</w:t>
            </w:r>
            <w:r>
              <w:rPr>
                <w:rFonts w:hint="eastAsia"/>
                <w:u w:val="none"/>
                <w:lang w:eastAsia="zh-CN"/>
              </w:rPr>
              <w:t>（</w:t>
            </w:r>
            <w:r>
              <w:rPr>
                <w:u w:val="none"/>
              </w:rPr>
              <w:t>GB18466-2005</w:t>
            </w:r>
            <w:r>
              <w:rPr>
                <w:rFonts w:hint="eastAsia"/>
                <w:u w:val="none"/>
                <w:lang w:eastAsia="zh-CN"/>
              </w:rPr>
              <w:t>）</w:t>
            </w:r>
            <w:r>
              <w:rPr>
                <w:u w:val="none"/>
              </w:rPr>
              <w:t>表</w:t>
            </w:r>
            <w:r>
              <w:rPr>
                <w:rFonts w:hint="eastAsia"/>
                <w:u w:val="none"/>
              </w:rPr>
              <w:t>3</w:t>
            </w:r>
            <w:r>
              <w:rPr>
                <w:rFonts w:hint="eastAsia"/>
                <w:color w:val="auto"/>
                <w:u w:val="none"/>
                <w:lang w:eastAsia="zh-CN"/>
              </w:rPr>
              <w:t>污水处理站周边大气污染物最高允许浓度要求</w:t>
            </w:r>
            <w:r>
              <w:rPr>
                <w:rFonts w:hint="eastAsia"/>
                <w:color w:val="auto"/>
                <w:u w:val="none"/>
              </w:rPr>
              <w:t>。</w:t>
            </w:r>
          </w:p>
          <w:p>
            <w:pPr>
              <w:pStyle w:val="7"/>
              <w:ind w:firstLine="480"/>
            </w:pPr>
            <w:r>
              <w:rPr>
                <w:rFonts w:hint="eastAsia"/>
              </w:rPr>
              <w:t>（3）噪声</w:t>
            </w:r>
          </w:p>
          <w:p>
            <w:pPr>
              <w:pStyle w:val="7"/>
              <w:ind w:firstLine="480"/>
            </w:pPr>
            <w:r>
              <w:rPr>
                <w:rFonts w:hint="eastAsia"/>
              </w:rPr>
              <w:t>本项目噪声源主要为污水处理站风机、水泵、空调外机等产生的设备噪声以及人群活动产生的生活噪声。</w:t>
            </w:r>
          </w:p>
          <w:p>
            <w:pPr>
              <w:pStyle w:val="49"/>
              <w:shd w:val="clear"/>
              <w:rPr>
                <w:u w:val="single"/>
              </w:rPr>
            </w:pPr>
            <w:r>
              <w:rPr>
                <w:rFonts w:hint="eastAsia"/>
                <w:u w:val="single"/>
              </w:rPr>
              <w:t>表2.3-4</w:t>
            </w:r>
            <w:r>
              <w:rPr>
                <w:u w:val="single"/>
              </w:rPr>
              <w:t>废噪声监测结果表[dB(A)]</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1214"/>
              <w:gridCol w:w="1120"/>
              <w:gridCol w:w="1118"/>
              <w:gridCol w:w="1277"/>
              <w:gridCol w:w="482"/>
              <w:gridCol w:w="636"/>
              <w:gridCol w:w="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77" w:type="pct"/>
                  <w:vMerge w:val="restart"/>
                  <w:tcBorders>
                    <w:tl2br w:val="nil"/>
                    <w:tr2bl w:val="nil"/>
                  </w:tcBorders>
                  <w:vAlign w:val="center"/>
                </w:tcPr>
                <w:p>
                  <w:pPr>
                    <w:pStyle w:val="48"/>
                    <w:spacing w:line="276" w:lineRule="auto"/>
                    <w:rPr>
                      <w:u w:val="single"/>
                    </w:rPr>
                  </w:pPr>
                  <w:r>
                    <w:rPr>
                      <w:u w:val="single"/>
                    </w:rPr>
                    <w:t>监测点位</w:t>
                  </w:r>
                </w:p>
              </w:tc>
              <w:tc>
                <w:tcPr>
                  <w:tcW w:w="3011" w:type="pct"/>
                  <w:gridSpan w:val="4"/>
                  <w:tcBorders>
                    <w:tl2br w:val="nil"/>
                    <w:tr2bl w:val="nil"/>
                  </w:tcBorders>
                  <w:vAlign w:val="center"/>
                </w:tcPr>
                <w:p>
                  <w:pPr>
                    <w:pStyle w:val="48"/>
                    <w:spacing w:line="276" w:lineRule="auto"/>
                    <w:rPr>
                      <w:u w:val="single"/>
                    </w:rPr>
                  </w:pPr>
                  <w:r>
                    <w:rPr>
                      <w:rFonts w:hint="eastAsia"/>
                      <w:u w:val="single"/>
                    </w:rPr>
                    <w:t>检测结果</w:t>
                  </w:r>
                </w:p>
              </w:tc>
              <w:tc>
                <w:tcPr>
                  <w:tcW w:w="712" w:type="pct"/>
                  <w:gridSpan w:val="2"/>
                  <w:vMerge w:val="restart"/>
                  <w:tcBorders>
                    <w:tl2br w:val="nil"/>
                    <w:tr2bl w:val="nil"/>
                  </w:tcBorders>
                  <w:vAlign w:val="center"/>
                </w:tcPr>
                <w:p>
                  <w:pPr>
                    <w:pStyle w:val="48"/>
                    <w:spacing w:line="276" w:lineRule="auto"/>
                    <w:rPr>
                      <w:u w:val="single"/>
                    </w:rPr>
                  </w:pPr>
                  <w:r>
                    <w:rPr>
                      <w:rFonts w:hint="eastAsia"/>
                      <w:u w:val="single"/>
                    </w:rPr>
                    <w:t>检测限值</w:t>
                  </w:r>
                </w:p>
              </w:tc>
              <w:tc>
                <w:tcPr>
                  <w:tcW w:w="298" w:type="pct"/>
                  <w:vMerge w:val="restart"/>
                  <w:tcBorders>
                    <w:tl2br w:val="nil"/>
                    <w:tr2bl w:val="nil"/>
                  </w:tcBorders>
                  <w:vAlign w:val="center"/>
                </w:tcPr>
                <w:p>
                  <w:pPr>
                    <w:pStyle w:val="48"/>
                    <w:spacing w:line="276" w:lineRule="auto"/>
                    <w:rPr>
                      <w:u w:val="single"/>
                    </w:rPr>
                  </w:pPr>
                  <w:r>
                    <w:rPr>
                      <w:rFonts w:hint="eastAsia"/>
                      <w:u w:val="singl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77" w:type="pct"/>
                  <w:vMerge w:val="continue"/>
                  <w:tcBorders>
                    <w:tl2br w:val="nil"/>
                    <w:tr2bl w:val="nil"/>
                  </w:tcBorders>
                  <w:vAlign w:val="center"/>
                </w:tcPr>
                <w:p>
                  <w:pPr>
                    <w:pStyle w:val="48"/>
                    <w:spacing w:line="276" w:lineRule="auto"/>
                    <w:rPr>
                      <w:u w:val="single"/>
                    </w:rPr>
                  </w:pPr>
                </w:p>
              </w:tc>
              <w:tc>
                <w:tcPr>
                  <w:tcW w:w="1486" w:type="pct"/>
                  <w:gridSpan w:val="2"/>
                  <w:tcBorders>
                    <w:tl2br w:val="nil"/>
                    <w:tr2bl w:val="nil"/>
                  </w:tcBorders>
                  <w:vAlign w:val="center"/>
                </w:tcPr>
                <w:p>
                  <w:pPr>
                    <w:jc w:val="center"/>
                    <w:rPr>
                      <w:sz w:val="21"/>
                      <w:szCs w:val="21"/>
                      <w:u w:val="single"/>
                    </w:rPr>
                  </w:pPr>
                  <w:r>
                    <w:rPr>
                      <w:rFonts w:hint="eastAsia"/>
                      <w:sz w:val="21"/>
                      <w:szCs w:val="21"/>
                      <w:u w:val="single"/>
                    </w:rPr>
                    <w:t>2023.</w:t>
                  </w:r>
                  <w:r>
                    <w:rPr>
                      <w:rFonts w:hint="eastAsia"/>
                      <w:sz w:val="21"/>
                      <w:szCs w:val="21"/>
                      <w:u w:val="single"/>
                      <w:lang w:val="en-US" w:eastAsia="zh-CN"/>
                    </w:rPr>
                    <w:t>10</w:t>
                  </w:r>
                  <w:r>
                    <w:rPr>
                      <w:rFonts w:hint="eastAsia"/>
                      <w:sz w:val="21"/>
                      <w:szCs w:val="21"/>
                      <w:u w:val="single"/>
                    </w:rPr>
                    <w:t>.</w:t>
                  </w:r>
                  <w:r>
                    <w:rPr>
                      <w:rFonts w:hint="eastAsia"/>
                      <w:sz w:val="21"/>
                      <w:szCs w:val="21"/>
                      <w:u w:val="single"/>
                      <w:lang w:val="en-US" w:eastAsia="zh-CN"/>
                    </w:rPr>
                    <w:t>1</w:t>
                  </w:r>
                  <w:r>
                    <w:rPr>
                      <w:rFonts w:hint="eastAsia"/>
                      <w:sz w:val="21"/>
                      <w:szCs w:val="21"/>
                      <w:u w:val="single"/>
                    </w:rPr>
                    <w:t>5</w:t>
                  </w:r>
                </w:p>
              </w:tc>
              <w:tc>
                <w:tcPr>
                  <w:tcW w:w="1524" w:type="pct"/>
                  <w:gridSpan w:val="2"/>
                  <w:tcBorders>
                    <w:tl2br w:val="nil"/>
                    <w:tr2bl w:val="nil"/>
                  </w:tcBorders>
                  <w:vAlign w:val="center"/>
                </w:tcPr>
                <w:p>
                  <w:pPr>
                    <w:jc w:val="center"/>
                    <w:rPr>
                      <w:sz w:val="21"/>
                      <w:szCs w:val="21"/>
                      <w:u w:val="single"/>
                    </w:rPr>
                  </w:pPr>
                  <w:r>
                    <w:rPr>
                      <w:rFonts w:hint="eastAsia"/>
                      <w:sz w:val="21"/>
                      <w:szCs w:val="21"/>
                      <w:u w:val="single"/>
                    </w:rPr>
                    <w:t>2023.</w:t>
                  </w:r>
                  <w:r>
                    <w:rPr>
                      <w:rFonts w:hint="eastAsia"/>
                      <w:sz w:val="21"/>
                      <w:szCs w:val="21"/>
                      <w:u w:val="single"/>
                      <w:lang w:val="en-US" w:eastAsia="zh-CN"/>
                    </w:rPr>
                    <w:t>10</w:t>
                  </w:r>
                  <w:r>
                    <w:rPr>
                      <w:rFonts w:hint="eastAsia"/>
                      <w:sz w:val="21"/>
                      <w:szCs w:val="21"/>
                      <w:u w:val="single"/>
                    </w:rPr>
                    <w:t>.</w:t>
                  </w:r>
                  <w:r>
                    <w:rPr>
                      <w:rFonts w:hint="eastAsia"/>
                      <w:sz w:val="21"/>
                      <w:szCs w:val="21"/>
                      <w:u w:val="single"/>
                      <w:lang w:val="en-US" w:eastAsia="zh-CN"/>
                    </w:rPr>
                    <w:t>1</w:t>
                  </w:r>
                  <w:r>
                    <w:rPr>
                      <w:rFonts w:hint="eastAsia"/>
                      <w:sz w:val="21"/>
                      <w:szCs w:val="21"/>
                      <w:u w:val="single"/>
                    </w:rPr>
                    <w:t>6</w:t>
                  </w:r>
                </w:p>
              </w:tc>
              <w:tc>
                <w:tcPr>
                  <w:tcW w:w="712" w:type="pct"/>
                  <w:gridSpan w:val="2"/>
                  <w:vMerge w:val="continue"/>
                  <w:tcBorders>
                    <w:tl2br w:val="nil"/>
                    <w:tr2bl w:val="nil"/>
                  </w:tcBorders>
                  <w:vAlign w:val="center"/>
                </w:tcPr>
                <w:p>
                  <w:pPr>
                    <w:pStyle w:val="48"/>
                    <w:spacing w:line="276" w:lineRule="auto"/>
                    <w:rPr>
                      <w:u w:val="single"/>
                    </w:rPr>
                  </w:pPr>
                </w:p>
              </w:tc>
              <w:tc>
                <w:tcPr>
                  <w:tcW w:w="298" w:type="pct"/>
                  <w:vMerge w:val="continue"/>
                  <w:tcBorders>
                    <w:tl2br w:val="nil"/>
                    <w:tr2bl w:val="nil"/>
                  </w:tcBorders>
                  <w:vAlign w:val="center"/>
                </w:tcPr>
                <w:p>
                  <w:pPr>
                    <w:pStyle w:val="48"/>
                    <w:spacing w:line="276" w:lineRule="auto"/>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77" w:type="pct"/>
                  <w:vMerge w:val="continue"/>
                  <w:tcBorders>
                    <w:tl2br w:val="nil"/>
                    <w:tr2bl w:val="nil"/>
                  </w:tcBorders>
                  <w:vAlign w:val="center"/>
                </w:tcPr>
                <w:p>
                  <w:pPr>
                    <w:pStyle w:val="48"/>
                    <w:spacing w:line="276" w:lineRule="auto"/>
                    <w:rPr>
                      <w:u w:val="single"/>
                    </w:rPr>
                  </w:pPr>
                </w:p>
              </w:tc>
              <w:tc>
                <w:tcPr>
                  <w:tcW w:w="773" w:type="pct"/>
                  <w:tcBorders>
                    <w:tl2br w:val="nil"/>
                    <w:tr2bl w:val="nil"/>
                  </w:tcBorders>
                  <w:vAlign w:val="center"/>
                </w:tcPr>
                <w:p>
                  <w:pPr>
                    <w:pStyle w:val="48"/>
                    <w:spacing w:line="276" w:lineRule="auto"/>
                    <w:rPr>
                      <w:u w:val="single"/>
                    </w:rPr>
                  </w:pPr>
                  <w:r>
                    <w:rPr>
                      <w:u w:val="single"/>
                    </w:rPr>
                    <w:t>昼间</w:t>
                  </w:r>
                </w:p>
              </w:tc>
              <w:tc>
                <w:tcPr>
                  <w:tcW w:w="713" w:type="pct"/>
                  <w:tcBorders>
                    <w:tl2br w:val="nil"/>
                    <w:tr2bl w:val="nil"/>
                  </w:tcBorders>
                  <w:vAlign w:val="center"/>
                </w:tcPr>
                <w:p>
                  <w:pPr>
                    <w:pStyle w:val="48"/>
                    <w:spacing w:line="276" w:lineRule="auto"/>
                    <w:rPr>
                      <w:u w:val="single"/>
                    </w:rPr>
                  </w:pPr>
                  <w:r>
                    <w:rPr>
                      <w:u w:val="single"/>
                    </w:rPr>
                    <w:t>夜间</w:t>
                  </w:r>
                </w:p>
              </w:tc>
              <w:tc>
                <w:tcPr>
                  <w:tcW w:w="712" w:type="pct"/>
                  <w:tcBorders>
                    <w:tl2br w:val="nil"/>
                    <w:tr2bl w:val="nil"/>
                  </w:tcBorders>
                  <w:vAlign w:val="center"/>
                </w:tcPr>
                <w:p>
                  <w:pPr>
                    <w:pStyle w:val="48"/>
                    <w:spacing w:line="276" w:lineRule="auto"/>
                    <w:rPr>
                      <w:u w:val="single"/>
                    </w:rPr>
                  </w:pPr>
                  <w:r>
                    <w:rPr>
                      <w:u w:val="single"/>
                    </w:rPr>
                    <w:t>昼间</w:t>
                  </w:r>
                </w:p>
              </w:tc>
              <w:tc>
                <w:tcPr>
                  <w:tcW w:w="812" w:type="pct"/>
                  <w:tcBorders>
                    <w:tl2br w:val="nil"/>
                    <w:tr2bl w:val="nil"/>
                  </w:tcBorders>
                  <w:vAlign w:val="center"/>
                </w:tcPr>
                <w:p>
                  <w:pPr>
                    <w:pStyle w:val="48"/>
                    <w:spacing w:line="276" w:lineRule="auto"/>
                    <w:rPr>
                      <w:u w:val="single"/>
                    </w:rPr>
                  </w:pPr>
                  <w:r>
                    <w:rPr>
                      <w:u w:val="single"/>
                    </w:rPr>
                    <w:t>夜间</w:t>
                  </w:r>
                </w:p>
              </w:tc>
              <w:tc>
                <w:tcPr>
                  <w:tcW w:w="307" w:type="pct"/>
                  <w:tcBorders>
                    <w:tl2br w:val="nil"/>
                    <w:tr2bl w:val="nil"/>
                  </w:tcBorders>
                  <w:vAlign w:val="center"/>
                </w:tcPr>
                <w:p>
                  <w:pPr>
                    <w:pStyle w:val="48"/>
                    <w:spacing w:line="276" w:lineRule="auto"/>
                    <w:rPr>
                      <w:u w:val="single"/>
                    </w:rPr>
                  </w:pPr>
                  <w:r>
                    <w:rPr>
                      <w:u w:val="single"/>
                    </w:rPr>
                    <w:t>昼间</w:t>
                  </w:r>
                </w:p>
              </w:tc>
              <w:tc>
                <w:tcPr>
                  <w:tcW w:w="404" w:type="pct"/>
                  <w:tcBorders>
                    <w:tl2br w:val="nil"/>
                    <w:tr2bl w:val="nil"/>
                  </w:tcBorders>
                  <w:vAlign w:val="center"/>
                </w:tcPr>
                <w:p>
                  <w:pPr>
                    <w:pStyle w:val="48"/>
                    <w:spacing w:line="276" w:lineRule="auto"/>
                    <w:rPr>
                      <w:u w:val="single"/>
                    </w:rPr>
                  </w:pPr>
                  <w:r>
                    <w:rPr>
                      <w:u w:val="single"/>
                    </w:rPr>
                    <w:t>夜间</w:t>
                  </w:r>
                </w:p>
              </w:tc>
              <w:tc>
                <w:tcPr>
                  <w:tcW w:w="298" w:type="pct"/>
                  <w:vMerge w:val="continue"/>
                  <w:tcBorders>
                    <w:tl2br w:val="nil"/>
                    <w:tr2bl w:val="nil"/>
                  </w:tcBorders>
                  <w:vAlign w:val="center"/>
                </w:tcPr>
                <w:p>
                  <w:pPr>
                    <w:pStyle w:val="48"/>
                    <w:spacing w:line="276" w:lineRule="auto"/>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pct"/>
                  <w:tcBorders>
                    <w:tl2br w:val="nil"/>
                    <w:tr2bl w:val="nil"/>
                  </w:tcBorders>
                  <w:vAlign w:val="center"/>
                </w:tcPr>
                <w:p>
                  <w:pPr>
                    <w:pStyle w:val="48"/>
                    <w:spacing w:line="276" w:lineRule="auto"/>
                    <w:rPr>
                      <w:u w:val="single"/>
                    </w:rPr>
                  </w:pPr>
                  <w:r>
                    <w:rPr>
                      <w:u w:val="single"/>
                    </w:rPr>
                    <w:t>N1</w:t>
                  </w:r>
                  <w:r>
                    <w:rPr>
                      <w:rFonts w:hint="eastAsia"/>
                      <w:u w:val="single"/>
                    </w:rPr>
                    <w:t>厂界东侧</w:t>
                  </w:r>
                </w:p>
              </w:tc>
              <w:tc>
                <w:tcPr>
                  <w:tcW w:w="773" w:type="pct"/>
                  <w:tcBorders>
                    <w:tl2br w:val="nil"/>
                    <w:tr2bl w:val="nil"/>
                  </w:tcBorders>
                  <w:vAlign w:val="center"/>
                </w:tcPr>
                <w:p>
                  <w:pPr>
                    <w:jc w:val="center"/>
                    <w:rPr>
                      <w:rFonts w:hint="default" w:eastAsia="宋体"/>
                      <w:sz w:val="21"/>
                      <w:szCs w:val="21"/>
                      <w:u w:val="single"/>
                      <w:lang w:val="en-US" w:eastAsia="zh-CN"/>
                    </w:rPr>
                  </w:pPr>
                  <w:r>
                    <w:rPr>
                      <w:rFonts w:hint="eastAsia"/>
                      <w:sz w:val="21"/>
                      <w:szCs w:val="21"/>
                      <w:u w:val="single"/>
                      <w:lang w:val="en-US" w:eastAsia="zh-CN"/>
                    </w:rPr>
                    <w:t>55</w:t>
                  </w:r>
                </w:p>
              </w:tc>
              <w:tc>
                <w:tcPr>
                  <w:tcW w:w="713" w:type="pct"/>
                  <w:tcBorders>
                    <w:tl2br w:val="nil"/>
                    <w:tr2bl w:val="nil"/>
                  </w:tcBorders>
                  <w:vAlign w:val="center"/>
                </w:tcPr>
                <w:p>
                  <w:pPr>
                    <w:jc w:val="center"/>
                    <w:rPr>
                      <w:rFonts w:hint="default" w:eastAsia="宋体"/>
                      <w:sz w:val="21"/>
                      <w:szCs w:val="21"/>
                      <w:u w:val="single"/>
                      <w:lang w:val="en-US" w:eastAsia="zh-CN"/>
                    </w:rPr>
                  </w:pPr>
                  <w:r>
                    <w:rPr>
                      <w:rFonts w:hint="eastAsia"/>
                      <w:sz w:val="21"/>
                      <w:szCs w:val="21"/>
                      <w:u w:val="single"/>
                      <w:lang w:val="en-US" w:eastAsia="zh-CN"/>
                    </w:rPr>
                    <w:t>42</w:t>
                  </w:r>
                </w:p>
              </w:tc>
              <w:tc>
                <w:tcPr>
                  <w:tcW w:w="712" w:type="pct"/>
                  <w:tcBorders>
                    <w:tl2br w:val="nil"/>
                    <w:tr2bl w:val="nil"/>
                  </w:tcBorders>
                  <w:vAlign w:val="center"/>
                </w:tcPr>
                <w:p>
                  <w:pPr>
                    <w:jc w:val="center"/>
                    <w:rPr>
                      <w:rFonts w:hint="default" w:eastAsia="宋体"/>
                      <w:sz w:val="21"/>
                      <w:szCs w:val="21"/>
                      <w:u w:val="single"/>
                      <w:lang w:val="en-US" w:eastAsia="zh-CN"/>
                    </w:rPr>
                  </w:pPr>
                  <w:r>
                    <w:rPr>
                      <w:rFonts w:hint="eastAsia"/>
                      <w:sz w:val="21"/>
                      <w:szCs w:val="21"/>
                      <w:u w:val="single"/>
                      <w:lang w:val="en-US" w:eastAsia="zh-CN"/>
                    </w:rPr>
                    <w:t>58</w:t>
                  </w:r>
                </w:p>
              </w:tc>
              <w:tc>
                <w:tcPr>
                  <w:tcW w:w="812" w:type="pct"/>
                  <w:tcBorders>
                    <w:tl2br w:val="nil"/>
                    <w:tr2bl w:val="nil"/>
                  </w:tcBorders>
                  <w:vAlign w:val="center"/>
                </w:tcPr>
                <w:p>
                  <w:pPr>
                    <w:jc w:val="center"/>
                    <w:rPr>
                      <w:rFonts w:hint="default" w:eastAsia="宋体"/>
                      <w:sz w:val="21"/>
                      <w:szCs w:val="21"/>
                      <w:u w:val="single"/>
                      <w:lang w:val="en-US" w:eastAsia="zh-CN"/>
                    </w:rPr>
                  </w:pPr>
                  <w:r>
                    <w:rPr>
                      <w:rFonts w:hint="eastAsia"/>
                      <w:sz w:val="21"/>
                      <w:szCs w:val="21"/>
                      <w:u w:val="single"/>
                      <w:lang w:val="en-US" w:eastAsia="zh-CN"/>
                    </w:rPr>
                    <w:t>44</w:t>
                  </w:r>
                </w:p>
              </w:tc>
              <w:tc>
                <w:tcPr>
                  <w:tcW w:w="307" w:type="pct"/>
                  <w:vMerge w:val="restart"/>
                  <w:tcBorders>
                    <w:tl2br w:val="nil"/>
                    <w:tr2bl w:val="nil"/>
                  </w:tcBorders>
                  <w:vAlign w:val="center"/>
                </w:tcPr>
                <w:p>
                  <w:pPr>
                    <w:pStyle w:val="48"/>
                    <w:spacing w:line="276" w:lineRule="auto"/>
                    <w:rPr>
                      <w:u w:val="single"/>
                    </w:rPr>
                  </w:pPr>
                  <w:r>
                    <w:rPr>
                      <w:rFonts w:hint="eastAsia"/>
                      <w:u w:val="single"/>
                    </w:rPr>
                    <w:t>60</w:t>
                  </w:r>
                </w:p>
              </w:tc>
              <w:tc>
                <w:tcPr>
                  <w:tcW w:w="404" w:type="pct"/>
                  <w:vMerge w:val="restart"/>
                  <w:tcBorders>
                    <w:tl2br w:val="nil"/>
                    <w:tr2bl w:val="nil"/>
                  </w:tcBorders>
                  <w:vAlign w:val="center"/>
                </w:tcPr>
                <w:p>
                  <w:pPr>
                    <w:pStyle w:val="48"/>
                    <w:spacing w:line="276" w:lineRule="auto"/>
                    <w:rPr>
                      <w:u w:val="single"/>
                    </w:rPr>
                  </w:pPr>
                  <w:r>
                    <w:rPr>
                      <w:rFonts w:hint="eastAsia"/>
                      <w:u w:val="single"/>
                    </w:rPr>
                    <w:t>50</w:t>
                  </w:r>
                </w:p>
              </w:tc>
              <w:tc>
                <w:tcPr>
                  <w:tcW w:w="298" w:type="pct"/>
                  <w:tcBorders>
                    <w:tl2br w:val="nil"/>
                    <w:tr2bl w:val="nil"/>
                  </w:tcBorders>
                  <w:vAlign w:val="center"/>
                </w:tcPr>
                <w:p>
                  <w:pPr>
                    <w:adjustRightInd w:val="0"/>
                    <w:spacing w:line="276" w:lineRule="auto"/>
                    <w:jc w:val="center"/>
                    <w:textAlignment w:val="baseline"/>
                    <w:rPr>
                      <w:sz w:val="21"/>
                      <w:szCs w:val="21"/>
                      <w:u w:val="single"/>
                    </w:rPr>
                  </w:pPr>
                  <w:r>
                    <w:rPr>
                      <w:rFonts w:hint="eastAsia"/>
                      <w:sz w:val="21"/>
                      <w:szCs w:val="21"/>
                      <w:u w:val="singl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pct"/>
                  <w:tcBorders>
                    <w:tl2br w:val="nil"/>
                    <w:tr2bl w:val="nil"/>
                  </w:tcBorders>
                  <w:vAlign w:val="center"/>
                </w:tcPr>
                <w:p>
                  <w:pPr>
                    <w:pStyle w:val="48"/>
                    <w:spacing w:line="276" w:lineRule="auto"/>
                    <w:rPr>
                      <w:u w:val="single"/>
                    </w:rPr>
                  </w:pPr>
                  <w:r>
                    <w:rPr>
                      <w:u w:val="single"/>
                    </w:rPr>
                    <w:t>N2厂界</w:t>
                  </w:r>
                  <w:r>
                    <w:rPr>
                      <w:rFonts w:hint="eastAsia"/>
                      <w:u w:val="single"/>
                    </w:rPr>
                    <w:t>南</w:t>
                  </w:r>
                  <w:r>
                    <w:rPr>
                      <w:u w:val="single"/>
                    </w:rPr>
                    <w:t>侧</w:t>
                  </w:r>
                </w:p>
              </w:tc>
              <w:tc>
                <w:tcPr>
                  <w:tcW w:w="773" w:type="pct"/>
                  <w:tcBorders>
                    <w:tl2br w:val="nil"/>
                    <w:tr2bl w:val="nil"/>
                  </w:tcBorders>
                  <w:vAlign w:val="center"/>
                </w:tcPr>
                <w:p>
                  <w:pPr>
                    <w:jc w:val="center"/>
                    <w:rPr>
                      <w:rFonts w:hint="default" w:eastAsia="宋体"/>
                      <w:sz w:val="21"/>
                      <w:szCs w:val="21"/>
                      <w:u w:val="single"/>
                      <w:lang w:val="en-US" w:eastAsia="zh-CN"/>
                    </w:rPr>
                  </w:pPr>
                  <w:r>
                    <w:rPr>
                      <w:rFonts w:hint="eastAsia"/>
                      <w:sz w:val="21"/>
                      <w:szCs w:val="21"/>
                      <w:u w:val="single"/>
                      <w:lang w:val="en-US" w:eastAsia="zh-CN"/>
                    </w:rPr>
                    <w:t>54</w:t>
                  </w:r>
                </w:p>
              </w:tc>
              <w:tc>
                <w:tcPr>
                  <w:tcW w:w="713" w:type="pct"/>
                  <w:tcBorders>
                    <w:tl2br w:val="nil"/>
                    <w:tr2bl w:val="nil"/>
                  </w:tcBorders>
                  <w:vAlign w:val="center"/>
                </w:tcPr>
                <w:p>
                  <w:pPr>
                    <w:jc w:val="center"/>
                    <w:rPr>
                      <w:rFonts w:hint="default" w:eastAsia="宋体"/>
                      <w:sz w:val="21"/>
                      <w:szCs w:val="21"/>
                      <w:u w:val="single"/>
                      <w:lang w:val="en-US" w:eastAsia="zh-CN"/>
                    </w:rPr>
                  </w:pPr>
                  <w:r>
                    <w:rPr>
                      <w:rFonts w:hint="eastAsia"/>
                      <w:sz w:val="21"/>
                      <w:szCs w:val="21"/>
                      <w:u w:val="single"/>
                      <w:lang w:val="en-US" w:eastAsia="zh-CN"/>
                    </w:rPr>
                    <w:t>46</w:t>
                  </w:r>
                </w:p>
              </w:tc>
              <w:tc>
                <w:tcPr>
                  <w:tcW w:w="712" w:type="pct"/>
                  <w:tcBorders>
                    <w:tl2br w:val="nil"/>
                    <w:tr2bl w:val="nil"/>
                  </w:tcBorders>
                  <w:vAlign w:val="center"/>
                </w:tcPr>
                <w:p>
                  <w:pPr>
                    <w:jc w:val="center"/>
                    <w:rPr>
                      <w:rFonts w:hint="default" w:eastAsia="宋体"/>
                      <w:sz w:val="21"/>
                      <w:szCs w:val="21"/>
                      <w:u w:val="single"/>
                      <w:lang w:val="en-US" w:eastAsia="zh-CN"/>
                    </w:rPr>
                  </w:pPr>
                  <w:r>
                    <w:rPr>
                      <w:rFonts w:hint="eastAsia"/>
                      <w:sz w:val="21"/>
                      <w:szCs w:val="21"/>
                      <w:u w:val="single"/>
                      <w:lang w:val="en-US" w:eastAsia="zh-CN"/>
                    </w:rPr>
                    <w:t>50</w:t>
                  </w:r>
                </w:p>
              </w:tc>
              <w:tc>
                <w:tcPr>
                  <w:tcW w:w="812" w:type="pct"/>
                  <w:tcBorders>
                    <w:tl2br w:val="nil"/>
                    <w:tr2bl w:val="nil"/>
                  </w:tcBorders>
                  <w:vAlign w:val="center"/>
                </w:tcPr>
                <w:p>
                  <w:pPr>
                    <w:jc w:val="center"/>
                    <w:rPr>
                      <w:rFonts w:hint="default" w:eastAsia="宋体"/>
                      <w:sz w:val="21"/>
                      <w:szCs w:val="21"/>
                      <w:u w:val="single"/>
                      <w:lang w:val="en-US" w:eastAsia="zh-CN"/>
                    </w:rPr>
                  </w:pPr>
                  <w:r>
                    <w:rPr>
                      <w:rFonts w:hint="eastAsia"/>
                      <w:sz w:val="21"/>
                      <w:szCs w:val="21"/>
                      <w:u w:val="single"/>
                      <w:lang w:val="en-US" w:eastAsia="zh-CN"/>
                    </w:rPr>
                    <w:t>46</w:t>
                  </w:r>
                </w:p>
              </w:tc>
              <w:tc>
                <w:tcPr>
                  <w:tcW w:w="307" w:type="pct"/>
                  <w:vMerge w:val="continue"/>
                  <w:tcBorders>
                    <w:tl2br w:val="nil"/>
                    <w:tr2bl w:val="nil"/>
                  </w:tcBorders>
                  <w:vAlign w:val="center"/>
                </w:tcPr>
                <w:p>
                  <w:pPr>
                    <w:pStyle w:val="48"/>
                    <w:spacing w:line="276" w:lineRule="auto"/>
                    <w:rPr>
                      <w:u w:val="single"/>
                    </w:rPr>
                  </w:pPr>
                </w:p>
              </w:tc>
              <w:tc>
                <w:tcPr>
                  <w:tcW w:w="404" w:type="pct"/>
                  <w:vMerge w:val="continue"/>
                  <w:tcBorders>
                    <w:tl2br w:val="nil"/>
                    <w:tr2bl w:val="nil"/>
                  </w:tcBorders>
                  <w:vAlign w:val="center"/>
                </w:tcPr>
                <w:p>
                  <w:pPr>
                    <w:pStyle w:val="48"/>
                    <w:spacing w:line="276" w:lineRule="auto"/>
                    <w:rPr>
                      <w:u w:val="single"/>
                    </w:rPr>
                  </w:pPr>
                </w:p>
              </w:tc>
              <w:tc>
                <w:tcPr>
                  <w:tcW w:w="298" w:type="pct"/>
                  <w:tcBorders>
                    <w:tl2br w:val="nil"/>
                    <w:tr2bl w:val="nil"/>
                  </w:tcBorders>
                  <w:vAlign w:val="center"/>
                </w:tcPr>
                <w:p>
                  <w:pPr>
                    <w:adjustRightInd w:val="0"/>
                    <w:spacing w:line="276" w:lineRule="auto"/>
                    <w:jc w:val="center"/>
                    <w:textAlignment w:val="baseline"/>
                    <w:rPr>
                      <w:sz w:val="21"/>
                      <w:szCs w:val="21"/>
                      <w:u w:val="single"/>
                    </w:rPr>
                  </w:pPr>
                  <w:r>
                    <w:rPr>
                      <w:rFonts w:hint="eastAsia"/>
                      <w:sz w:val="21"/>
                      <w:szCs w:val="21"/>
                      <w:u w:val="singl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pct"/>
                  <w:tcBorders>
                    <w:tl2br w:val="nil"/>
                    <w:tr2bl w:val="nil"/>
                  </w:tcBorders>
                  <w:vAlign w:val="center"/>
                </w:tcPr>
                <w:p>
                  <w:pPr>
                    <w:pStyle w:val="48"/>
                    <w:spacing w:line="276" w:lineRule="auto"/>
                    <w:rPr>
                      <w:u w:val="single"/>
                    </w:rPr>
                  </w:pPr>
                  <w:r>
                    <w:rPr>
                      <w:u w:val="single"/>
                    </w:rPr>
                    <w:t>N3厂界西</w:t>
                  </w:r>
                  <w:r>
                    <w:rPr>
                      <w:rFonts w:hint="eastAsia"/>
                      <w:u w:val="single"/>
                    </w:rPr>
                    <w:t>侧</w:t>
                  </w:r>
                </w:p>
              </w:tc>
              <w:tc>
                <w:tcPr>
                  <w:tcW w:w="773" w:type="pct"/>
                  <w:tcBorders>
                    <w:tl2br w:val="nil"/>
                    <w:tr2bl w:val="nil"/>
                  </w:tcBorders>
                  <w:vAlign w:val="center"/>
                </w:tcPr>
                <w:p>
                  <w:pPr>
                    <w:jc w:val="center"/>
                    <w:rPr>
                      <w:rFonts w:hint="default" w:eastAsia="宋体"/>
                      <w:sz w:val="21"/>
                      <w:szCs w:val="21"/>
                      <w:u w:val="single"/>
                      <w:lang w:val="en-US" w:eastAsia="zh-CN"/>
                    </w:rPr>
                  </w:pPr>
                  <w:r>
                    <w:rPr>
                      <w:rFonts w:hint="eastAsia"/>
                      <w:sz w:val="21"/>
                      <w:szCs w:val="21"/>
                      <w:u w:val="single"/>
                      <w:lang w:val="en-US" w:eastAsia="zh-CN"/>
                    </w:rPr>
                    <w:t>55</w:t>
                  </w:r>
                </w:p>
              </w:tc>
              <w:tc>
                <w:tcPr>
                  <w:tcW w:w="713" w:type="pct"/>
                  <w:tcBorders>
                    <w:tl2br w:val="nil"/>
                    <w:tr2bl w:val="nil"/>
                  </w:tcBorders>
                  <w:vAlign w:val="center"/>
                </w:tcPr>
                <w:p>
                  <w:pPr>
                    <w:jc w:val="center"/>
                    <w:rPr>
                      <w:rFonts w:hint="default" w:eastAsia="宋体"/>
                      <w:sz w:val="21"/>
                      <w:szCs w:val="21"/>
                      <w:u w:val="single"/>
                      <w:lang w:val="en-US" w:eastAsia="zh-CN"/>
                    </w:rPr>
                  </w:pPr>
                  <w:r>
                    <w:rPr>
                      <w:rFonts w:hint="eastAsia"/>
                      <w:sz w:val="21"/>
                      <w:szCs w:val="21"/>
                      <w:u w:val="single"/>
                      <w:lang w:val="en-US" w:eastAsia="zh-CN"/>
                    </w:rPr>
                    <w:t>45</w:t>
                  </w:r>
                </w:p>
              </w:tc>
              <w:tc>
                <w:tcPr>
                  <w:tcW w:w="712" w:type="pct"/>
                  <w:tcBorders>
                    <w:tl2br w:val="nil"/>
                    <w:tr2bl w:val="nil"/>
                  </w:tcBorders>
                  <w:vAlign w:val="center"/>
                </w:tcPr>
                <w:p>
                  <w:pPr>
                    <w:jc w:val="center"/>
                    <w:rPr>
                      <w:rFonts w:hint="default" w:eastAsia="宋体"/>
                      <w:sz w:val="21"/>
                      <w:szCs w:val="21"/>
                      <w:u w:val="single"/>
                      <w:lang w:val="en-US" w:eastAsia="zh-CN"/>
                    </w:rPr>
                  </w:pPr>
                  <w:r>
                    <w:rPr>
                      <w:rFonts w:hint="eastAsia"/>
                      <w:sz w:val="21"/>
                      <w:szCs w:val="21"/>
                      <w:u w:val="single"/>
                      <w:lang w:val="en-US" w:eastAsia="zh-CN"/>
                    </w:rPr>
                    <w:t>52</w:t>
                  </w:r>
                </w:p>
              </w:tc>
              <w:tc>
                <w:tcPr>
                  <w:tcW w:w="812" w:type="pct"/>
                  <w:tcBorders>
                    <w:tl2br w:val="nil"/>
                    <w:tr2bl w:val="nil"/>
                  </w:tcBorders>
                  <w:vAlign w:val="center"/>
                </w:tcPr>
                <w:p>
                  <w:pPr>
                    <w:jc w:val="center"/>
                    <w:rPr>
                      <w:rFonts w:hint="default" w:eastAsia="宋体"/>
                      <w:sz w:val="21"/>
                      <w:szCs w:val="21"/>
                      <w:u w:val="single"/>
                      <w:lang w:val="en-US" w:eastAsia="zh-CN"/>
                    </w:rPr>
                  </w:pPr>
                  <w:r>
                    <w:rPr>
                      <w:rFonts w:hint="eastAsia"/>
                      <w:sz w:val="21"/>
                      <w:szCs w:val="21"/>
                      <w:u w:val="single"/>
                      <w:lang w:val="en-US" w:eastAsia="zh-CN"/>
                    </w:rPr>
                    <w:t>46</w:t>
                  </w:r>
                </w:p>
              </w:tc>
              <w:tc>
                <w:tcPr>
                  <w:tcW w:w="307" w:type="pct"/>
                  <w:vMerge w:val="continue"/>
                  <w:tcBorders>
                    <w:tl2br w:val="nil"/>
                    <w:tr2bl w:val="nil"/>
                  </w:tcBorders>
                  <w:vAlign w:val="center"/>
                </w:tcPr>
                <w:p>
                  <w:pPr>
                    <w:pStyle w:val="48"/>
                    <w:spacing w:line="276" w:lineRule="auto"/>
                    <w:rPr>
                      <w:u w:val="single"/>
                    </w:rPr>
                  </w:pPr>
                </w:p>
              </w:tc>
              <w:tc>
                <w:tcPr>
                  <w:tcW w:w="404" w:type="pct"/>
                  <w:vMerge w:val="continue"/>
                  <w:tcBorders>
                    <w:tl2br w:val="nil"/>
                    <w:tr2bl w:val="nil"/>
                  </w:tcBorders>
                  <w:vAlign w:val="center"/>
                </w:tcPr>
                <w:p>
                  <w:pPr>
                    <w:pStyle w:val="48"/>
                    <w:spacing w:line="276" w:lineRule="auto"/>
                    <w:rPr>
                      <w:u w:val="single"/>
                    </w:rPr>
                  </w:pPr>
                </w:p>
              </w:tc>
              <w:tc>
                <w:tcPr>
                  <w:tcW w:w="298" w:type="pct"/>
                  <w:tcBorders>
                    <w:tl2br w:val="nil"/>
                    <w:tr2bl w:val="nil"/>
                  </w:tcBorders>
                  <w:vAlign w:val="center"/>
                </w:tcPr>
                <w:p>
                  <w:pPr>
                    <w:adjustRightInd w:val="0"/>
                    <w:spacing w:line="276" w:lineRule="auto"/>
                    <w:jc w:val="center"/>
                    <w:textAlignment w:val="baseline"/>
                    <w:rPr>
                      <w:sz w:val="21"/>
                      <w:szCs w:val="21"/>
                      <w:u w:val="single"/>
                    </w:rPr>
                  </w:pPr>
                  <w:r>
                    <w:rPr>
                      <w:rFonts w:hint="eastAsia"/>
                      <w:sz w:val="21"/>
                      <w:szCs w:val="21"/>
                      <w:u w:val="singl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pct"/>
                  <w:tcBorders>
                    <w:tl2br w:val="nil"/>
                    <w:tr2bl w:val="nil"/>
                  </w:tcBorders>
                  <w:vAlign w:val="center"/>
                </w:tcPr>
                <w:p>
                  <w:pPr>
                    <w:pStyle w:val="48"/>
                    <w:spacing w:line="276" w:lineRule="auto"/>
                    <w:rPr>
                      <w:u w:val="single"/>
                    </w:rPr>
                  </w:pPr>
                  <w:r>
                    <w:rPr>
                      <w:u w:val="single"/>
                    </w:rPr>
                    <w:t>N4厂界北侧</w:t>
                  </w:r>
                </w:p>
              </w:tc>
              <w:tc>
                <w:tcPr>
                  <w:tcW w:w="773" w:type="pct"/>
                  <w:tcBorders>
                    <w:tl2br w:val="nil"/>
                    <w:tr2bl w:val="nil"/>
                  </w:tcBorders>
                  <w:vAlign w:val="center"/>
                </w:tcPr>
                <w:p>
                  <w:pPr>
                    <w:jc w:val="center"/>
                    <w:rPr>
                      <w:rFonts w:hint="default" w:eastAsia="宋体"/>
                      <w:sz w:val="21"/>
                      <w:szCs w:val="21"/>
                      <w:u w:val="single"/>
                      <w:lang w:val="en-US" w:eastAsia="zh-CN"/>
                    </w:rPr>
                  </w:pPr>
                  <w:r>
                    <w:rPr>
                      <w:rFonts w:hint="eastAsia"/>
                      <w:sz w:val="21"/>
                      <w:szCs w:val="21"/>
                      <w:u w:val="single"/>
                      <w:lang w:val="en-US" w:eastAsia="zh-CN"/>
                    </w:rPr>
                    <w:t>55</w:t>
                  </w:r>
                </w:p>
              </w:tc>
              <w:tc>
                <w:tcPr>
                  <w:tcW w:w="713" w:type="pct"/>
                  <w:tcBorders>
                    <w:tl2br w:val="nil"/>
                    <w:tr2bl w:val="nil"/>
                  </w:tcBorders>
                  <w:vAlign w:val="center"/>
                </w:tcPr>
                <w:p>
                  <w:pPr>
                    <w:jc w:val="center"/>
                    <w:rPr>
                      <w:rFonts w:hint="default" w:eastAsia="宋体"/>
                      <w:sz w:val="21"/>
                      <w:szCs w:val="21"/>
                      <w:u w:val="single"/>
                      <w:lang w:val="en-US" w:eastAsia="zh-CN"/>
                    </w:rPr>
                  </w:pPr>
                  <w:r>
                    <w:rPr>
                      <w:rFonts w:hint="eastAsia"/>
                      <w:sz w:val="21"/>
                      <w:szCs w:val="21"/>
                      <w:u w:val="single"/>
                      <w:lang w:val="en-US" w:eastAsia="zh-CN"/>
                    </w:rPr>
                    <w:t>43</w:t>
                  </w:r>
                </w:p>
              </w:tc>
              <w:tc>
                <w:tcPr>
                  <w:tcW w:w="712" w:type="pct"/>
                  <w:tcBorders>
                    <w:tl2br w:val="nil"/>
                    <w:tr2bl w:val="nil"/>
                  </w:tcBorders>
                  <w:vAlign w:val="center"/>
                </w:tcPr>
                <w:p>
                  <w:pPr>
                    <w:jc w:val="center"/>
                    <w:rPr>
                      <w:rFonts w:hint="default" w:eastAsia="宋体"/>
                      <w:sz w:val="21"/>
                      <w:szCs w:val="21"/>
                      <w:u w:val="single"/>
                      <w:lang w:val="en-US" w:eastAsia="zh-CN"/>
                    </w:rPr>
                  </w:pPr>
                  <w:r>
                    <w:rPr>
                      <w:rFonts w:hint="eastAsia"/>
                      <w:sz w:val="21"/>
                      <w:szCs w:val="21"/>
                      <w:u w:val="single"/>
                      <w:lang w:val="en-US" w:eastAsia="zh-CN"/>
                    </w:rPr>
                    <w:t>49</w:t>
                  </w:r>
                </w:p>
              </w:tc>
              <w:tc>
                <w:tcPr>
                  <w:tcW w:w="812" w:type="pct"/>
                  <w:tcBorders>
                    <w:tl2br w:val="nil"/>
                    <w:tr2bl w:val="nil"/>
                  </w:tcBorders>
                  <w:vAlign w:val="center"/>
                </w:tcPr>
                <w:p>
                  <w:pPr>
                    <w:jc w:val="center"/>
                    <w:rPr>
                      <w:rFonts w:hint="default" w:eastAsia="宋体"/>
                      <w:sz w:val="21"/>
                      <w:szCs w:val="21"/>
                      <w:u w:val="single"/>
                      <w:lang w:val="en-US" w:eastAsia="zh-CN"/>
                    </w:rPr>
                  </w:pPr>
                  <w:r>
                    <w:rPr>
                      <w:rFonts w:hint="eastAsia"/>
                      <w:sz w:val="21"/>
                      <w:szCs w:val="21"/>
                      <w:u w:val="single"/>
                      <w:lang w:val="en-US" w:eastAsia="zh-CN"/>
                    </w:rPr>
                    <w:t>46</w:t>
                  </w:r>
                </w:p>
              </w:tc>
              <w:tc>
                <w:tcPr>
                  <w:tcW w:w="307" w:type="pct"/>
                  <w:vMerge w:val="continue"/>
                  <w:tcBorders>
                    <w:tl2br w:val="nil"/>
                    <w:tr2bl w:val="nil"/>
                  </w:tcBorders>
                  <w:vAlign w:val="center"/>
                </w:tcPr>
                <w:p>
                  <w:pPr>
                    <w:pStyle w:val="48"/>
                    <w:spacing w:line="276" w:lineRule="auto"/>
                    <w:rPr>
                      <w:u w:val="single"/>
                    </w:rPr>
                  </w:pPr>
                </w:p>
              </w:tc>
              <w:tc>
                <w:tcPr>
                  <w:tcW w:w="404" w:type="pct"/>
                  <w:vMerge w:val="continue"/>
                  <w:tcBorders>
                    <w:tl2br w:val="nil"/>
                    <w:tr2bl w:val="nil"/>
                  </w:tcBorders>
                  <w:vAlign w:val="center"/>
                </w:tcPr>
                <w:p>
                  <w:pPr>
                    <w:pStyle w:val="48"/>
                    <w:spacing w:line="276" w:lineRule="auto"/>
                    <w:rPr>
                      <w:u w:val="single"/>
                    </w:rPr>
                  </w:pPr>
                </w:p>
              </w:tc>
              <w:tc>
                <w:tcPr>
                  <w:tcW w:w="298" w:type="pct"/>
                  <w:tcBorders>
                    <w:tl2br w:val="nil"/>
                    <w:tr2bl w:val="nil"/>
                  </w:tcBorders>
                  <w:vAlign w:val="center"/>
                </w:tcPr>
                <w:p>
                  <w:pPr>
                    <w:adjustRightInd w:val="0"/>
                    <w:spacing w:line="276" w:lineRule="auto"/>
                    <w:jc w:val="center"/>
                    <w:textAlignment w:val="baseline"/>
                    <w:rPr>
                      <w:sz w:val="21"/>
                      <w:szCs w:val="21"/>
                      <w:u w:val="single"/>
                    </w:rPr>
                  </w:pPr>
                  <w:r>
                    <w:rPr>
                      <w:rFonts w:hint="eastAsia"/>
                      <w:sz w:val="21"/>
                      <w:szCs w:val="21"/>
                      <w:u w:val="singl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pct"/>
                  <w:tcBorders>
                    <w:tl2br w:val="nil"/>
                    <w:tr2bl w:val="nil"/>
                  </w:tcBorders>
                  <w:vAlign w:val="center"/>
                </w:tcPr>
                <w:p>
                  <w:pPr>
                    <w:pStyle w:val="48"/>
                    <w:spacing w:line="276" w:lineRule="auto"/>
                    <w:rPr>
                      <w:u w:val="single"/>
                    </w:rPr>
                  </w:pPr>
                  <w:r>
                    <w:rPr>
                      <w:rFonts w:hint="eastAsia" w:ascii="Times New Roman" w:hAnsi="Times New Roman" w:eastAsia="宋体" w:cs="Times New Roman"/>
                      <w:b w:val="0"/>
                      <w:bCs w:val="0"/>
                      <w:color w:val="auto"/>
                      <w:sz w:val="21"/>
                      <w:szCs w:val="21"/>
                      <w:u w:val="single"/>
                      <w:shd w:val="clear" w:color="auto"/>
                      <w:lang w:eastAsia="zh-CN"/>
                    </w:rPr>
                    <w:t>N</w:t>
                  </w:r>
                  <w:r>
                    <w:rPr>
                      <w:rFonts w:hint="eastAsia" w:ascii="Times New Roman" w:hAnsi="Times New Roman" w:eastAsia="宋体" w:cs="Times New Roman"/>
                      <w:b w:val="0"/>
                      <w:bCs w:val="0"/>
                      <w:color w:val="auto"/>
                      <w:sz w:val="21"/>
                      <w:szCs w:val="21"/>
                      <w:u w:val="single"/>
                      <w:shd w:val="clear" w:color="auto"/>
                      <w:lang w:val="en-US" w:eastAsia="zh-CN"/>
                    </w:rPr>
                    <w:t>5</w:t>
                  </w:r>
                  <w:r>
                    <w:rPr>
                      <w:rFonts w:hint="eastAsia" w:ascii="Times New Roman" w:hAnsi="Times New Roman" w:eastAsia="宋体" w:cs="Times New Roman"/>
                      <w:b w:val="0"/>
                      <w:bCs w:val="0"/>
                      <w:color w:val="auto"/>
                      <w:sz w:val="21"/>
                      <w:szCs w:val="21"/>
                      <w:u w:val="single"/>
                      <w:lang w:eastAsia="zh-CN"/>
                    </w:rPr>
                    <w:t>西侧居民</w:t>
                  </w:r>
                </w:p>
              </w:tc>
              <w:tc>
                <w:tcPr>
                  <w:tcW w:w="773" w:type="pct"/>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48</w:t>
                  </w:r>
                </w:p>
              </w:tc>
              <w:tc>
                <w:tcPr>
                  <w:tcW w:w="713" w:type="pct"/>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42</w:t>
                  </w:r>
                </w:p>
              </w:tc>
              <w:tc>
                <w:tcPr>
                  <w:tcW w:w="712" w:type="pct"/>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47</w:t>
                  </w:r>
                </w:p>
              </w:tc>
              <w:tc>
                <w:tcPr>
                  <w:tcW w:w="812" w:type="pct"/>
                  <w:tcBorders>
                    <w:tl2br w:val="nil"/>
                    <w:tr2bl w:val="nil"/>
                  </w:tcBorders>
                  <w:vAlign w:val="center"/>
                </w:tcPr>
                <w:p>
                  <w:pPr>
                    <w:jc w:val="center"/>
                    <w:rPr>
                      <w:rFonts w:hint="default"/>
                      <w:sz w:val="21"/>
                      <w:szCs w:val="21"/>
                      <w:u w:val="single"/>
                      <w:lang w:val="en-US" w:eastAsia="zh-CN"/>
                    </w:rPr>
                  </w:pPr>
                  <w:r>
                    <w:rPr>
                      <w:rFonts w:hint="eastAsia"/>
                      <w:sz w:val="21"/>
                      <w:szCs w:val="21"/>
                      <w:u w:val="single"/>
                      <w:lang w:val="en-US" w:eastAsia="zh-CN"/>
                    </w:rPr>
                    <w:t>43</w:t>
                  </w:r>
                </w:p>
              </w:tc>
              <w:tc>
                <w:tcPr>
                  <w:tcW w:w="307" w:type="pct"/>
                  <w:vMerge w:val="continue"/>
                  <w:tcBorders>
                    <w:tl2br w:val="nil"/>
                    <w:tr2bl w:val="nil"/>
                  </w:tcBorders>
                  <w:vAlign w:val="center"/>
                </w:tcPr>
                <w:p>
                  <w:pPr>
                    <w:pStyle w:val="48"/>
                    <w:spacing w:line="276" w:lineRule="auto"/>
                    <w:rPr>
                      <w:u w:val="single"/>
                    </w:rPr>
                  </w:pPr>
                </w:p>
              </w:tc>
              <w:tc>
                <w:tcPr>
                  <w:tcW w:w="404" w:type="pct"/>
                  <w:vMerge w:val="continue"/>
                  <w:tcBorders>
                    <w:tl2br w:val="nil"/>
                    <w:tr2bl w:val="nil"/>
                  </w:tcBorders>
                  <w:vAlign w:val="center"/>
                </w:tcPr>
                <w:p>
                  <w:pPr>
                    <w:pStyle w:val="48"/>
                    <w:spacing w:line="276" w:lineRule="auto"/>
                    <w:rPr>
                      <w:u w:val="single"/>
                    </w:rPr>
                  </w:pPr>
                </w:p>
              </w:tc>
              <w:tc>
                <w:tcPr>
                  <w:tcW w:w="298" w:type="pct"/>
                  <w:tcBorders>
                    <w:tl2br w:val="nil"/>
                    <w:tr2bl w:val="nil"/>
                  </w:tcBorders>
                  <w:vAlign w:val="center"/>
                </w:tcPr>
                <w:p>
                  <w:pPr>
                    <w:adjustRightInd w:val="0"/>
                    <w:spacing w:line="276" w:lineRule="auto"/>
                    <w:jc w:val="center"/>
                    <w:textAlignment w:val="baseline"/>
                    <w:rPr>
                      <w:rFonts w:hint="eastAsia"/>
                      <w:sz w:val="21"/>
                      <w:szCs w:val="21"/>
                      <w:u w:val="single"/>
                    </w:rPr>
                  </w:pPr>
                  <w:r>
                    <w:rPr>
                      <w:rFonts w:hint="eastAsia"/>
                      <w:sz w:val="21"/>
                      <w:szCs w:val="21"/>
                      <w:u w:val="single"/>
                    </w:rPr>
                    <w:t>是</w:t>
                  </w:r>
                </w:p>
              </w:tc>
            </w:tr>
          </w:tbl>
          <w:p>
            <w:pPr>
              <w:pStyle w:val="7"/>
              <w:spacing w:line="460" w:lineRule="exact"/>
              <w:ind w:firstLine="480"/>
              <w:rPr>
                <w:u w:val="single"/>
              </w:rPr>
            </w:pPr>
            <w:r>
              <w:rPr>
                <w:u w:val="single"/>
              </w:rPr>
              <w:t>从</w:t>
            </w:r>
            <w:r>
              <w:rPr>
                <w:rFonts w:hint="eastAsia"/>
                <w:u w:val="single"/>
              </w:rPr>
              <w:t>上</w:t>
            </w:r>
            <w:r>
              <w:rPr>
                <w:u w:val="single"/>
              </w:rPr>
              <w:t>表可以看出，</w:t>
            </w:r>
            <w:r>
              <w:rPr>
                <w:rFonts w:hint="eastAsia"/>
                <w:u w:val="single"/>
              </w:rPr>
              <w:t>厂界</w:t>
            </w:r>
            <w:r>
              <w:rPr>
                <w:rFonts w:hint="eastAsia"/>
                <w:u w:val="single"/>
                <w:lang w:eastAsia="zh-CN"/>
              </w:rPr>
              <w:t>、</w:t>
            </w:r>
            <w:r>
              <w:rPr>
                <w:rFonts w:hint="eastAsia"/>
                <w:u w:val="single"/>
                <w:lang w:val="en-US" w:eastAsia="zh-CN"/>
              </w:rPr>
              <w:t>西侧居民点</w:t>
            </w:r>
            <w:r>
              <w:rPr>
                <w:rFonts w:hint="eastAsia"/>
                <w:u w:val="single"/>
              </w:rPr>
              <w:t>噪声均达到</w:t>
            </w:r>
            <w:r>
              <w:rPr>
                <w:u w:val="single"/>
              </w:rPr>
              <w:t>《工业企业厂界环境噪声排放标准》</w:t>
            </w:r>
            <w:r>
              <w:rPr>
                <w:rFonts w:hint="eastAsia"/>
                <w:u w:val="single"/>
              </w:rPr>
              <w:t>（</w:t>
            </w:r>
            <w:r>
              <w:rPr>
                <w:u w:val="single"/>
              </w:rPr>
              <w:t>GB 12348-2008</w:t>
            </w:r>
            <w:r>
              <w:rPr>
                <w:rFonts w:hint="eastAsia"/>
                <w:u w:val="single"/>
              </w:rPr>
              <w:t>）中2</w:t>
            </w:r>
            <w:r>
              <w:rPr>
                <w:u w:val="single"/>
              </w:rPr>
              <w:t>类</w:t>
            </w:r>
            <w:r>
              <w:rPr>
                <w:rFonts w:hint="eastAsia"/>
                <w:u w:val="single"/>
              </w:rPr>
              <w:t>标准限值。</w:t>
            </w:r>
          </w:p>
          <w:p>
            <w:pPr>
              <w:pStyle w:val="7"/>
              <w:spacing w:line="460" w:lineRule="exact"/>
              <w:ind w:firstLine="480"/>
              <w:rPr>
                <w:u w:val="none"/>
              </w:rPr>
            </w:pPr>
            <w:r>
              <w:rPr>
                <w:rFonts w:hint="eastAsia"/>
                <w:u w:val="none"/>
              </w:rPr>
              <w:t>（4）固体废物</w:t>
            </w:r>
          </w:p>
          <w:p>
            <w:pPr>
              <w:pStyle w:val="7"/>
              <w:spacing w:line="460" w:lineRule="exact"/>
              <w:ind w:firstLine="480"/>
              <w:rPr>
                <w:u w:val="none"/>
              </w:rPr>
            </w:pPr>
            <w:r>
              <w:rPr>
                <w:rFonts w:hint="eastAsia"/>
                <w:u w:val="none"/>
                <w:lang w:val="en-US" w:eastAsia="zh-CN"/>
              </w:rPr>
              <w:t>项目固体废物主要有医疗废物、污水处理站产生的污泥与生活垃圾。医院设置有危险废物暂存间，医疗废物分类收集于危废暂存间，并定期委托岳阳市方向固废安全处置有限公司处置。医院污水处理站栅渣和污泥属于危险废物，评价要求污泥清掏前应进行消毒和检测，</w:t>
            </w:r>
            <w:r>
              <w:rPr>
                <w:rFonts w:hint="eastAsia"/>
                <w:color w:val="auto"/>
                <w:u w:val="none"/>
                <w:lang w:val="en-US" w:eastAsia="zh-CN"/>
              </w:rPr>
              <w:t>《医疗机构水污染物排放标准》（</w:t>
            </w:r>
            <w:r>
              <w:rPr>
                <w:rFonts w:hint="default"/>
                <w:color w:val="auto"/>
                <w:u w:val="none"/>
                <w:lang w:val="en-US" w:eastAsia="zh-CN"/>
              </w:rPr>
              <w:t>GB18466-2005</w:t>
            </w:r>
            <w:r>
              <w:rPr>
                <w:rFonts w:hint="eastAsia"/>
                <w:color w:val="auto"/>
                <w:u w:val="none"/>
                <w:lang w:val="en-US" w:eastAsia="zh-CN"/>
              </w:rPr>
              <w:t>）表</w:t>
            </w:r>
            <w:r>
              <w:rPr>
                <w:rFonts w:hint="default"/>
                <w:color w:val="auto"/>
                <w:u w:val="none"/>
                <w:lang w:val="en-US" w:eastAsia="zh-CN"/>
              </w:rPr>
              <w:t>4</w:t>
            </w:r>
            <w:r>
              <w:rPr>
                <w:rFonts w:hint="eastAsia"/>
                <w:color w:val="auto"/>
                <w:u w:val="none"/>
                <w:lang w:val="en-US" w:eastAsia="zh-CN"/>
              </w:rPr>
              <w:t>中综合医疗机构和其他医疗机构满足</w:t>
            </w:r>
            <w:r>
              <w:rPr>
                <w:rFonts w:hint="eastAsia"/>
                <w:color w:val="auto"/>
                <w:u w:val="single"/>
                <w:lang w:val="en-US" w:eastAsia="zh-CN"/>
              </w:rPr>
              <w:t>粪大肠菌群数小于100MPN/g，蛔虫卵死亡率＞95%限值要求</w:t>
            </w:r>
            <w:r>
              <w:rPr>
                <w:rFonts w:hint="eastAsia"/>
                <w:u w:val="none"/>
                <w:lang w:val="en-US" w:eastAsia="zh-CN"/>
              </w:rPr>
              <w:t>后方可进行清掏，再分类暂存于危废暂存间，定期委托有资质单位处理。</w:t>
            </w:r>
          </w:p>
          <w:p>
            <w:pPr>
              <w:pStyle w:val="7"/>
              <w:spacing w:line="460" w:lineRule="exact"/>
              <w:ind w:firstLine="480"/>
            </w:pPr>
            <w:r>
              <w:rPr>
                <w:rFonts w:hint="eastAsia"/>
                <w:u w:val="none"/>
                <w:lang w:val="en-US" w:eastAsia="zh-CN"/>
              </w:rPr>
              <w:t>医院生活垃圾来源于医院工作人员及前来就诊的病患，项目医疗区医院工作人员45人，按工作人员每人每天产生量约</w:t>
            </w:r>
            <w:r>
              <w:rPr>
                <w:rFonts w:hint="default"/>
                <w:u w:val="none"/>
                <w:lang w:val="en-US" w:eastAsia="zh-CN"/>
              </w:rPr>
              <w:t>0.5kg</w:t>
            </w:r>
            <w:r>
              <w:rPr>
                <w:rFonts w:hint="eastAsia"/>
                <w:u w:val="none"/>
                <w:lang w:val="en-US" w:eastAsia="zh-CN"/>
              </w:rPr>
              <w:t>计，生活垃圾日产生量为22.5</w:t>
            </w:r>
            <w:r>
              <w:rPr>
                <w:rFonts w:hint="default"/>
                <w:u w:val="none"/>
                <w:lang w:val="en-US" w:eastAsia="zh-CN"/>
              </w:rPr>
              <w:t>kg</w:t>
            </w:r>
            <w:r>
              <w:rPr>
                <w:rFonts w:hint="eastAsia"/>
                <w:u w:val="none"/>
                <w:lang w:val="en-US" w:eastAsia="zh-CN"/>
              </w:rPr>
              <w:t>，年产生量8.21</w:t>
            </w:r>
            <w:r>
              <w:rPr>
                <w:rFonts w:hint="default"/>
                <w:u w:val="none"/>
                <w:lang w:val="en-US" w:eastAsia="zh-CN"/>
              </w:rPr>
              <w:t>t/a</w:t>
            </w:r>
            <w:r>
              <w:rPr>
                <w:rFonts w:hint="eastAsia"/>
                <w:u w:val="none"/>
                <w:lang w:val="en-US" w:eastAsia="zh-CN"/>
              </w:rPr>
              <w:t>；现有工程日均接诊人数8</w:t>
            </w:r>
            <w:r>
              <w:rPr>
                <w:rFonts w:hint="default"/>
                <w:u w:val="none"/>
                <w:lang w:val="en-US" w:eastAsia="zh-CN"/>
              </w:rPr>
              <w:t>0</w:t>
            </w:r>
            <w:r>
              <w:rPr>
                <w:rFonts w:hint="eastAsia"/>
                <w:u w:val="none"/>
                <w:lang w:val="en-US" w:eastAsia="zh-CN"/>
              </w:rPr>
              <w:t>人，按每人每天产生量为</w:t>
            </w:r>
            <w:r>
              <w:rPr>
                <w:rFonts w:hint="default"/>
                <w:u w:val="none"/>
                <w:lang w:val="en-US" w:eastAsia="zh-CN"/>
              </w:rPr>
              <w:t>0.1kg</w:t>
            </w:r>
            <w:r>
              <w:rPr>
                <w:rFonts w:hint="eastAsia"/>
                <w:u w:val="none"/>
                <w:lang w:val="en-US" w:eastAsia="zh-CN"/>
              </w:rPr>
              <w:t>计，则门诊病人垃圾产生量为8</w:t>
            </w:r>
            <w:r>
              <w:rPr>
                <w:rFonts w:hint="default"/>
                <w:u w:val="none"/>
                <w:lang w:val="en-US" w:eastAsia="zh-CN"/>
              </w:rPr>
              <w:t>kg/d</w:t>
            </w:r>
            <w:r>
              <w:rPr>
                <w:rFonts w:hint="eastAsia"/>
                <w:u w:val="none"/>
                <w:lang w:val="en-US" w:eastAsia="zh-CN"/>
              </w:rPr>
              <w:t>，年产生量为2.92</w:t>
            </w:r>
            <w:r>
              <w:rPr>
                <w:rFonts w:hint="default"/>
                <w:u w:val="none"/>
                <w:lang w:val="en-US" w:eastAsia="zh-CN"/>
              </w:rPr>
              <w:t>t/a</w:t>
            </w:r>
            <w:r>
              <w:rPr>
                <w:rFonts w:hint="eastAsia"/>
                <w:u w:val="none"/>
                <w:lang w:val="en-US" w:eastAsia="zh-CN"/>
              </w:rPr>
              <w:t>；</w:t>
            </w:r>
            <w:r>
              <w:rPr>
                <w:rFonts w:hint="eastAsia"/>
                <w:u w:val="single"/>
                <w:lang w:val="en-US" w:eastAsia="zh-CN"/>
              </w:rPr>
              <w:t>本项目设置病床40张，按每床每天产生</w:t>
            </w:r>
            <w:r>
              <w:rPr>
                <w:rFonts w:hint="default"/>
                <w:u w:val="single"/>
                <w:lang w:val="en-US" w:eastAsia="zh-CN"/>
              </w:rPr>
              <w:t>1kg</w:t>
            </w:r>
            <w:r>
              <w:rPr>
                <w:rFonts w:hint="eastAsia"/>
                <w:u w:val="single"/>
                <w:lang w:val="en-US" w:eastAsia="zh-CN"/>
              </w:rPr>
              <w:t>计算，病人生活垃圾日生产力量约为40</w:t>
            </w:r>
            <w:r>
              <w:rPr>
                <w:rFonts w:hint="default"/>
                <w:u w:val="single"/>
                <w:lang w:val="en-US" w:eastAsia="zh-CN"/>
              </w:rPr>
              <w:t>kg</w:t>
            </w:r>
            <w:r>
              <w:rPr>
                <w:rFonts w:hint="eastAsia"/>
                <w:u w:val="single"/>
                <w:lang w:val="en-US" w:eastAsia="zh-CN"/>
              </w:rPr>
              <w:t>，年产生量为14.6</w:t>
            </w:r>
            <w:r>
              <w:rPr>
                <w:rFonts w:hint="default"/>
                <w:u w:val="single"/>
                <w:lang w:val="en-US" w:eastAsia="zh-CN"/>
              </w:rPr>
              <w:t>t/a</w:t>
            </w:r>
            <w:r>
              <w:rPr>
                <w:rFonts w:hint="eastAsia"/>
                <w:u w:val="single"/>
                <w:lang w:val="en-US" w:eastAsia="zh-CN"/>
              </w:rPr>
              <w:t>。合计生活垃圾产生量为25.73</w:t>
            </w:r>
            <w:r>
              <w:rPr>
                <w:rFonts w:hint="default"/>
                <w:u w:val="single"/>
                <w:lang w:val="en-US" w:eastAsia="zh-CN"/>
              </w:rPr>
              <w:t>t/a</w:t>
            </w:r>
            <w:r>
              <w:rPr>
                <w:rFonts w:hint="eastAsia"/>
                <w:u w:val="none"/>
                <w:lang w:val="en-US" w:eastAsia="zh-CN"/>
              </w:rPr>
              <w:t>。</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color w:val="4472C4" w:themeColor="accent5"/>
                <w:u w:val="none"/>
                <w:lang w:val="en-US" w:eastAsia="zh-CN"/>
                <w14:textFill>
                  <w14:solidFill>
                    <w14:schemeClr w14:val="accent5"/>
                  </w14:solidFill>
                </w14:textFill>
              </w:rPr>
            </w:pPr>
            <w:r>
              <w:rPr>
                <w:rFonts w:hint="eastAsia" w:ascii="Times New Roman" w:hAnsi="Times New Roman" w:eastAsia="宋体" w:cs="Times New Roman"/>
                <w:b/>
                <w:bCs/>
                <w:color w:val="auto"/>
                <w:kern w:val="2"/>
                <w:sz w:val="24"/>
                <w:szCs w:val="24"/>
                <w:lang w:val="en-US" w:eastAsia="zh-CN" w:bidi="ar-SA"/>
              </w:rPr>
              <w:t>3、</w:t>
            </w:r>
            <w:r>
              <w:rPr>
                <w:b/>
                <w:bCs/>
                <w:u w:val="none"/>
              </w:rPr>
              <w:t>存在的主要环境问题及整改措施</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u w:val="none"/>
                <w:lang w:val="en-US" w:eastAsia="zh-CN"/>
              </w:rPr>
            </w:pPr>
            <w:r>
              <w:rPr>
                <w:rFonts w:hint="eastAsia"/>
                <w:u w:val="none"/>
                <w:lang w:val="en-US" w:eastAsia="zh-CN"/>
              </w:rPr>
              <w:t>根据现场踏勘，临湘市桃林镇中心卫生院(临湘市桃林镇中心妇幼保健计划生育服务站）各种环保设施、设备比较齐全，废水排放基本上做到了雨污分流。卫生院建成以来没有收到过环保投诉。但也存在如下环保问题：</w:t>
            </w:r>
          </w:p>
          <w:p>
            <w:pPr>
              <w:pStyle w:val="8"/>
              <w:keepNext w:val="0"/>
              <w:keepLines w:val="0"/>
              <w:pageBreakBefore w:val="0"/>
              <w:widowControl w:val="0"/>
              <w:kinsoku/>
              <w:wordWrap/>
              <w:overflowPunct/>
              <w:topLinePunct w:val="0"/>
              <w:autoSpaceDE/>
              <w:autoSpaceDN/>
              <w:bidi w:val="0"/>
              <w:adjustRightInd/>
              <w:snapToGrid/>
              <w:ind w:left="0" w:leftChars="0" w:firstLine="0"/>
              <w:jc w:val="center"/>
              <w:textAlignment w:val="auto"/>
              <w:rPr>
                <w:rFonts w:hint="default" w:ascii="Times New Roman" w:hAnsi="Times New Roman" w:eastAsia="宋体" w:cs="Times New Roman"/>
                <w:b/>
                <w:kern w:val="0"/>
                <w:sz w:val="21"/>
                <w:szCs w:val="21"/>
                <w:u w:val="single"/>
                <w:lang w:val="en-US" w:eastAsia="zh-CN" w:bidi="ar-SA"/>
              </w:rPr>
            </w:pPr>
            <w:r>
              <w:rPr>
                <w:rFonts w:hint="eastAsia" w:ascii="Times New Roman" w:hAnsi="Times New Roman" w:eastAsia="宋体" w:cs="Times New Roman"/>
                <w:b/>
                <w:kern w:val="0"/>
                <w:sz w:val="21"/>
                <w:szCs w:val="21"/>
                <w:u w:val="single"/>
                <w:lang w:val="en-US" w:eastAsia="zh-CN" w:bidi="ar-SA"/>
              </w:rPr>
              <w:t>表2.3-5 主要环境问题及整改措施一览表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3316"/>
              <w:gridCol w:w="3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034" w:type="dxa"/>
                  <w:vAlign w:val="center"/>
                </w:tcPr>
                <w:p>
                  <w:pPr>
                    <w:pStyle w:val="48"/>
                    <w:spacing w:line="276" w:lineRule="auto"/>
                    <w:jc w:val="center"/>
                    <w:rPr>
                      <w:rFonts w:hint="default"/>
                      <w:b/>
                      <w:bCs/>
                      <w:u w:val="single"/>
                      <w:lang w:val="en-US" w:eastAsia="zh-CN"/>
                    </w:rPr>
                  </w:pPr>
                  <w:r>
                    <w:rPr>
                      <w:rFonts w:hint="eastAsia"/>
                      <w:b/>
                      <w:bCs/>
                      <w:u w:val="single"/>
                      <w:lang w:val="en-US" w:eastAsia="zh-CN"/>
                    </w:rPr>
                    <w:t>序号</w:t>
                  </w:r>
                </w:p>
              </w:tc>
              <w:tc>
                <w:tcPr>
                  <w:tcW w:w="3316" w:type="dxa"/>
                  <w:vAlign w:val="center"/>
                </w:tcPr>
                <w:p>
                  <w:pPr>
                    <w:pStyle w:val="48"/>
                    <w:spacing w:line="276" w:lineRule="auto"/>
                    <w:jc w:val="center"/>
                    <w:rPr>
                      <w:rFonts w:hint="default"/>
                      <w:b/>
                      <w:bCs/>
                      <w:u w:val="single"/>
                      <w:lang w:val="en-US" w:eastAsia="zh-CN"/>
                    </w:rPr>
                  </w:pPr>
                  <w:r>
                    <w:rPr>
                      <w:rFonts w:hint="eastAsia"/>
                      <w:b/>
                      <w:bCs/>
                      <w:u w:val="single"/>
                      <w:lang w:val="en-US" w:eastAsia="zh-CN"/>
                    </w:rPr>
                    <w:t>现有环境问题</w:t>
                  </w:r>
                </w:p>
              </w:tc>
              <w:tc>
                <w:tcPr>
                  <w:tcW w:w="3528" w:type="dxa"/>
                  <w:vAlign w:val="center"/>
                </w:tcPr>
                <w:p>
                  <w:pPr>
                    <w:pStyle w:val="48"/>
                    <w:spacing w:line="276" w:lineRule="auto"/>
                    <w:jc w:val="center"/>
                    <w:rPr>
                      <w:rFonts w:hint="default"/>
                      <w:b/>
                      <w:bCs/>
                      <w:u w:val="single"/>
                      <w:lang w:val="en-US" w:eastAsia="zh-CN"/>
                    </w:rPr>
                  </w:pPr>
                  <w:r>
                    <w:rPr>
                      <w:rFonts w:hint="eastAsia"/>
                      <w:b/>
                      <w:bCs/>
                      <w:u w:val="single"/>
                      <w:lang w:val="en-US" w:eastAsia="zh-CN"/>
                    </w:rPr>
                    <w:t>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034" w:type="dxa"/>
                  <w:vAlign w:val="center"/>
                </w:tcPr>
                <w:p>
                  <w:pPr>
                    <w:pStyle w:val="48"/>
                    <w:spacing w:line="276" w:lineRule="auto"/>
                    <w:jc w:val="center"/>
                    <w:rPr>
                      <w:rFonts w:hint="default"/>
                      <w:u w:val="single"/>
                      <w:lang w:val="en-US" w:eastAsia="zh-CN"/>
                    </w:rPr>
                  </w:pPr>
                  <w:r>
                    <w:rPr>
                      <w:rFonts w:hint="eastAsia"/>
                      <w:u w:val="single"/>
                      <w:lang w:val="en-US" w:eastAsia="zh-CN"/>
                    </w:rPr>
                    <w:t>1</w:t>
                  </w:r>
                </w:p>
              </w:tc>
              <w:tc>
                <w:tcPr>
                  <w:tcW w:w="3316" w:type="dxa"/>
                  <w:vAlign w:val="center"/>
                </w:tcPr>
                <w:p>
                  <w:pPr>
                    <w:pStyle w:val="48"/>
                    <w:spacing w:line="276" w:lineRule="auto"/>
                    <w:jc w:val="center"/>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医院未设立雨水排口没有标识</w:t>
                  </w:r>
                  <w:r>
                    <w:rPr>
                      <w:rFonts w:hint="default" w:ascii="Times New Roman" w:hAnsi="Times New Roman" w:eastAsia="宋体" w:cs="Times New Roman"/>
                      <w:kern w:val="2"/>
                      <w:sz w:val="24"/>
                      <w:szCs w:val="24"/>
                      <w:u w:val="single"/>
                      <w:lang w:val="en-US" w:eastAsia="zh-CN" w:bidi="ar-SA"/>
                    </w:rPr>
                    <w:t>标牌</w:t>
                  </w:r>
                </w:p>
              </w:tc>
              <w:tc>
                <w:tcPr>
                  <w:tcW w:w="3528" w:type="dxa"/>
                  <w:vAlign w:val="center"/>
                </w:tcPr>
                <w:p>
                  <w:pPr>
                    <w:pStyle w:val="48"/>
                    <w:spacing w:line="276" w:lineRule="auto"/>
                    <w:jc w:val="center"/>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增加雨水排口标识</w:t>
                  </w:r>
                  <w:r>
                    <w:rPr>
                      <w:rFonts w:hint="default" w:ascii="Times New Roman" w:hAnsi="Times New Roman" w:eastAsia="宋体" w:cs="Times New Roman"/>
                      <w:kern w:val="2"/>
                      <w:sz w:val="24"/>
                      <w:szCs w:val="24"/>
                      <w:u w:val="single"/>
                      <w:lang w:val="en-US" w:eastAsia="zh-CN" w:bidi="ar-SA"/>
                    </w:rPr>
                    <w:t>标牌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034" w:type="dxa"/>
                  <w:vAlign w:val="center"/>
                </w:tcPr>
                <w:p>
                  <w:pPr>
                    <w:pStyle w:val="48"/>
                    <w:spacing w:line="276" w:lineRule="auto"/>
                    <w:jc w:val="center"/>
                    <w:rPr>
                      <w:rFonts w:hint="default"/>
                      <w:u w:val="single"/>
                      <w:lang w:val="en-US" w:eastAsia="zh-CN"/>
                    </w:rPr>
                  </w:pPr>
                  <w:r>
                    <w:rPr>
                      <w:rFonts w:hint="eastAsia"/>
                      <w:u w:val="single"/>
                      <w:lang w:val="en-US" w:eastAsia="zh-CN"/>
                    </w:rPr>
                    <w:t>2</w:t>
                  </w:r>
                </w:p>
              </w:tc>
              <w:tc>
                <w:tcPr>
                  <w:tcW w:w="3316" w:type="dxa"/>
                  <w:vAlign w:val="center"/>
                </w:tcPr>
                <w:p>
                  <w:pPr>
                    <w:pStyle w:val="48"/>
                    <w:spacing w:line="276" w:lineRule="auto"/>
                    <w:jc w:val="center"/>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医院消毒设施未设置“一用一备”</w:t>
                  </w:r>
                </w:p>
              </w:tc>
              <w:tc>
                <w:tcPr>
                  <w:tcW w:w="3528" w:type="dxa"/>
                  <w:vAlign w:val="center"/>
                </w:tcPr>
                <w:p>
                  <w:pPr>
                    <w:pStyle w:val="48"/>
                    <w:spacing w:line="276" w:lineRule="auto"/>
                    <w:jc w:val="center"/>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医院消毒应设置“一用一备”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34" w:type="dxa"/>
                  <w:vAlign w:val="center"/>
                </w:tcPr>
                <w:p>
                  <w:pPr>
                    <w:pStyle w:val="48"/>
                    <w:spacing w:line="276" w:lineRule="auto"/>
                    <w:jc w:val="center"/>
                    <w:rPr>
                      <w:rFonts w:hint="default"/>
                      <w:u w:val="single"/>
                      <w:lang w:val="en-US" w:eastAsia="zh-CN"/>
                    </w:rPr>
                  </w:pPr>
                  <w:r>
                    <w:rPr>
                      <w:rFonts w:hint="eastAsia"/>
                      <w:u w:val="single"/>
                      <w:lang w:val="en-US" w:eastAsia="zh-CN"/>
                    </w:rPr>
                    <w:t>3</w:t>
                  </w:r>
                </w:p>
              </w:tc>
              <w:tc>
                <w:tcPr>
                  <w:tcW w:w="3316" w:type="dxa"/>
                  <w:vAlign w:val="center"/>
                </w:tcPr>
                <w:p>
                  <w:pPr>
                    <w:pStyle w:val="48"/>
                    <w:spacing w:line="276" w:lineRule="auto"/>
                    <w:jc w:val="center"/>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污水处理设备中污泥未进行消毒处理</w:t>
                  </w:r>
                </w:p>
              </w:tc>
              <w:tc>
                <w:tcPr>
                  <w:tcW w:w="3528" w:type="dxa"/>
                  <w:vAlign w:val="center"/>
                </w:tcPr>
                <w:p>
                  <w:pPr>
                    <w:pStyle w:val="48"/>
                    <w:spacing w:line="276" w:lineRule="auto"/>
                    <w:jc w:val="center"/>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污水处理设备中污泥</w:t>
                  </w:r>
                  <w:r>
                    <w:rPr>
                      <w:rFonts w:hint="eastAsia" w:ascii="Times New Roman" w:hAnsi="Times New Roman" w:eastAsia="宋体" w:cs="Times New Roman"/>
                      <w:kern w:val="2"/>
                      <w:sz w:val="24"/>
                      <w:szCs w:val="24"/>
                      <w:u w:val="single"/>
                      <w:lang w:val="en-US" w:eastAsia="zh-CN" w:bidi="ar-SA"/>
                    </w:rPr>
                    <w:t>应进行</w:t>
                  </w:r>
                  <w:r>
                    <w:rPr>
                      <w:rFonts w:hint="default" w:ascii="Times New Roman" w:hAnsi="Times New Roman" w:eastAsia="宋体" w:cs="Times New Roman"/>
                      <w:kern w:val="2"/>
                      <w:sz w:val="24"/>
                      <w:szCs w:val="24"/>
                      <w:u w:val="single"/>
                      <w:lang w:val="en-US" w:eastAsia="zh-CN" w:bidi="ar-SA"/>
                    </w:rPr>
                    <w:t>消毒处理</w:t>
                  </w:r>
                  <w:r>
                    <w:rPr>
                      <w:rFonts w:hint="eastAsia" w:ascii="Times New Roman" w:hAnsi="Times New Roman" w:eastAsia="宋体" w:cs="Times New Roman"/>
                      <w:kern w:val="2"/>
                      <w:sz w:val="24"/>
                      <w:szCs w:val="24"/>
                      <w:u w:val="single"/>
                      <w:lang w:val="en-US" w:eastAsia="zh-CN" w:bidi="ar-SA"/>
                    </w:rPr>
                    <w:t>，增加相应原辅材料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34" w:type="dxa"/>
                  <w:vAlign w:val="center"/>
                </w:tcPr>
                <w:p>
                  <w:pPr>
                    <w:pStyle w:val="48"/>
                    <w:spacing w:line="276" w:lineRule="auto"/>
                    <w:jc w:val="center"/>
                    <w:rPr>
                      <w:rFonts w:hint="default"/>
                      <w:u w:val="single"/>
                      <w:lang w:val="en-US" w:eastAsia="zh-CN"/>
                    </w:rPr>
                  </w:pPr>
                  <w:r>
                    <w:rPr>
                      <w:rFonts w:hint="eastAsia"/>
                      <w:u w:val="single"/>
                      <w:lang w:val="en-US" w:eastAsia="zh-CN"/>
                    </w:rPr>
                    <w:t>4</w:t>
                  </w:r>
                </w:p>
              </w:tc>
              <w:tc>
                <w:tcPr>
                  <w:tcW w:w="3316" w:type="dxa"/>
                  <w:vAlign w:val="center"/>
                </w:tcPr>
                <w:p>
                  <w:pPr>
                    <w:pStyle w:val="48"/>
                    <w:spacing w:line="276" w:lineRule="auto"/>
                    <w:jc w:val="center"/>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危废间未按要求建设</w:t>
                  </w:r>
                </w:p>
              </w:tc>
              <w:tc>
                <w:tcPr>
                  <w:tcW w:w="3528" w:type="dxa"/>
                  <w:vAlign w:val="center"/>
                </w:tcPr>
                <w:p>
                  <w:pPr>
                    <w:pStyle w:val="48"/>
                    <w:spacing w:line="276" w:lineRule="auto"/>
                    <w:jc w:val="center"/>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按照《危险废物贮存污染控制标准》（GB18597-2023）要求完善危废暂存间的建设</w:t>
                  </w:r>
                </w:p>
              </w:tc>
            </w:tr>
          </w:tbl>
          <w:p>
            <w:pPr>
              <w:pStyle w:val="25"/>
            </w:pPr>
          </w:p>
        </w:tc>
      </w:tr>
    </w:tbl>
    <w:p>
      <w:pPr>
        <w:pStyle w:val="27"/>
        <w:jc w:val="center"/>
        <w:rPr>
          <w:rFonts w:ascii="黑体" w:hAnsi="黑体" w:eastAsia="黑体"/>
          <w:snapToGrid w:val="0"/>
          <w:color w:val="000000" w:themeColor="text1"/>
          <w:sz w:val="36"/>
          <w:szCs w:val="36"/>
          <w14:textFill>
            <w14:solidFill>
              <w14:schemeClr w14:val="tx1"/>
            </w14:solidFill>
          </w14:textFill>
        </w:rPr>
        <w:sectPr>
          <w:pgSz w:w="11906" w:h="16838"/>
          <w:pgMar w:top="1440" w:right="1800" w:bottom="1440" w:left="1800" w:header="851" w:footer="851" w:gutter="0"/>
          <w:pgNumType w:fmt="decimal"/>
          <w:cols w:space="720" w:num="1"/>
          <w:docGrid w:linePitch="312" w:charSpace="0"/>
        </w:sectPr>
      </w:pPr>
    </w:p>
    <w:p>
      <w:pPr>
        <w:pStyle w:val="2"/>
        <w:rPr>
          <w:color w:val="000000" w:themeColor="text1"/>
          <w14:textFill>
            <w14:solidFill>
              <w14:schemeClr w14:val="tx1"/>
            </w14:solidFill>
          </w14:textFill>
        </w:rPr>
      </w:pPr>
      <w:bookmarkStart w:id="40" w:name="_Toc21175"/>
      <w:bookmarkStart w:id="41" w:name="_Toc32221"/>
      <w:bookmarkStart w:id="42" w:name="_Toc29312"/>
      <w:bookmarkStart w:id="43" w:name="_Toc30825"/>
      <w:bookmarkStart w:id="44" w:name="_Toc5995"/>
      <w:bookmarkStart w:id="45" w:name="_Toc314"/>
      <w:bookmarkStart w:id="46" w:name="_Toc32146"/>
      <w:bookmarkStart w:id="47" w:name="_Toc6176"/>
      <w:bookmarkStart w:id="48" w:name="_Toc7369"/>
      <w:bookmarkStart w:id="49" w:name="_Toc21265"/>
      <w:bookmarkStart w:id="50" w:name="_Toc15282"/>
      <w:bookmarkStart w:id="51" w:name="_Toc26000"/>
      <w:bookmarkStart w:id="52" w:name="_Toc22215"/>
      <w:bookmarkStart w:id="53" w:name="_Toc5669"/>
      <w:r>
        <w:rPr>
          <w:rFonts w:hint="eastAsia"/>
          <w:color w:val="000000" w:themeColor="text1"/>
          <w14:textFill>
            <w14:solidFill>
              <w14:schemeClr w14:val="tx1"/>
            </w14:solidFill>
          </w14:textFill>
        </w:rPr>
        <w:t>三、区域环境质量现状、环境保护目标及评价标准</w:t>
      </w:r>
      <w:bookmarkEnd w:id="40"/>
      <w:bookmarkEnd w:id="41"/>
      <w:bookmarkEnd w:id="42"/>
      <w:bookmarkEnd w:id="43"/>
      <w:bookmarkEnd w:id="44"/>
      <w:bookmarkEnd w:id="45"/>
      <w:bookmarkEnd w:id="46"/>
      <w:bookmarkEnd w:id="47"/>
      <w:bookmarkEnd w:id="48"/>
      <w:bookmarkEnd w:id="49"/>
      <w:bookmarkEnd w:id="50"/>
      <w:bookmarkEnd w:id="51"/>
      <w:bookmarkEnd w:id="52"/>
      <w:bookmarkEnd w:id="53"/>
    </w:p>
    <w:tbl>
      <w:tblPr>
        <w:tblStyle w:val="31"/>
        <w:tblW w:w="85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0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dxa"/>
            <w:noWrap/>
            <w:vAlign w:val="center"/>
          </w:tcPr>
          <w:p>
            <w:pPr>
              <w:adjustRightInd w:val="0"/>
              <w:snapToGrid w:val="0"/>
              <w:jc w:val="center"/>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区域</w:t>
            </w:r>
          </w:p>
          <w:p>
            <w:pPr>
              <w:adjustRightInd w:val="0"/>
              <w:snapToGrid w:val="0"/>
              <w:jc w:val="center"/>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环境</w:t>
            </w:r>
          </w:p>
          <w:p>
            <w:pPr>
              <w:adjustRightInd w:val="0"/>
              <w:snapToGrid w:val="0"/>
              <w:jc w:val="center"/>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质量</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14:textFill>
                  <w14:solidFill>
                    <w14:schemeClr w14:val="tx1"/>
                  </w14:solidFill>
                </w14:textFill>
              </w:rPr>
              <w:t>现状</w:t>
            </w:r>
          </w:p>
        </w:tc>
        <w:tc>
          <w:tcPr>
            <w:tcW w:w="8185" w:type="dxa"/>
            <w:noWrap/>
            <w:vAlign w:val="center"/>
          </w:tcPr>
          <w:p>
            <w:pPr>
              <w:pStyle w:val="7"/>
              <w:numPr>
                <w:ilvl w:val="0"/>
                <w:numId w:val="3"/>
              </w:numPr>
              <w:ind w:firstLine="480"/>
              <w:rPr>
                <w:b/>
                <w:bCs/>
                <w:color w:val="000000" w:themeColor="text1"/>
                <w14:textFill>
                  <w14:solidFill>
                    <w14:schemeClr w14:val="tx1"/>
                  </w14:solidFill>
                </w14:textFill>
              </w:rPr>
            </w:pPr>
            <w:r>
              <w:rPr>
                <w:b/>
                <w:bCs/>
                <w:color w:val="000000" w:themeColor="text1"/>
                <w14:textFill>
                  <w14:solidFill>
                    <w14:schemeClr w14:val="tx1"/>
                  </w14:solidFill>
                </w14:textFill>
              </w:rPr>
              <w:t>环境空气质量现状</w:t>
            </w:r>
          </w:p>
          <w:p>
            <w:pPr>
              <w:adjustRightInd w:val="0"/>
              <w:snapToGrid w:val="0"/>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（1）基本污染物环境质量现状</w:t>
            </w:r>
          </w:p>
          <w:p>
            <w:pPr>
              <w:adjustRightInd w:val="0"/>
              <w:snapToGrid w:val="0"/>
              <w:ind w:firstLine="480" w:firstLineChars="200"/>
              <w:jc w:val="both"/>
              <w:rPr>
                <w:color w:val="auto"/>
                <w:kern w:val="0"/>
              </w:rPr>
            </w:pPr>
            <w:r>
              <w:rPr>
                <w:rFonts w:hint="eastAsia" w:ascii="Times New Roman" w:hAnsi="Times New Roman" w:eastAsia="宋体" w:cs="Times New Roman"/>
                <w:color w:val="auto"/>
                <w:kern w:val="2"/>
                <w:sz w:val="24"/>
                <w:szCs w:val="24"/>
                <w:lang w:val="en-US" w:eastAsia="zh-CN" w:bidi="ar-SA"/>
              </w:rPr>
              <w:t>项目所在区域大气环境属二类功能区，执行《环境空气质量标准》（GB3095-2012）二级标准。为了解本项目所在区域大气环境质量现状，本次区域大气环境质量现状收集了2022年临湘市省控点的大气全年监测数据统计资料，监测数据见下表</w:t>
            </w:r>
            <w:r>
              <w:rPr>
                <w:rFonts w:hint="eastAsia"/>
                <w:color w:val="auto"/>
                <w:kern w:val="0"/>
              </w:rPr>
              <w:t>。</w:t>
            </w:r>
          </w:p>
          <w:p>
            <w:pPr>
              <w:pStyle w:val="66"/>
              <w:widowControl w:val="0"/>
              <w:rPr>
                <w:color w:val="auto"/>
                <w:kern w:val="2"/>
                <w:sz w:val="24"/>
                <w:szCs w:val="32"/>
              </w:rPr>
            </w:pPr>
            <w:r>
              <w:rPr>
                <w:color w:val="auto"/>
                <w:kern w:val="2"/>
                <w:sz w:val="24"/>
                <w:szCs w:val="32"/>
              </w:rPr>
              <w:t>表</w:t>
            </w:r>
            <w:r>
              <w:rPr>
                <w:rFonts w:hint="eastAsia"/>
                <w:color w:val="auto"/>
                <w:kern w:val="2"/>
                <w:sz w:val="24"/>
                <w:szCs w:val="32"/>
              </w:rPr>
              <w:t>3.1</w:t>
            </w:r>
            <w:r>
              <w:rPr>
                <w:color w:val="auto"/>
                <w:kern w:val="2"/>
                <w:sz w:val="24"/>
                <w:szCs w:val="32"/>
              </w:rPr>
              <w:t>-</w:t>
            </w:r>
            <w:r>
              <w:rPr>
                <w:rFonts w:hint="eastAsia"/>
                <w:color w:val="auto"/>
                <w:kern w:val="2"/>
                <w:sz w:val="24"/>
                <w:szCs w:val="32"/>
              </w:rPr>
              <w:t>1</w:t>
            </w:r>
            <w:r>
              <w:rPr>
                <w:color w:val="auto"/>
                <w:kern w:val="2"/>
                <w:sz w:val="24"/>
                <w:szCs w:val="32"/>
              </w:rPr>
              <w:t xml:space="preserve">  20</w:t>
            </w:r>
            <w:r>
              <w:rPr>
                <w:rFonts w:hint="eastAsia"/>
                <w:color w:val="auto"/>
                <w:kern w:val="2"/>
                <w:sz w:val="24"/>
                <w:szCs w:val="32"/>
              </w:rPr>
              <w:t>22</w:t>
            </w:r>
            <w:r>
              <w:rPr>
                <w:color w:val="auto"/>
                <w:kern w:val="2"/>
                <w:sz w:val="24"/>
                <w:szCs w:val="32"/>
              </w:rPr>
              <w:t>年区域空气质量现状评价表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2131"/>
              <w:gridCol w:w="1303"/>
              <w:gridCol w:w="1494"/>
              <w:gridCol w:w="901"/>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pct"/>
                  <w:vAlign w:val="center"/>
                </w:tcPr>
                <w:p>
                  <w:pPr>
                    <w:pStyle w:val="63"/>
                    <w:spacing w:line="276" w:lineRule="auto"/>
                    <w:rPr>
                      <w:color w:val="auto"/>
                      <w:sz w:val="21"/>
                      <w:szCs w:val="21"/>
                    </w:rPr>
                  </w:pPr>
                  <w:r>
                    <w:rPr>
                      <w:color w:val="auto"/>
                      <w:sz w:val="21"/>
                      <w:szCs w:val="21"/>
                    </w:rPr>
                    <w:t>监测</w:t>
                  </w:r>
                </w:p>
                <w:p>
                  <w:pPr>
                    <w:pStyle w:val="63"/>
                    <w:spacing w:line="276" w:lineRule="auto"/>
                    <w:rPr>
                      <w:color w:val="auto"/>
                      <w:kern w:val="0"/>
                      <w:sz w:val="21"/>
                      <w:szCs w:val="21"/>
                    </w:rPr>
                  </w:pPr>
                  <w:r>
                    <w:rPr>
                      <w:color w:val="auto"/>
                      <w:sz w:val="21"/>
                      <w:szCs w:val="21"/>
                    </w:rPr>
                    <w:t>项目</w:t>
                  </w:r>
                </w:p>
              </w:tc>
              <w:tc>
                <w:tcPr>
                  <w:tcW w:w="1358" w:type="pct"/>
                  <w:vAlign w:val="center"/>
                </w:tcPr>
                <w:p>
                  <w:pPr>
                    <w:pStyle w:val="63"/>
                    <w:spacing w:line="276" w:lineRule="auto"/>
                    <w:rPr>
                      <w:color w:val="auto"/>
                      <w:kern w:val="0"/>
                      <w:sz w:val="21"/>
                      <w:szCs w:val="21"/>
                    </w:rPr>
                  </w:pPr>
                  <w:r>
                    <w:rPr>
                      <w:color w:val="auto"/>
                      <w:sz w:val="21"/>
                      <w:szCs w:val="21"/>
                    </w:rPr>
                    <w:t>年评价指标</w:t>
                  </w:r>
                </w:p>
              </w:tc>
              <w:tc>
                <w:tcPr>
                  <w:tcW w:w="830" w:type="pct"/>
                  <w:vAlign w:val="center"/>
                </w:tcPr>
                <w:p>
                  <w:pPr>
                    <w:pStyle w:val="63"/>
                    <w:spacing w:line="276" w:lineRule="auto"/>
                    <w:rPr>
                      <w:color w:val="auto"/>
                      <w:kern w:val="0"/>
                      <w:sz w:val="21"/>
                      <w:szCs w:val="21"/>
                    </w:rPr>
                  </w:pPr>
                  <w:r>
                    <w:rPr>
                      <w:color w:val="auto"/>
                      <w:sz w:val="21"/>
                      <w:szCs w:val="21"/>
                    </w:rPr>
                    <w:t>现状浓度（</w:t>
                  </w:r>
                  <w:r>
                    <w:rPr>
                      <w:rFonts w:hint="eastAsia"/>
                      <w:color w:val="auto"/>
                      <w:sz w:val="21"/>
                      <w:szCs w:val="21"/>
                      <w:lang w:eastAsia="zh-CN"/>
                    </w:rPr>
                    <w:t>μg/m3</w:t>
                  </w:r>
                  <w:r>
                    <w:rPr>
                      <w:color w:val="auto"/>
                      <w:sz w:val="21"/>
                      <w:szCs w:val="21"/>
                    </w:rPr>
                    <w:t>）</w:t>
                  </w:r>
                </w:p>
              </w:tc>
              <w:tc>
                <w:tcPr>
                  <w:tcW w:w="952" w:type="pct"/>
                  <w:vAlign w:val="center"/>
                </w:tcPr>
                <w:p>
                  <w:pPr>
                    <w:pStyle w:val="63"/>
                    <w:spacing w:line="276" w:lineRule="auto"/>
                    <w:rPr>
                      <w:color w:val="auto"/>
                      <w:sz w:val="21"/>
                      <w:szCs w:val="21"/>
                    </w:rPr>
                  </w:pPr>
                  <w:r>
                    <w:rPr>
                      <w:color w:val="auto"/>
                      <w:sz w:val="21"/>
                      <w:szCs w:val="21"/>
                    </w:rPr>
                    <w:t>标准值</w:t>
                  </w:r>
                </w:p>
                <w:p>
                  <w:pPr>
                    <w:pStyle w:val="63"/>
                    <w:spacing w:line="276" w:lineRule="auto"/>
                    <w:rPr>
                      <w:color w:val="auto"/>
                      <w:kern w:val="0"/>
                      <w:sz w:val="21"/>
                      <w:szCs w:val="21"/>
                    </w:rPr>
                  </w:pPr>
                  <w:r>
                    <w:rPr>
                      <w:color w:val="auto"/>
                      <w:sz w:val="21"/>
                      <w:szCs w:val="21"/>
                    </w:rPr>
                    <w:t>（</w:t>
                  </w:r>
                  <w:r>
                    <w:rPr>
                      <w:rFonts w:hint="eastAsia"/>
                      <w:color w:val="auto"/>
                      <w:sz w:val="21"/>
                      <w:szCs w:val="21"/>
                      <w:lang w:eastAsia="zh-CN"/>
                    </w:rPr>
                    <w:t>μg/m3</w:t>
                  </w:r>
                  <w:r>
                    <w:rPr>
                      <w:color w:val="auto"/>
                      <w:sz w:val="21"/>
                      <w:szCs w:val="21"/>
                    </w:rPr>
                    <w:t>）</w:t>
                  </w:r>
                </w:p>
              </w:tc>
              <w:tc>
                <w:tcPr>
                  <w:tcW w:w="574" w:type="pct"/>
                  <w:vAlign w:val="center"/>
                </w:tcPr>
                <w:p>
                  <w:pPr>
                    <w:pStyle w:val="63"/>
                    <w:spacing w:line="276" w:lineRule="auto"/>
                    <w:rPr>
                      <w:rFonts w:hint="eastAsia" w:eastAsia="宋体"/>
                      <w:color w:val="auto"/>
                      <w:kern w:val="0"/>
                      <w:sz w:val="21"/>
                      <w:szCs w:val="21"/>
                      <w:lang w:eastAsia="zh-CN"/>
                    </w:rPr>
                  </w:pPr>
                  <w:r>
                    <w:rPr>
                      <w:rFonts w:hint="eastAsia"/>
                      <w:color w:val="auto"/>
                      <w:sz w:val="21"/>
                      <w:szCs w:val="21"/>
                      <w:lang w:val="en-US" w:eastAsia="zh-CN"/>
                    </w:rPr>
                    <w:t>占标率（%）</w:t>
                  </w:r>
                </w:p>
              </w:tc>
              <w:tc>
                <w:tcPr>
                  <w:tcW w:w="578" w:type="pct"/>
                  <w:vAlign w:val="center"/>
                </w:tcPr>
                <w:p>
                  <w:pPr>
                    <w:pStyle w:val="63"/>
                    <w:spacing w:line="276" w:lineRule="auto"/>
                    <w:rPr>
                      <w:color w:val="auto"/>
                      <w:kern w:val="0"/>
                      <w:sz w:val="21"/>
                      <w:szCs w:val="21"/>
                    </w:rPr>
                  </w:pPr>
                  <w:r>
                    <w:rPr>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pct"/>
                  <w:vAlign w:val="center"/>
                </w:tcPr>
                <w:p>
                  <w:pPr>
                    <w:pStyle w:val="63"/>
                    <w:spacing w:line="276" w:lineRule="auto"/>
                    <w:rPr>
                      <w:color w:val="auto"/>
                      <w:kern w:val="0"/>
                      <w:sz w:val="21"/>
                      <w:szCs w:val="21"/>
                    </w:rPr>
                  </w:pPr>
                  <w:r>
                    <w:rPr>
                      <w:color w:val="auto"/>
                      <w:sz w:val="21"/>
                      <w:szCs w:val="21"/>
                    </w:rPr>
                    <w:t>SO</w:t>
                  </w:r>
                  <w:r>
                    <w:rPr>
                      <w:color w:val="auto"/>
                      <w:sz w:val="21"/>
                      <w:szCs w:val="21"/>
                      <w:vertAlign w:val="subscript"/>
                    </w:rPr>
                    <w:t>2</w:t>
                  </w:r>
                </w:p>
              </w:tc>
              <w:tc>
                <w:tcPr>
                  <w:tcW w:w="1358" w:type="pct"/>
                  <w:vAlign w:val="center"/>
                </w:tcPr>
                <w:p>
                  <w:pPr>
                    <w:pStyle w:val="63"/>
                    <w:spacing w:line="276" w:lineRule="auto"/>
                    <w:rPr>
                      <w:color w:val="auto"/>
                      <w:kern w:val="0"/>
                      <w:sz w:val="21"/>
                      <w:szCs w:val="21"/>
                    </w:rPr>
                  </w:pPr>
                  <w:r>
                    <w:rPr>
                      <w:color w:val="auto"/>
                      <w:sz w:val="21"/>
                      <w:szCs w:val="21"/>
                    </w:rPr>
                    <w:t>年平均质量浓度</w:t>
                  </w:r>
                </w:p>
              </w:tc>
              <w:tc>
                <w:tcPr>
                  <w:tcW w:w="830" w:type="pct"/>
                  <w:vAlign w:val="center"/>
                </w:tcPr>
                <w:p>
                  <w:pPr>
                    <w:pStyle w:val="43"/>
                    <w:snapToGrid w:val="0"/>
                    <w:spacing w:line="276" w:lineRule="auto"/>
                    <w:rPr>
                      <w:rFonts w:hint="eastAsia" w:ascii="Times New Roman" w:hAnsi="Times New Roman" w:eastAsia="宋体" w:cs="Times New Roman"/>
                      <w:color w:val="auto"/>
                      <w:kern w:val="0"/>
                      <w:sz w:val="21"/>
                      <w:szCs w:val="21"/>
                      <w:u w:val="single"/>
                      <w:lang w:val="en-US" w:eastAsia="zh-CN"/>
                    </w:rPr>
                  </w:pPr>
                  <w:r>
                    <w:rPr>
                      <w:rFonts w:hint="eastAsia" w:ascii="Times New Roman" w:hAnsi="Times New Roman" w:eastAsia="宋体" w:cs="Times New Roman"/>
                      <w:color w:val="auto"/>
                      <w:kern w:val="0"/>
                      <w:sz w:val="21"/>
                      <w:szCs w:val="21"/>
                      <w:u w:val="none"/>
                      <w:lang w:val="en-US" w:eastAsia="zh-CN"/>
                    </w:rPr>
                    <w:t>5</w:t>
                  </w:r>
                </w:p>
              </w:tc>
              <w:tc>
                <w:tcPr>
                  <w:tcW w:w="952" w:type="pct"/>
                  <w:vAlign w:val="center"/>
                </w:tcPr>
                <w:p>
                  <w:pPr>
                    <w:spacing w:line="276" w:lineRule="auto"/>
                    <w:jc w:val="center"/>
                    <w:rPr>
                      <w:color w:val="auto"/>
                      <w:kern w:val="0"/>
                      <w:sz w:val="21"/>
                      <w:szCs w:val="21"/>
                    </w:rPr>
                  </w:pPr>
                  <w:r>
                    <w:rPr>
                      <w:color w:val="auto"/>
                      <w:sz w:val="21"/>
                      <w:szCs w:val="21"/>
                    </w:rPr>
                    <w:t>60</w:t>
                  </w:r>
                </w:p>
              </w:tc>
              <w:tc>
                <w:tcPr>
                  <w:tcW w:w="574" w:type="pct"/>
                  <w:vAlign w:val="center"/>
                </w:tcPr>
                <w:p>
                  <w:pPr>
                    <w:pStyle w:val="63"/>
                    <w:spacing w:line="276" w:lineRule="auto"/>
                    <w:rPr>
                      <w:rFonts w:hint="default" w:eastAsia="宋体"/>
                      <w:color w:val="auto"/>
                      <w:kern w:val="0"/>
                      <w:sz w:val="21"/>
                      <w:szCs w:val="21"/>
                      <w:lang w:val="en-US" w:eastAsia="zh-CN"/>
                    </w:rPr>
                  </w:pPr>
                  <w:r>
                    <w:rPr>
                      <w:rFonts w:hint="eastAsia"/>
                      <w:color w:val="auto"/>
                      <w:kern w:val="0"/>
                      <w:sz w:val="21"/>
                      <w:szCs w:val="21"/>
                      <w:lang w:val="en-US" w:eastAsia="zh-CN"/>
                    </w:rPr>
                    <w:t>8.33</w:t>
                  </w:r>
                </w:p>
              </w:tc>
              <w:tc>
                <w:tcPr>
                  <w:tcW w:w="578" w:type="pct"/>
                  <w:vAlign w:val="center"/>
                </w:tcPr>
                <w:p>
                  <w:pPr>
                    <w:pStyle w:val="63"/>
                    <w:spacing w:line="276" w:lineRule="auto"/>
                    <w:rPr>
                      <w:color w:val="auto"/>
                      <w:kern w:val="0"/>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pct"/>
                  <w:vAlign w:val="center"/>
                </w:tcPr>
                <w:p>
                  <w:pPr>
                    <w:pStyle w:val="63"/>
                    <w:spacing w:line="276" w:lineRule="auto"/>
                    <w:rPr>
                      <w:color w:val="auto"/>
                      <w:kern w:val="0"/>
                      <w:sz w:val="21"/>
                      <w:szCs w:val="21"/>
                    </w:rPr>
                  </w:pPr>
                  <w:r>
                    <w:rPr>
                      <w:color w:val="auto"/>
                      <w:sz w:val="21"/>
                      <w:szCs w:val="21"/>
                    </w:rPr>
                    <w:t>NO</w:t>
                  </w:r>
                  <w:r>
                    <w:rPr>
                      <w:color w:val="auto"/>
                      <w:sz w:val="21"/>
                      <w:szCs w:val="21"/>
                      <w:vertAlign w:val="subscript"/>
                    </w:rPr>
                    <w:t>2</w:t>
                  </w:r>
                </w:p>
              </w:tc>
              <w:tc>
                <w:tcPr>
                  <w:tcW w:w="1358" w:type="pct"/>
                  <w:vAlign w:val="center"/>
                </w:tcPr>
                <w:p>
                  <w:pPr>
                    <w:pStyle w:val="63"/>
                    <w:spacing w:line="276" w:lineRule="auto"/>
                    <w:rPr>
                      <w:color w:val="auto"/>
                      <w:kern w:val="0"/>
                      <w:sz w:val="21"/>
                      <w:szCs w:val="21"/>
                    </w:rPr>
                  </w:pPr>
                  <w:r>
                    <w:rPr>
                      <w:color w:val="auto"/>
                      <w:sz w:val="21"/>
                      <w:szCs w:val="21"/>
                    </w:rPr>
                    <w:t>年平均质量浓度</w:t>
                  </w:r>
                </w:p>
              </w:tc>
              <w:tc>
                <w:tcPr>
                  <w:tcW w:w="830" w:type="pct"/>
                  <w:vAlign w:val="center"/>
                </w:tcPr>
                <w:p>
                  <w:pPr>
                    <w:pStyle w:val="43"/>
                    <w:snapToGrid w:val="0"/>
                    <w:spacing w:line="276" w:lineRule="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27</w:t>
                  </w:r>
                </w:p>
              </w:tc>
              <w:tc>
                <w:tcPr>
                  <w:tcW w:w="952" w:type="pct"/>
                  <w:vAlign w:val="center"/>
                </w:tcPr>
                <w:p>
                  <w:pPr>
                    <w:spacing w:line="276" w:lineRule="auto"/>
                    <w:jc w:val="center"/>
                    <w:rPr>
                      <w:color w:val="auto"/>
                      <w:kern w:val="0"/>
                      <w:sz w:val="21"/>
                      <w:szCs w:val="21"/>
                    </w:rPr>
                  </w:pPr>
                  <w:r>
                    <w:rPr>
                      <w:color w:val="auto"/>
                      <w:sz w:val="21"/>
                      <w:szCs w:val="21"/>
                    </w:rPr>
                    <w:t>40</w:t>
                  </w:r>
                </w:p>
              </w:tc>
              <w:tc>
                <w:tcPr>
                  <w:tcW w:w="574" w:type="pct"/>
                  <w:vAlign w:val="center"/>
                </w:tcPr>
                <w:p>
                  <w:pPr>
                    <w:pStyle w:val="63"/>
                    <w:spacing w:line="276" w:lineRule="auto"/>
                    <w:rPr>
                      <w:rFonts w:hint="default" w:eastAsia="宋体"/>
                      <w:color w:val="auto"/>
                      <w:kern w:val="0"/>
                      <w:sz w:val="21"/>
                      <w:szCs w:val="21"/>
                      <w:lang w:val="en-US" w:eastAsia="zh-CN"/>
                    </w:rPr>
                  </w:pPr>
                  <w:r>
                    <w:rPr>
                      <w:rFonts w:hint="eastAsia"/>
                      <w:color w:val="auto"/>
                      <w:kern w:val="0"/>
                      <w:sz w:val="21"/>
                      <w:szCs w:val="21"/>
                      <w:lang w:val="en-US" w:eastAsia="zh-CN"/>
                    </w:rPr>
                    <w:t>67.50</w:t>
                  </w:r>
                </w:p>
              </w:tc>
              <w:tc>
                <w:tcPr>
                  <w:tcW w:w="578" w:type="pct"/>
                  <w:vAlign w:val="center"/>
                </w:tcPr>
                <w:p>
                  <w:pPr>
                    <w:pStyle w:val="63"/>
                    <w:spacing w:line="276" w:lineRule="auto"/>
                    <w:rPr>
                      <w:color w:val="auto"/>
                      <w:kern w:val="0"/>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pct"/>
                  <w:vAlign w:val="center"/>
                </w:tcPr>
                <w:p>
                  <w:pPr>
                    <w:pStyle w:val="63"/>
                    <w:spacing w:line="276" w:lineRule="auto"/>
                    <w:rPr>
                      <w:color w:val="auto"/>
                      <w:kern w:val="0"/>
                      <w:sz w:val="21"/>
                      <w:szCs w:val="21"/>
                    </w:rPr>
                  </w:pPr>
                  <w:r>
                    <w:rPr>
                      <w:color w:val="auto"/>
                      <w:sz w:val="21"/>
                      <w:szCs w:val="21"/>
                    </w:rPr>
                    <w:t>PM</w:t>
                  </w:r>
                  <w:r>
                    <w:rPr>
                      <w:color w:val="auto"/>
                      <w:sz w:val="21"/>
                      <w:szCs w:val="21"/>
                      <w:vertAlign w:val="subscript"/>
                    </w:rPr>
                    <w:t>10</w:t>
                  </w:r>
                </w:p>
              </w:tc>
              <w:tc>
                <w:tcPr>
                  <w:tcW w:w="1358" w:type="pct"/>
                  <w:vAlign w:val="center"/>
                </w:tcPr>
                <w:p>
                  <w:pPr>
                    <w:pStyle w:val="63"/>
                    <w:spacing w:line="276" w:lineRule="auto"/>
                    <w:rPr>
                      <w:color w:val="auto"/>
                      <w:kern w:val="0"/>
                      <w:sz w:val="21"/>
                      <w:szCs w:val="21"/>
                    </w:rPr>
                  </w:pPr>
                  <w:r>
                    <w:rPr>
                      <w:color w:val="auto"/>
                      <w:sz w:val="21"/>
                      <w:szCs w:val="21"/>
                    </w:rPr>
                    <w:t>年平均质量浓度</w:t>
                  </w:r>
                </w:p>
              </w:tc>
              <w:tc>
                <w:tcPr>
                  <w:tcW w:w="830" w:type="pct"/>
                  <w:vAlign w:val="center"/>
                </w:tcPr>
                <w:p>
                  <w:pPr>
                    <w:pStyle w:val="43"/>
                    <w:snapToGrid w:val="0"/>
                    <w:spacing w:line="276" w:lineRule="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48</w:t>
                  </w:r>
                </w:p>
              </w:tc>
              <w:tc>
                <w:tcPr>
                  <w:tcW w:w="952" w:type="pct"/>
                  <w:vAlign w:val="center"/>
                </w:tcPr>
                <w:p>
                  <w:pPr>
                    <w:spacing w:line="276" w:lineRule="auto"/>
                    <w:jc w:val="center"/>
                    <w:rPr>
                      <w:color w:val="auto"/>
                      <w:kern w:val="0"/>
                      <w:sz w:val="21"/>
                      <w:szCs w:val="21"/>
                    </w:rPr>
                  </w:pPr>
                  <w:r>
                    <w:rPr>
                      <w:color w:val="auto"/>
                      <w:sz w:val="21"/>
                      <w:szCs w:val="21"/>
                    </w:rPr>
                    <w:t>70</w:t>
                  </w:r>
                </w:p>
              </w:tc>
              <w:tc>
                <w:tcPr>
                  <w:tcW w:w="574" w:type="pct"/>
                  <w:vAlign w:val="center"/>
                </w:tcPr>
                <w:p>
                  <w:pPr>
                    <w:pStyle w:val="63"/>
                    <w:spacing w:line="276" w:lineRule="auto"/>
                    <w:rPr>
                      <w:rFonts w:hint="default" w:eastAsia="宋体"/>
                      <w:color w:val="auto"/>
                      <w:kern w:val="0"/>
                      <w:sz w:val="21"/>
                      <w:szCs w:val="21"/>
                      <w:lang w:val="en-US" w:eastAsia="zh-CN"/>
                    </w:rPr>
                  </w:pPr>
                  <w:r>
                    <w:rPr>
                      <w:rFonts w:hint="eastAsia"/>
                      <w:color w:val="auto"/>
                      <w:kern w:val="0"/>
                      <w:sz w:val="21"/>
                      <w:szCs w:val="21"/>
                      <w:lang w:val="en-US" w:eastAsia="zh-CN"/>
                    </w:rPr>
                    <w:t>68.57</w:t>
                  </w:r>
                </w:p>
              </w:tc>
              <w:tc>
                <w:tcPr>
                  <w:tcW w:w="578" w:type="pct"/>
                  <w:vAlign w:val="center"/>
                </w:tcPr>
                <w:p>
                  <w:pPr>
                    <w:pStyle w:val="63"/>
                    <w:spacing w:line="276" w:lineRule="auto"/>
                    <w:rPr>
                      <w:color w:val="auto"/>
                      <w:kern w:val="0"/>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pct"/>
                  <w:vAlign w:val="center"/>
                </w:tcPr>
                <w:p>
                  <w:pPr>
                    <w:pStyle w:val="63"/>
                    <w:spacing w:line="276" w:lineRule="auto"/>
                    <w:rPr>
                      <w:color w:val="auto"/>
                      <w:kern w:val="0"/>
                      <w:sz w:val="21"/>
                      <w:szCs w:val="21"/>
                    </w:rPr>
                  </w:pPr>
                  <w:r>
                    <w:rPr>
                      <w:color w:val="auto"/>
                      <w:sz w:val="21"/>
                      <w:szCs w:val="21"/>
                    </w:rPr>
                    <w:t>PM</w:t>
                  </w:r>
                  <w:r>
                    <w:rPr>
                      <w:color w:val="auto"/>
                      <w:sz w:val="21"/>
                      <w:szCs w:val="21"/>
                      <w:vertAlign w:val="subscript"/>
                    </w:rPr>
                    <w:t>2.5</w:t>
                  </w:r>
                </w:p>
              </w:tc>
              <w:tc>
                <w:tcPr>
                  <w:tcW w:w="1358" w:type="pct"/>
                  <w:vAlign w:val="center"/>
                </w:tcPr>
                <w:p>
                  <w:pPr>
                    <w:pStyle w:val="63"/>
                    <w:spacing w:line="276" w:lineRule="auto"/>
                    <w:rPr>
                      <w:color w:val="auto"/>
                      <w:kern w:val="0"/>
                      <w:sz w:val="21"/>
                      <w:szCs w:val="21"/>
                    </w:rPr>
                  </w:pPr>
                  <w:r>
                    <w:rPr>
                      <w:color w:val="auto"/>
                      <w:sz w:val="21"/>
                      <w:szCs w:val="21"/>
                    </w:rPr>
                    <w:t>年平均质量浓度</w:t>
                  </w:r>
                </w:p>
              </w:tc>
              <w:tc>
                <w:tcPr>
                  <w:tcW w:w="830" w:type="pct"/>
                  <w:vAlign w:val="center"/>
                </w:tcPr>
                <w:p>
                  <w:pPr>
                    <w:pStyle w:val="43"/>
                    <w:snapToGrid w:val="0"/>
                    <w:spacing w:line="276" w:lineRule="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34</w:t>
                  </w:r>
                </w:p>
              </w:tc>
              <w:tc>
                <w:tcPr>
                  <w:tcW w:w="952" w:type="pct"/>
                  <w:vAlign w:val="center"/>
                </w:tcPr>
                <w:p>
                  <w:pPr>
                    <w:spacing w:line="276" w:lineRule="auto"/>
                    <w:jc w:val="center"/>
                    <w:rPr>
                      <w:color w:val="auto"/>
                      <w:kern w:val="0"/>
                      <w:sz w:val="21"/>
                      <w:szCs w:val="21"/>
                    </w:rPr>
                  </w:pPr>
                  <w:r>
                    <w:rPr>
                      <w:color w:val="auto"/>
                      <w:sz w:val="21"/>
                      <w:szCs w:val="21"/>
                    </w:rPr>
                    <w:t>35</w:t>
                  </w:r>
                </w:p>
              </w:tc>
              <w:tc>
                <w:tcPr>
                  <w:tcW w:w="574" w:type="pct"/>
                  <w:vAlign w:val="center"/>
                </w:tcPr>
                <w:p>
                  <w:pPr>
                    <w:pStyle w:val="63"/>
                    <w:spacing w:line="276" w:lineRule="auto"/>
                    <w:rPr>
                      <w:rFonts w:hint="default" w:eastAsia="宋体"/>
                      <w:color w:val="auto"/>
                      <w:kern w:val="0"/>
                      <w:sz w:val="21"/>
                      <w:szCs w:val="21"/>
                      <w:lang w:val="en-US" w:eastAsia="zh-CN"/>
                    </w:rPr>
                  </w:pPr>
                  <w:r>
                    <w:rPr>
                      <w:rFonts w:hint="eastAsia"/>
                      <w:color w:val="auto"/>
                      <w:kern w:val="0"/>
                      <w:sz w:val="21"/>
                      <w:szCs w:val="21"/>
                      <w:lang w:val="en-US" w:eastAsia="zh-CN"/>
                    </w:rPr>
                    <w:t>97.14</w:t>
                  </w:r>
                </w:p>
              </w:tc>
              <w:tc>
                <w:tcPr>
                  <w:tcW w:w="578" w:type="pct"/>
                  <w:vAlign w:val="center"/>
                </w:tcPr>
                <w:p>
                  <w:pPr>
                    <w:pStyle w:val="63"/>
                    <w:spacing w:line="276" w:lineRule="auto"/>
                    <w:rPr>
                      <w:color w:val="auto"/>
                      <w:kern w:val="0"/>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pct"/>
                  <w:vAlign w:val="center"/>
                </w:tcPr>
                <w:p>
                  <w:pPr>
                    <w:pStyle w:val="63"/>
                    <w:spacing w:line="276" w:lineRule="auto"/>
                    <w:rPr>
                      <w:color w:val="auto"/>
                      <w:kern w:val="0"/>
                      <w:sz w:val="21"/>
                      <w:szCs w:val="21"/>
                    </w:rPr>
                  </w:pPr>
                  <w:r>
                    <w:rPr>
                      <w:color w:val="auto"/>
                      <w:sz w:val="21"/>
                      <w:szCs w:val="21"/>
                    </w:rPr>
                    <w:t>CO</w:t>
                  </w:r>
                </w:p>
              </w:tc>
              <w:tc>
                <w:tcPr>
                  <w:tcW w:w="1358" w:type="pct"/>
                  <w:vAlign w:val="center"/>
                </w:tcPr>
                <w:p>
                  <w:pPr>
                    <w:pStyle w:val="63"/>
                    <w:spacing w:line="276" w:lineRule="auto"/>
                    <w:rPr>
                      <w:color w:val="auto"/>
                      <w:kern w:val="0"/>
                      <w:sz w:val="21"/>
                      <w:szCs w:val="21"/>
                    </w:rPr>
                  </w:pPr>
                  <w:r>
                    <w:rPr>
                      <w:color w:val="auto"/>
                      <w:sz w:val="21"/>
                      <w:szCs w:val="21"/>
                    </w:rPr>
                    <w:t>95百分位数日平均质量浓度</w:t>
                  </w:r>
                </w:p>
              </w:tc>
              <w:tc>
                <w:tcPr>
                  <w:tcW w:w="830" w:type="pct"/>
                  <w:vAlign w:val="center"/>
                </w:tcPr>
                <w:p>
                  <w:pPr>
                    <w:pStyle w:val="43"/>
                    <w:snapToGrid w:val="0"/>
                    <w:spacing w:line="276" w:lineRule="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1000</w:t>
                  </w:r>
                </w:p>
              </w:tc>
              <w:tc>
                <w:tcPr>
                  <w:tcW w:w="952" w:type="pct"/>
                  <w:vAlign w:val="center"/>
                </w:tcPr>
                <w:p>
                  <w:pPr>
                    <w:spacing w:line="276" w:lineRule="auto"/>
                    <w:jc w:val="center"/>
                    <w:rPr>
                      <w:color w:val="auto"/>
                      <w:kern w:val="0"/>
                      <w:sz w:val="21"/>
                      <w:szCs w:val="21"/>
                    </w:rPr>
                  </w:pPr>
                  <w:r>
                    <w:rPr>
                      <w:color w:val="auto"/>
                      <w:sz w:val="21"/>
                      <w:szCs w:val="21"/>
                    </w:rPr>
                    <w:t>4000</w:t>
                  </w:r>
                </w:p>
              </w:tc>
              <w:tc>
                <w:tcPr>
                  <w:tcW w:w="574" w:type="pct"/>
                  <w:vAlign w:val="center"/>
                </w:tcPr>
                <w:p>
                  <w:pPr>
                    <w:pStyle w:val="63"/>
                    <w:spacing w:line="276" w:lineRule="auto"/>
                    <w:rPr>
                      <w:rFonts w:hint="default" w:eastAsia="宋体"/>
                      <w:color w:val="auto"/>
                      <w:kern w:val="0"/>
                      <w:sz w:val="21"/>
                      <w:szCs w:val="21"/>
                      <w:lang w:val="en-US" w:eastAsia="zh-CN"/>
                    </w:rPr>
                  </w:pPr>
                  <w:r>
                    <w:rPr>
                      <w:rFonts w:hint="eastAsia"/>
                      <w:color w:val="auto"/>
                      <w:kern w:val="0"/>
                      <w:sz w:val="21"/>
                      <w:szCs w:val="21"/>
                      <w:lang w:val="en-US" w:eastAsia="zh-CN"/>
                    </w:rPr>
                    <w:t>25.00</w:t>
                  </w:r>
                </w:p>
              </w:tc>
              <w:tc>
                <w:tcPr>
                  <w:tcW w:w="578" w:type="pct"/>
                  <w:vAlign w:val="center"/>
                </w:tcPr>
                <w:p>
                  <w:pPr>
                    <w:pStyle w:val="63"/>
                    <w:spacing w:line="276" w:lineRule="auto"/>
                    <w:rPr>
                      <w:color w:val="auto"/>
                      <w:kern w:val="0"/>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pct"/>
                  <w:vAlign w:val="center"/>
                </w:tcPr>
                <w:p>
                  <w:pPr>
                    <w:pStyle w:val="63"/>
                    <w:spacing w:line="276" w:lineRule="auto"/>
                    <w:rPr>
                      <w:color w:val="auto"/>
                      <w:kern w:val="0"/>
                      <w:sz w:val="21"/>
                      <w:szCs w:val="21"/>
                    </w:rPr>
                  </w:pPr>
                  <w:r>
                    <w:rPr>
                      <w:color w:val="auto"/>
                      <w:sz w:val="21"/>
                      <w:szCs w:val="21"/>
                    </w:rPr>
                    <w:t>O</w:t>
                  </w:r>
                  <w:r>
                    <w:rPr>
                      <w:color w:val="auto"/>
                      <w:sz w:val="21"/>
                      <w:szCs w:val="21"/>
                      <w:vertAlign w:val="subscript"/>
                    </w:rPr>
                    <w:t>3</w:t>
                  </w:r>
                </w:p>
              </w:tc>
              <w:tc>
                <w:tcPr>
                  <w:tcW w:w="1358" w:type="pct"/>
                  <w:vAlign w:val="center"/>
                </w:tcPr>
                <w:p>
                  <w:pPr>
                    <w:pStyle w:val="63"/>
                    <w:spacing w:line="276" w:lineRule="auto"/>
                    <w:rPr>
                      <w:color w:val="auto"/>
                      <w:kern w:val="0"/>
                      <w:sz w:val="21"/>
                      <w:szCs w:val="21"/>
                    </w:rPr>
                  </w:pPr>
                  <w:r>
                    <w:rPr>
                      <w:color w:val="auto"/>
                      <w:sz w:val="21"/>
                      <w:szCs w:val="21"/>
                    </w:rPr>
                    <w:t>90百分位数最大8小时平均质量浓度</w:t>
                  </w:r>
                </w:p>
              </w:tc>
              <w:tc>
                <w:tcPr>
                  <w:tcW w:w="830" w:type="pct"/>
                  <w:vAlign w:val="center"/>
                </w:tcPr>
                <w:p>
                  <w:pPr>
                    <w:pStyle w:val="43"/>
                    <w:snapToGrid w:val="0"/>
                    <w:spacing w:line="276" w:lineRule="auto"/>
                    <w:rPr>
                      <w:rFonts w:hint="default" w:ascii="Times New Roman" w:hAnsi="Times New Roman" w:eastAsia="宋体" w:cs="Times New Roman"/>
                      <w:color w:val="auto"/>
                      <w:kern w:val="0"/>
                      <w:sz w:val="21"/>
                      <w:szCs w:val="21"/>
                      <w:u w:val="single"/>
                      <w:lang w:val="en-US" w:eastAsia="zh-CN"/>
                    </w:rPr>
                  </w:pPr>
                  <w:r>
                    <w:rPr>
                      <w:rFonts w:hint="eastAsia" w:ascii="Times New Roman" w:hAnsi="Times New Roman" w:eastAsia="宋体" w:cs="Times New Roman"/>
                      <w:color w:val="auto"/>
                      <w:kern w:val="0"/>
                      <w:sz w:val="21"/>
                      <w:szCs w:val="21"/>
                      <w:u w:val="none"/>
                      <w:lang w:val="en-US" w:eastAsia="zh-CN"/>
                    </w:rPr>
                    <w:t>147</w:t>
                  </w:r>
                </w:p>
              </w:tc>
              <w:tc>
                <w:tcPr>
                  <w:tcW w:w="952" w:type="pct"/>
                  <w:vAlign w:val="center"/>
                </w:tcPr>
                <w:p>
                  <w:pPr>
                    <w:spacing w:line="276" w:lineRule="auto"/>
                    <w:jc w:val="center"/>
                    <w:rPr>
                      <w:color w:val="auto"/>
                      <w:kern w:val="0"/>
                      <w:sz w:val="21"/>
                      <w:szCs w:val="21"/>
                    </w:rPr>
                  </w:pPr>
                  <w:r>
                    <w:rPr>
                      <w:color w:val="auto"/>
                      <w:sz w:val="21"/>
                      <w:szCs w:val="21"/>
                    </w:rPr>
                    <w:t>160</w:t>
                  </w:r>
                </w:p>
              </w:tc>
              <w:tc>
                <w:tcPr>
                  <w:tcW w:w="574" w:type="pct"/>
                  <w:vAlign w:val="center"/>
                </w:tcPr>
                <w:p>
                  <w:pPr>
                    <w:pStyle w:val="63"/>
                    <w:spacing w:line="276" w:lineRule="auto"/>
                    <w:rPr>
                      <w:rFonts w:hint="default" w:eastAsia="宋体"/>
                      <w:color w:val="auto"/>
                      <w:kern w:val="0"/>
                      <w:sz w:val="21"/>
                      <w:szCs w:val="21"/>
                      <w:lang w:val="en-US" w:eastAsia="zh-CN"/>
                    </w:rPr>
                  </w:pPr>
                  <w:r>
                    <w:rPr>
                      <w:rFonts w:hint="eastAsia"/>
                      <w:color w:val="auto"/>
                      <w:kern w:val="0"/>
                      <w:sz w:val="21"/>
                      <w:szCs w:val="21"/>
                      <w:lang w:val="en-US" w:eastAsia="zh-CN"/>
                    </w:rPr>
                    <w:t>91.88</w:t>
                  </w:r>
                </w:p>
              </w:tc>
              <w:tc>
                <w:tcPr>
                  <w:tcW w:w="578" w:type="pct"/>
                  <w:vAlign w:val="center"/>
                </w:tcPr>
                <w:p>
                  <w:pPr>
                    <w:pStyle w:val="63"/>
                    <w:spacing w:line="276" w:lineRule="auto"/>
                    <w:rPr>
                      <w:color w:val="auto"/>
                      <w:kern w:val="0"/>
                      <w:sz w:val="21"/>
                      <w:szCs w:val="21"/>
                    </w:rPr>
                  </w:pPr>
                  <w:r>
                    <w:rPr>
                      <w:color w:val="auto"/>
                      <w:sz w:val="21"/>
                      <w:szCs w:val="21"/>
                    </w:rPr>
                    <w:t>达标</w:t>
                  </w:r>
                </w:p>
              </w:tc>
            </w:tr>
          </w:tbl>
          <w:p>
            <w:pPr>
              <w:pStyle w:val="7"/>
              <w:ind w:firstLine="480"/>
              <w:rPr>
                <w:color w:val="FF0000"/>
              </w:rPr>
            </w:pPr>
            <w:r>
              <w:rPr>
                <w:color w:val="auto"/>
              </w:rPr>
              <w:t>由上表可知，</w:t>
            </w:r>
            <w:r>
              <w:rPr>
                <w:rFonts w:hint="eastAsia"/>
                <w:color w:val="auto"/>
              </w:rPr>
              <w:t>项目所在区域的监测因子均达到《环境空气质量标准》（GB3095-2012）二级标准要求，区域环境质量较好，属于达标区。</w:t>
            </w:r>
          </w:p>
          <w:p>
            <w:pPr>
              <w:pStyle w:val="7"/>
              <w:ind w:firstLine="480"/>
              <w:rPr>
                <w:color w:val="auto"/>
              </w:rPr>
            </w:pPr>
            <w:r>
              <w:rPr>
                <w:rFonts w:hint="eastAsia"/>
                <w:color w:val="auto"/>
              </w:rPr>
              <w:t>（2）特征污染物环境质量现状评价</w:t>
            </w:r>
          </w:p>
          <w:p>
            <w:pPr>
              <w:pStyle w:val="7"/>
              <w:ind w:firstLine="480"/>
              <w:rPr>
                <w:color w:val="auto"/>
              </w:rPr>
            </w:pPr>
            <w:r>
              <w:rPr>
                <w:color w:val="auto"/>
              </w:rPr>
              <w:t>本次评价期间委托</w:t>
            </w:r>
            <w:r>
              <w:rPr>
                <w:rFonts w:hint="eastAsia"/>
                <w:color w:val="auto"/>
              </w:rPr>
              <w:t>湖南</w:t>
            </w:r>
            <w:r>
              <w:rPr>
                <w:rFonts w:hint="eastAsia"/>
                <w:color w:val="auto"/>
                <w:lang w:val="en-US" w:eastAsia="zh-CN"/>
              </w:rPr>
              <w:t>衡润科技</w:t>
            </w:r>
            <w:r>
              <w:rPr>
                <w:rFonts w:hint="eastAsia"/>
                <w:color w:val="auto"/>
              </w:rPr>
              <w:t>有限公司</w:t>
            </w:r>
            <w:r>
              <w:rPr>
                <w:color w:val="auto"/>
              </w:rPr>
              <w:t>对项目所在地环境</w:t>
            </w:r>
            <w:r>
              <w:rPr>
                <w:rFonts w:hint="eastAsia"/>
                <w:color w:val="auto"/>
              </w:rPr>
              <w:t>空气</w:t>
            </w:r>
            <w:r>
              <w:rPr>
                <w:color w:val="auto"/>
              </w:rPr>
              <w:t>进行了现状监测。</w:t>
            </w:r>
            <w:r>
              <w:rPr>
                <w:rFonts w:hint="eastAsia"/>
                <w:color w:val="auto"/>
              </w:rPr>
              <w:t>具体情况如下：</w:t>
            </w:r>
          </w:p>
          <w:p>
            <w:pPr>
              <w:pStyle w:val="7"/>
              <w:ind w:firstLine="480"/>
              <w:rPr>
                <w:color w:val="auto"/>
              </w:rPr>
            </w:pPr>
            <w:r>
              <w:rPr>
                <w:rFonts w:hint="eastAsia"/>
                <w:color w:val="auto"/>
              </w:rPr>
              <w:t>①监测点位及因子</w:t>
            </w:r>
          </w:p>
          <w:p>
            <w:pPr>
              <w:pStyle w:val="7"/>
              <w:ind w:firstLine="480"/>
              <w:rPr>
                <w:color w:val="auto"/>
              </w:rPr>
            </w:pPr>
            <w:r>
              <w:rPr>
                <w:rFonts w:hint="eastAsia"/>
                <w:color w:val="auto"/>
              </w:rPr>
              <w:t>监测点位：</w:t>
            </w:r>
            <w:r>
              <w:rPr>
                <w:color w:val="auto"/>
              </w:rPr>
              <w:t>项目区域下风向</w:t>
            </w:r>
            <w:r>
              <w:rPr>
                <w:rFonts w:hint="eastAsia"/>
                <w:color w:val="auto"/>
              </w:rPr>
              <w:t>G1。</w:t>
            </w:r>
          </w:p>
          <w:p>
            <w:pPr>
              <w:pStyle w:val="7"/>
              <w:ind w:firstLine="480"/>
              <w:rPr>
                <w:color w:val="auto"/>
              </w:rPr>
            </w:pPr>
            <w:r>
              <w:rPr>
                <w:rFonts w:hint="eastAsia"/>
                <w:color w:val="auto"/>
              </w:rPr>
              <w:t>监测因子：硫化氢、氨、氯气。</w:t>
            </w:r>
          </w:p>
          <w:p>
            <w:pPr>
              <w:pStyle w:val="7"/>
              <w:ind w:firstLine="480"/>
              <w:rPr>
                <w:color w:val="auto"/>
              </w:rPr>
            </w:pPr>
            <w:r>
              <w:rPr>
                <w:rFonts w:hint="eastAsia"/>
                <w:color w:val="auto"/>
              </w:rPr>
              <w:t>②监测</w:t>
            </w:r>
            <w:r>
              <w:rPr>
                <w:rFonts w:hint="eastAsia"/>
                <w:color w:val="auto"/>
                <w:lang w:eastAsia="zh-CN"/>
              </w:rPr>
              <w:t>时间和</w:t>
            </w:r>
            <w:r>
              <w:rPr>
                <w:rFonts w:hint="eastAsia"/>
                <w:color w:val="auto"/>
              </w:rPr>
              <w:t>频率</w:t>
            </w:r>
          </w:p>
          <w:p>
            <w:pPr>
              <w:pStyle w:val="7"/>
              <w:ind w:firstLine="480"/>
              <w:rPr>
                <w:color w:val="FF0000"/>
              </w:rPr>
            </w:pPr>
            <w:r>
              <w:rPr>
                <w:rFonts w:hint="eastAsia"/>
                <w:color w:val="auto"/>
              </w:rPr>
              <w:t>连续监测</w:t>
            </w:r>
            <w:r>
              <w:rPr>
                <w:rFonts w:hint="eastAsia"/>
                <w:color w:val="auto"/>
                <w:lang w:val="en-US" w:eastAsia="zh-CN"/>
              </w:rPr>
              <w:t>3</w:t>
            </w:r>
            <w:r>
              <w:rPr>
                <w:rFonts w:hint="eastAsia"/>
                <w:color w:val="auto"/>
              </w:rPr>
              <w:t>天（2023.</w:t>
            </w:r>
            <w:r>
              <w:rPr>
                <w:rFonts w:hint="eastAsia"/>
                <w:color w:val="auto"/>
                <w:lang w:val="en-US" w:eastAsia="zh-CN"/>
              </w:rPr>
              <w:t>10</w:t>
            </w:r>
            <w:r>
              <w:rPr>
                <w:rFonts w:hint="eastAsia"/>
                <w:color w:val="auto"/>
              </w:rPr>
              <w:t>.</w:t>
            </w:r>
            <w:r>
              <w:rPr>
                <w:rFonts w:hint="eastAsia"/>
                <w:color w:val="auto"/>
                <w:lang w:val="en-US" w:eastAsia="zh-CN"/>
              </w:rPr>
              <w:t>15-2023.10.17</w:t>
            </w:r>
            <w:r>
              <w:rPr>
                <w:rFonts w:hint="eastAsia"/>
                <w:color w:val="auto"/>
              </w:rPr>
              <w:t>）。</w:t>
            </w:r>
          </w:p>
          <w:p>
            <w:pPr>
              <w:pStyle w:val="7"/>
              <w:ind w:firstLine="480"/>
              <w:rPr>
                <w:color w:val="auto"/>
              </w:rPr>
            </w:pPr>
            <w:r>
              <w:rPr>
                <w:rFonts w:hint="eastAsia"/>
                <w:color w:val="auto"/>
              </w:rPr>
              <w:t>③监测及分析方法：</w:t>
            </w:r>
          </w:p>
          <w:p>
            <w:pPr>
              <w:pStyle w:val="7"/>
              <w:ind w:firstLine="480"/>
              <w:rPr>
                <w:color w:val="auto"/>
              </w:rPr>
            </w:pPr>
            <w:r>
              <w:rPr>
                <w:rFonts w:hint="eastAsia"/>
                <w:color w:val="auto"/>
              </w:rPr>
              <w:t>采样及监测分析方法按</w:t>
            </w:r>
            <w:r>
              <w:rPr>
                <w:color w:val="auto"/>
              </w:rPr>
              <w:t>《</w:t>
            </w:r>
            <w:r>
              <w:rPr>
                <w:rFonts w:hint="eastAsia"/>
                <w:color w:val="auto"/>
              </w:rPr>
              <w:t>环境空气质量手工监测技术规范</w:t>
            </w:r>
            <w:r>
              <w:rPr>
                <w:color w:val="auto"/>
              </w:rPr>
              <w:t xml:space="preserve">》HJ/T </w:t>
            </w:r>
            <w:r>
              <w:rPr>
                <w:rFonts w:hint="eastAsia"/>
                <w:color w:val="auto"/>
              </w:rPr>
              <w:t>194-2017中相关规定。</w:t>
            </w:r>
          </w:p>
          <w:p>
            <w:pPr>
              <w:pStyle w:val="7"/>
              <w:ind w:firstLine="480"/>
              <w:rPr>
                <w:color w:val="auto"/>
              </w:rPr>
            </w:pPr>
            <w:r>
              <w:rPr>
                <w:rFonts w:hint="eastAsia"/>
                <w:color w:val="auto"/>
              </w:rPr>
              <w:t>④评价标准</w:t>
            </w:r>
          </w:p>
          <w:p>
            <w:pPr>
              <w:pStyle w:val="7"/>
              <w:ind w:firstLine="480"/>
              <w:rPr>
                <w:color w:val="auto"/>
              </w:rPr>
            </w:pPr>
            <w:r>
              <w:rPr>
                <w:rFonts w:hint="eastAsia"/>
                <w:color w:val="auto"/>
              </w:rPr>
              <w:t>硫化氢、氨执行《环境影响评价技术导则 大气环境》（HJ2.2-2018）中附录D标准。</w:t>
            </w:r>
          </w:p>
          <w:p>
            <w:pPr>
              <w:pStyle w:val="7"/>
              <w:ind w:firstLine="480"/>
              <w:rPr>
                <w:color w:val="auto"/>
              </w:rPr>
            </w:pPr>
            <w:r>
              <w:rPr>
                <w:rFonts w:hint="eastAsia"/>
                <w:color w:val="auto"/>
              </w:rPr>
              <w:t>⑤评价方法</w:t>
            </w:r>
          </w:p>
          <w:p>
            <w:pPr>
              <w:pStyle w:val="7"/>
              <w:ind w:firstLine="480"/>
              <w:rPr>
                <w:color w:val="auto"/>
              </w:rPr>
            </w:pPr>
            <w:r>
              <w:rPr>
                <w:color w:val="auto"/>
              </w:rPr>
              <w:t>本次大气环境质量现状评价采用超标率、最大超标倍数法进行评价。</w:t>
            </w:r>
          </w:p>
          <w:p>
            <w:pPr>
              <w:pStyle w:val="7"/>
              <w:ind w:firstLine="480"/>
              <w:rPr>
                <w:color w:val="auto"/>
              </w:rPr>
            </w:pPr>
            <w:r>
              <w:rPr>
                <w:rFonts w:hint="eastAsia"/>
                <w:color w:val="auto"/>
              </w:rPr>
              <w:t>⑥监测结果及评价</w:t>
            </w:r>
          </w:p>
          <w:p>
            <w:pPr>
              <w:tabs>
                <w:tab w:val="left" w:pos="1021"/>
              </w:tabs>
              <w:ind w:firstLine="480" w:firstLineChars="200"/>
              <w:rPr>
                <w:color w:val="auto"/>
              </w:rPr>
            </w:pPr>
            <w:r>
              <w:rPr>
                <w:rFonts w:hint="eastAsia"/>
                <w:color w:val="auto"/>
              </w:rPr>
              <w:t>评价区域环境空气污染物现状监测结果统计分析见下表。</w:t>
            </w:r>
          </w:p>
          <w:p>
            <w:pPr>
              <w:pStyle w:val="49"/>
              <w:rPr>
                <w:color w:val="auto"/>
              </w:rPr>
            </w:pPr>
            <w:r>
              <w:rPr>
                <w:rFonts w:hint="eastAsia"/>
                <w:color w:val="auto"/>
              </w:rPr>
              <w:t>表</w:t>
            </w:r>
            <w:r>
              <w:rPr>
                <w:color w:val="auto"/>
              </w:rPr>
              <w:t>3</w:t>
            </w:r>
            <w:r>
              <w:rPr>
                <w:rFonts w:hint="eastAsia"/>
                <w:color w:val="auto"/>
              </w:rPr>
              <w:t>.1</w:t>
            </w:r>
            <w:r>
              <w:rPr>
                <w:color w:val="auto"/>
              </w:rPr>
              <w:t>-</w:t>
            </w:r>
            <w:r>
              <w:rPr>
                <w:rFonts w:hint="eastAsia"/>
                <w:color w:val="auto"/>
              </w:rPr>
              <w:t xml:space="preserve">2  </w:t>
            </w:r>
            <w:r>
              <w:rPr>
                <w:color w:val="auto"/>
              </w:rPr>
              <w:t>环境空气监测评价结果（单位：mg/m³）</w:t>
            </w:r>
          </w:p>
          <w:tbl>
            <w:tblPr>
              <w:tblStyle w:val="3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1389"/>
              <w:gridCol w:w="1411"/>
              <w:gridCol w:w="1234"/>
              <w:gridCol w:w="1251"/>
              <w:gridCol w:w="1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92" w:type="pct"/>
                  <w:vMerge w:val="restart"/>
                  <w:tcBorders>
                    <w:tl2br w:val="nil"/>
                    <w:tr2bl w:val="nil"/>
                  </w:tcBorders>
                  <w:vAlign w:val="center"/>
                </w:tcPr>
                <w:p>
                  <w:pPr>
                    <w:pStyle w:val="48"/>
                    <w:spacing w:line="276" w:lineRule="auto"/>
                    <w:rPr>
                      <w:u w:val="none"/>
                    </w:rPr>
                  </w:pPr>
                  <w:r>
                    <w:rPr>
                      <w:u w:val="none"/>
                    </w:rPr>
                    <w:t>监测点位</w:t>
                  </w:r>
                </w:p>
              </w:tc>
              <w:tc>
                <w:tcPr>
                  <w:tcW w:w="886" w:type="pct"/>
                  <w:vMerge w:val="restart"/>
                  <w:tcBorders>
                    <w:tl2br w:val="nil"/>
                    <w:tr2bl w:val="nil"/>
                  </w:tcBorders>
                  <w:vAlign w:val="center"/>
                </w:tcPr>
                <w:p>
                  <w:pPr>
                    <w:pStyle w:val="48"/>
                    <w:spacing w:line="276" w:lineRule="auto"/>
                    <w:rPr>
                      <w:u w:val="none"/>
                    </w:rPr>
                  </w:pPr>
                  <w:r>
                    <w:rPr>
                      <w:rFonts w:hint="eastAsia"/>
                      <w:u w:val="none"/>
                    </w:rPr>
                    <w:t>检测日期</w:t>
                  </w:r>
                </w:p>
              </w:tc>
              <w:tc>
                <w:tcPr>
                  <w:tcW w:w="899" w:type="pct"/>
                  <w:vMerge w:val="restart"/>
                  <w:tcBorders>
                    <w:tl2br w:val="nil"/>
                    <w:tr2bl w:val="nil"/>
                  </w:tcBorders>
                  <w:vAlign w:val="center"/>
                </w:tcPr>
                <w:p>
                  <w:pPr>
                    <w:pStyle w:val="48"/>
                    <w:spacing w:line="276" w:lineRule="auto"/>
                    <w:rPr>
                      <w:u w:val="none"/>
                    </w:rPr>
                  </w:pPr>
                  <w:r>
                    <w:rPr>
                      <w:u w:val="none"/>
                    </w:rPr>
                    <w:t>监测</w:t>
                  </w:r>
                  <w:r>
                    <w:rPr>
                      <w:rFonts w:hint="eastAsia"/>
                      <w:u w:val="none"/>
                    </w:rPr>
                    <w:t>频次</w:t>
                  </w:r>
                </w:p>
              </w:tc>
              <w:tc>
                <w:tcPr>
                  <w:tcW w:w="2621" w:type="pct"/>
                  <w:gridSpan w:val="3"/>
                  <w:tcBorders>
                    <w:tl2br w:val="nil"/>
                    <w:tr2bl w:val="nil"/>
                  </w:tcBorders>
                  <w:vAlign w:val="center"/>
                </w:tcPr>
                <w:p>
                  <w:pPr>
                    <w:pStyle w:val="48"/>
                    <w:spacing w:line="276" w:lineRule="auto"/>
                    <w:rPr>
                      <w:u w:val="none"/>
                    </w:rPr>
                  </w:pPr>
                  <w:r>
                    <w:rPr>
                      <w:u w:val="none"/>
                    </w:rPr>
                    <w:t>检测结果（mg/m³）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92" w:type="pct"/>
                  <w:vMerge w:val="continue"/>
                  <w:tcBorders>
                    <w:tl2br w:val="nil"/>
                    <w:tr2bl w:val="nil"/>
                  </w:tcBorders>
                </w:tcPr>
                <w:p>
                  <w:pPr>
                    <w:pStyle w:val="48"/>
                    <w:spacing w:line="276" w:lineRule="auto"/>
                    <w:rPr>
                      <w:u w:val="none"/>
                    </w:rPr>
                  </w:pPr>
                </w:p>
              </w:tc>
              <w:tc>
                <w:tcPr>
                  <w:tcW w:w="886" w:type="pct"/>
                  <w:vMerge w:val="continue"/>
                  <w:tcBorders>
                    <w:tl2br w:val="nil"/>
                    <w:tr2bl w:val="nil"/>
                  </w:tcBorders>
                  <w:vAlign w:val="center"/>
                </w:tcPr>
                <w:p>
                  <w:pPr>
                    <w:pStyle w:val="48"/>
                    <w:spacing w:line="276" w:lineRule="auto"/>
                    <w:rPr>
                      <w:u w:val="none"/>
                    </w:rPr>
                  </w:pPr>
                </w:p>
              </w:tc>
              <w:tc>
                <w:tcPr>
                  <w:tcW w:w="899" w:type="pct"/>
                  <w:vMerge w:val="continue"/>
                  <w:tcBorders>
                    <w:tl2br w:val="nil"/>
                    <w:tr2bl w:val="nil"/>
                  </w:tcBorders>
                  <w:vAlign w:val="center"/>
                </w:tcPr>
                <w:p>
                  <w:pPr>
                    <w:pStyle w:val="48"/>
                    <w:spacing w:line="276" w:lineRule="auto"/>
                    <w:rPr>
                      <w:u w:val="none"/>
                    </w:rPr>
                  </w:pPr>
                </w:p>
              </w:tc>
              <w:tc>
                <w:tcPr>
                  <w:tcW w:w="787" w:type="pct"/>
                  <w:tcBorders>
                    <w:tl2br w:val="nil"/>
                    <w:tr2bl w:val="nil"/>
                  </w:tcBorders>
                  <w:vAlign w:val="center"/>
                </w:tcPr>
                <w:p>
                  <w:pPr>
                    <w:pStyle w:val="48"/>
                    <w:spacing w:line="276" w:lineRule="auto"/>
                    <w:rPr>
                      <w:u w:val="none"/>
                    </w:rPr>
                  </w:pPr>
                  <w:r>
                    <w:rPr>
                      <w:u w:val="none"/>
                    </w:rPr>
                    <w:t>氨</w:t>
                  </w:r>
                </w:p>
              </w:tc>
              <w:tc>
                <w:tcPr>
                  <w:tcW w:w="798" w:type="pct"/>
                  <w:tcBorders>
                    <w:tl2br w:val="nil"/>
                    <w:tr2bl w:val="nil"/>
                  </w:tcBorders>
                  <w:vAlign w:val="center"/>
                </w:tcPr>
                <w:p>
                  <w:pPr>
                    <w:pStyle w:val="48"/>
                    <w:spacing w:line="276" w:lineRule="auto"/>
                    <w:rPr>
                      <w:u w:val="none"/>
                    </w:rPr>
                  </w:pPr>
                  <w:r>
                    <w:rPr>
                      <w:rFonts w:hint="eastAsia"/>
                      <w:u w:val="none"/>
                    </w:rPr>
                    <w:t>氯气</w:t>
                  </w:r>
                </w:p>
              </w:tc>
              <w:tc>
                <w:tcPr>
                  <w:tcW w:w="1036" w:type="pct"/>
                  <w:tcBorders>
                    <w:tl2br w:val="nil"/>
                    <w:tr2bl w:val="nil"/>
                  </w:tcBorders>
                  <w:vAlign w:val="center"/>
                </w:tcPr>
                <w:p>
                  <w:pPr>
                    <w:pStyle w:val="48"/>
                    <w:spacing w:line="276" w:lineRule="auto"/>
                    <w:rPr>
                      <w:u w:val="none"/>
                    </w:rPr>
                  </w:pPr>
                  <w:r>
                    <w:rPr>
                      <w:u w:val="none"/>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Merge w:val="restart"/>
                  <w:tcBorders>
                    <w:tl2br w:val="nil"/>
                    <w:tr2bl w:val="nil"/>
                  </w:tcBorders>
                  <w:vAlign w:val="center"/>
                </w:tcPr>
                <w:p>
                  <w:pPr>
                    <w:pStyle w:val="48"/>
                    <w:spacing w:line="276" w:lineRule="auto"/>
                    <w:rPr>
                      <w:u w:val="none"/>
                    </w:rPr>
                  </w:pPr>
                  <w:r>
                    <w:rPr>
                      <w:rFonts w:hint="default" w:ascii="Times New Roman" w:hAnsi="Times New Roman" w:eastAsia="宋体" w:cs="Times New Roman"/>
                      <w:b w:val="0"/>
                      <w:bCs w:val="0"/>
                      <w:color w:val="auto"/>
                      <w:sz w:val="21"/>
                      <w:szCs w:val="21"/>
                      <w:lang w:val="en-US" w:eastAsia="zh-CN"/>
                    </w:rPr>
                    <w:t>医院厂址下风向G1</w:t>
                  </w:r>
                </w:p>
              </w:tc>
              <w:tc>
                <w:tcPr>
                  <w:tcW w:w="886" w:type="pct"/>
                  <w:vMerge w:val="restart"/>
                  <w:tcBorders>
                    <w:tl2br w:val="nil"/>
                    <w:tr2bl w:val="nil"/>
                  </w:tcBorders>
                  <w:vAlign w:val="center"/>
                </w:tcPr>
                <w:p>
                  <w:pPr>
                    <w:pStyle w:val="48"/>
                    <w:spacing w:line="276" w:lineRule="auto"/>
                    <w:rPr>
                      <w:rFonts w:hint="default" w:eastAsia="宋体"/>
                      <w:u w:val="none"/>
                      <w:lang w:val="en-US" w:eastAsia="zh-CN"/>
                    </w:rPr>
                  </w:pPr>
                  <w:r>
                    <w:rPr>
                      <w:rFonts w:hint="eastAsia"/>
                      <w:u w:val="none"/>
                      <w:lang w:val="en-US" w:eastAsia="zh-CN"/>
                    </w:rPr>
                    <w:t>10.15</w:t>
                  </w:r>
                </w:p>
              </w:tc>
              <w:tc>
                <w:tcPr>
                  <w:tcW w:w="899" w:type="pct"/>
                  <w:tcBorders>
                    <w:tl2br w:val="nil"/>
                    <w:tr2bl w:val="nil"/>
                  </w:tcBorders>
                  <w:vAlign w:val="center"/>
                </w:tcPr>
                <w:p>
                  <w:pPr>
                    <w:pStyle w:val="48"/>
                    <w:spacing w:line="276" w:lineRule="auto"/>
                    <w:rPr>
                      <w:u w:val="none"/>
                    </w:rPr>
                  </w:pPr>
                  <w:r>
                    <w:rPr>
                      <w:rFonts w:hint="eastAsia"/>
                      <w:u w:val="none"/>
                    </w:rPr>
                    <w:t>第1次</w:t>
                  </w:r>
                </w:p>
              </w:tc>
              <w:tc>
                <w:tcPr>
                  <w:tcW w:w="78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sz w:val="21"/>
                      <w:szCs w:val="21"/>
                      <w:u w:val="none"/>
                    </w:rPr>
                  </w:pP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0.01</w:t>
                  </w:r>
                </w:p>
              </w:tc>
              <w:tc>
                <w:tcPr>
                  <w:tcW w:w="798" w:type="pct"/>
                  <w:tcBorders>
                    <w:tl2br w:val="nil"/>
                    <w:tr2bl w:val="nil"/>
                  </w:tcBorders>
                  <w:vAlign w:val="center"/>
                </w:tcPr>
                <w:p>
                  <w:pPr>
                    <w:widowControl/>
                    <w:jc w:val="center"/>
                    <w:textAlignment w:val="center"/>
                    <w:rPr>
                      <w:sz w:val="21"/>
                      <w:szCs w:val="21"/>
                      <w:u w:val="none"/>
                    </w:rPr>
                  </w:pPr>
                  <w:r>
                    <w:rPr>
                      <w:rFonts w:hint="eastAsia" w:ascii="Times New Roman" w:hAnsi="Times New Roman" w:eastAsia="宋体" w:cs="Times New Roman"/>
                      <w:color w:val="auto"/>
                      <w:kern w:val="2"/>
                      <w:sz w:val="21"/>
                      <w:szCs w:val="21"/>
                      <w:lang w:val="en-US" w:eastAsia="zh-CN" w:bidi="ar-SA"/>
                    </w:rPr>
                    <w:t>0.05</w:t>
                  </w:r>
                </w:p>
              </w:tc>
              <w:tc>
                <w:tcPr>
                  <w:tcW w:w="1036" w:type="pct"/>
                  <w:tcBorders>
                    <w:tl2br w:val="nil"/>
                    <w:tr2bl w:val="nil"/>
                  </w:tcBorders>
                  <w:vAlign w:val="center"/>
                </w:tcPr>
                <w:p>
                  <w:pPr>
                    <w:widowControl/>
                    <w:jc w:val="center"/>
                    <w:textAlignment w:val="center"/>
                    <w:rPr>
                      <w:sz w:val="21"/>
                      <w:szCs w:val="21"/>
                      <w:u w:val="none"/>
                    </w:rPr>
                  </w:pPr>
                  <w:r>
                    <w:rPr>
                      <w:rFonts w:hint="default" w:ascii="Times New Roman" w:hAnsi="Times New Roman" w:eastAsia="宋体" w:cs="Times New Roman"/>
                      <w:color w:val="auto"/>
                      <w:kern w:val="2"/>
                      <w:sz w:val="21"/>
                      <w:szCs w:val="21"/>
                      <w:u w:val="none"/>
                      <w:lang w:val="en-US" w:eastAsia="zh-CN" w:bidi="ar-SA"/>
                    </w:rPr>
                    <w:t>﹤</w:t>
                  </w:r>
                  <w:r>
                    <w:rPr>
                      <w:rFonts w:hint="eastAsia" w:ascii="Times New Roman" w:hAnsi="Times New Roman" w:eastAsia="宋体" w:cs="Times New Roman"/>
                      <w:color w:val="auto"/>
                      <w:kern w:val="2"/>
                      <w:sz w:val="21"/>
                      <w:szCs w:val="21"/>
                      <w:u w:val="none"/>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Merge w:val="continue"/>
                  <w:tcBorders>
                    <w:tl2br w:val="nil"/>
                    <w:tr2bl w:val="nil"/>
                  </w:tcBorders>
                  <w:vAlign w:val="center"/>
                </w:tcPr>
                <w:p>
                  <w:pPr>
                    <w:pStyle w:val="48"/>
                    <w:spacing w:line="276" w:lineRule="auto"/>
                    <w:rPr>
                      <w:u w:val="none"/>
                    </w:rPr>
                  </w:pPr>
                </w:p>
              </w:tc>
              <w:tc>
                <w:tcPr>
                  <w:tcW w:w="886" w:type="pct"/>
                  <w:vMerge w:val="continue"/>
                  <w:tcBorders>
                    <w:tl2br w:val="nil"/>
                    <w:tr2bl w:val="nil"/>
                  </w:tcBorders>
                  <w:vAlign w:val="center"/>
                </w:tcPr>
                <w:p>
                  <w:pPr>
                    <w:pStyle w:val="48"/>
                    <w:spacing w:line="276" w:lineRule="auto"/>
                    <w:rPr>
                      <w:u w:val="none"/>
                    </w:rPr>
                  </w:pPr>
                </w:p>
              </w:tc>
              <w:tc>
                <w:tcPr>
                  <w:tcW w:w="899" w:type="pct"/>
                  <w:tcBorders>
                    <w:tl2br w:val="nil"/>
                    <w:tr2bl w:val="nil"/>
                  </w:tcBorders>
                  <w:vAlign w:val="center"/>
                </w:tcPr>
                <w:p>
                  <w:pPr>
                    <w:pStyle w:val="48"/>
                    <w:spacing w:line="276" w:lineRule="auto"/>
                    <w:rPr>
                      <w:u w:val="none"/>
                    </w:rPr>
                  </w:pPr>
                  <w:r>
                    <w:rPr>
                      <w:rFonts w:hint="eastAsia"/>
                      <w:u w:val="none"/>
                    </w:rPr>
                    <w:t>第2次</w:t>
                  </w:r>
                </w:p>
              </w:tc>
              <w:tc>
                <w:tcPr>
                  <w:tcW w:w="78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sz w:val="21"/>
                      <w:szCs w:val="21"/>
                      <w:u w:val="none"/>
                    </w:rPr>
                  </w:pPr>
                  <w:r>
                    <w:rPr>
                      <w:rFonts w:hint="eastAsia" w:ascii="Times New Roman" w:hAnsi="Times New Roman" w:eastAsia="宋体" w:cs="Times New Roman"/>
                      <w:color w:val="000000"/>
                      <w:kern w:val="2"/>
                      <w:sz w:val="21"/>
                      <w:szCs w:val="21"/>
                      <w:highlight w:val="none"/>
                      <w:lang w:val="en-US" w:eastAsia="zh-CN" w:bidi="ar-SA"/>
                    </w:rPr>
                    <w:t>0.03</w:t>
                  </w:r>
                </w:p>
              </w:tc>
              <w:tc>
                <w:tcPr>
                  <w:tcW w:w="798" w:type="pct"/>
                  <w:tcBorders>
                    <w:tl2br w:val="nil"/>
                    <w:tr2bl w:val="nil"/>
                  </w:tcBorders>
                  <w:vAlign w:val="center"/>
                </w:tcPr>
                <w:p>
                  <w:pPr>
                    <w:widowControl/>
                    <w:jc w:val="center"/>
                    <w:textAlignment w:val="center"/>
                    <w:rPr>
                      <w:sz w:val="21"/>
                      <w:szCs w:val="21"/>
                      <w:u w:val="none"/>
                    </w:rPr>
                  </w:pPr>
                  <w:r>
                    <w:rPr>
                      <w:rFonts w:hint="eastAsia" w:ascii="Times New Roman" w:hAnsi="Times New Roman" w:eastAsia="宋体" w:cs="Times New Roman"/>
                      <w:color w:val="auto"/>
                      <w:kern w:val="2"/>
                      <w:sz w:val="21"/>
                      <w:szCs w:val="21"/>
                      <w:lang w:val="en-US" w:eastAsia="zh-CN" w:bidi="ar-SA"/>
                    </w:rPr>
                    <w:t>0.07</w:t>
                  </w:r>
                </w:p>
              </w:tc>
              <w:tc>
                <w:tcPr>
                  <w:tcW w:w="1036" w:type="pct"/>
                  <w:tcBorders>
                    <w:tl2br w:val="nil"/>
                    <w:tr2bl w:val="nil"/>
                  </w:tcBorders>
                  <w:vAlign w:val="center"/>
                </w:tcPr>
                <w:p>
                  <w:pPr>
                    <w:widowControl/>
                    <w:jc w:val="center"/>
                    <w:textAlignment w:val="center"/>
                    <w:rPr>
                      <w:sz w:val="21"/>
                      <w:szCs w:val="21"/>
                      <w:u w:val="none"/>
                    </w:rPr>
                  </w:pPr>
                  <w:r>
                    <w:rPr>
                      <w:rFonts w:hint="default" w:ascii="Times New Roman" w:hAnsi="Times New Roman" w:eastAsia="宋体" w:cs="Times New Roman"/>
                      <w:color w:val="auto"/>
                      <w:kern w:val="2"/>
                      <w:sz w:val="21"/>
                      <w:szCs w:val="21"/>
                      <w:u w:val="none"/>
                      <w:lang w:val="en-US" w:eastAsia="zh-CN" w:bidi="ar-SA"/>
                    </w:rPr>
                    <w:t>﹤</w:t>
                  </w:r>
                  <w:r>
                    <w:rPr>
                      <w:rFonts w:hint="eastAsia" w:ascii="Times New Roman" w:hAnsi="Times New Roman" w:eastAsia="宋体" w:cs="Times New Roman"/>
                      <w:color w:val="auto"/>
                      <w:kern w:val="2"/>
                      <w:sz w:val="21"/>
                      <w:szCs w:val="21"/>
                      <w:u w:val="none"/>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Merge w:val="continue"/>
                  <w:tcBorders>
                    <w:tl2br w:val="nil"/>
                    <w:tr2bl w:val="nil"/>
                  </w:tcBorders>
                  <w:vAlign w:val="center"/>
                </w:tcPr>
                <w:p>
                  <w:pPr>
                    <w:pStyle w:val="48"/>
                    <w:spacing w:line="276" w:lineRule="auto"/>
                    <w:rPr>
                      <w:u w:val="none"/>
                    </w:rPr>
                  </w:pPr>
                </w:p>
              </w:tc>
              <w:tc>
                <w:tcPr>
                  <w:tcW w:w="886" w:type="pct"/>
                  <w:vMerge w:val="continue"/>
                  <w:tcBorders>
                    <w:tl2br w:val="nil"/>
                    <w:tr2bl w:val="nil"/>
                  </w:tcBorders>
                  <w:vAlign w:val="center"/>
                </w:tcPr>
                <w:p>
                  <w:pPr>
                    <w:pStyle w:val="48"/>
                    <w:spacing w:line="276" w:lineRule="auto"/>
                    <w:rPr>
                      <w:u w:val="none"/>
                    </w:rPr>
                  </w:pPr>
                </w:p>
              </w:tc>
              <w:tc>
                <w:tcPr>
                  <w:tcW w:w="899" w:type="pct"/>
                  <w:tcBorders>
                    <w:tl2br w:val="nil"/>
                    <w:tr2bl w:val="nil"/>
                  </w:tcBorders>
                  <w:vAlign w:val="center"/>
                </w:tcPr>
                <w:p>
                  <w:pPr>
                    <w:pStyle w:val="48"/>
                    <w:spacing w:line="276" w:lineRule="auto"/>
                    <w:rPr>
                      <w:u w:val="none"/>
                    </w:rPr>
                  </w:pPr>
                  <w:r>
                    <w:rPr>
                      <w:rFonts w:hint="eastAsia"/>
                      <w:u w:val="none"/>
                    </w:rPr>
                    <w:t>第3次</w:t>
                  </w:r>
                </w:p>
              </w:tc>
              <w:tc>
                <w:tcPr>
                  <w:tcW w:w="78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sz w:val="21"/>
                      <w:szCs w:val="21"/>
                      <w:u w:val="none"/>
                    </w:rPr>
                  </w:pPr>
                  <w:r>
                    <w:rPr>
                      <w:rFonts w:hint="eastAsia" w:ascii="Times New Roman" w:hAnsi="Times New Roman" w:eastAsia="宋体" w:cs="Times New Roman"/>
                      <w:color w:val="000000"/>
                      <w:kern w:val="2"/>
                      <w:sz w:val="21"/>
                      <w:szCs w:val="21"/>
                      <w:highlight w:val="none"/>
                      <w:lang w:val="en-US" w:eastAsia="zh-CN" w:bidi="ar-SA"/>
                    </w:rPr>
                    <w:t>0.02</w:t>
                  </w:r>
                </w:p>
              </w:tc>
              <w:tc>
                <w:tcPr>
                  <w:tcW w:w="798" w:type="pct"/>
                  <w:tcBorders>
                    <w:tl2br w:val="nil"/>
                    <w:tr2bl w:val="nil"/>
                  </w:tcBorders>
                  <w:vAlign w:val="center"/>
                </w:tcPr>
                <w:p>
                  <w:pPr>
                    <w:widowControl/>
                    <w:jc w:val="center"/>
                    <w:textAlignment w:val="center"/>
                    <w:rPr>
                      <w:sz w:val="21"/>
                      <w:szCs w:val="21"/>
                      <w:u w:val="none"/>
                    </w:rPr>
                  </w:pPr>
                  <w:r>
                    <w:rPr>
                      <w:rFonts w:hint="eastAsia" w:ascii="Times New Roman" w:hAnsi="Times New Roman" w:eastAsia="宋体" w:cs="Times New Roman"/>
                      <w:color w:val="auto"/>
                      <w:kern w:val="2"/>
                      <w:sz w:val="21"/>
                      <w:szCs w:val="21"/>
                      <w:lang w:val="en-US" w:eastAsia="zh-CN" w:bidi="ar-SA"/>
                    </w:rPr>
                    <w:t>0.06</w:t>
                  </w:r>
                </w:p>
              </w:tc>
              <w:tc>
                <w:tcPr>
                  <w:tcW w:w="1036" w:type="pct"/>
                  <w:tcBorders>
                    <w:tl2br w:val="nil"/>
                    <w:tr2bl w:val="nil"/>
                  </w:tcBorders>
                  <w:vAlign w:val="center"/>
                </w:tcPr>
                <w:p>
                  <w:pPr>
                    <w:widowControl/>
                    <w:jc w:val="center"/>
                    <w:textAlignment w:val="center"/>
                    <w:rPr>
                      <w:sz w:val="21"/>
                      <w:szCs w:val="21"/>
                      <w:u w:val="none"/>
                    </w:rPr>
                  </w:pPr>
                  <w:r>
                    <w:rPr>
                      <w:rFonts w:hint="default" w:ascii="Times New Roman" w:hAnsi="Times New Roman" w:eastAsia="宋体" w:cs="Times New Roman"/>
                      <w:color w:val="auto"/>
                      <w:kern w:val="2"/>
                      <w:sz w:val="21"/>
                      <w:szCs w:val="21"/>
                      <w:u w:val="none"/>
                      <w:lang w:val="en-US" w:eastAsia="zh-CN" w:bidi="ar-SA"/>
                    </w:rPr>
                    <w:t>﹤</w:t>
                  </w:r>
                  <w:r>
                    <w:rPr>
                      <w:rFonts w:hint="eastAsia" w:ascii="Times New Roman" w:hAnsi="Times New Roman" w:eastAsia="宋体" w:cs="Times New Roman"/>
                      <w:color w:val="auto"/>
                      <w:kern w:val="2"/>
                      <w:sz w:val="21"/>
                      <w:szCs w:val="21"/>
                      <w:u w:val="none"/>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Merge w:val="continue"/>
                  <w:tcBorders>
                    <w:tl2br w:val="nil"/>
                    <w:tr2bl w:val="nil"/>
                  </w:tcBorders>
                  <w:vAlign w:val="center"/>
                </w:tcPr>
                <w:p>
                  <w:pPr>
                    <w:pStyle w:val="48"/>
                    <w:spacing w:line="276" w:lineRule="auto"/>
                    <w:rPr>
                      <w:u w:val="none"/>
                    </w:rPr>
                  </w:pPr>
                </w:p>
              </w:tc>
              <w:tc>
                <w:tcPr>
                  <w:tcW w:w="886" w:type="pct"/>
                  <w:vMerge w:val="continue"/>
                  <w:tcBorders>
                    <w:tl2br w:val="nil"/>
                    <w:tr2bl w:val="nil"/>
                  </w:tcBorders>
                  <w:vAlign w:val="center"/>
                </w:tcPr>
                <w:p>
                  <w:pPr>
                    <w:pStyle w:val="48"/>
                    <w:spacing w:line="276" w:lineRule="auto"/>
                    <w:rPr>
                      <w:u w:val="none"/>
                    </w:rPr>
                  </w:pPr>
                </w:p>
              </w:tc>
              <w:tc>
                <w:tcPr>
                  <w:tcW w:w="899" w:type="pct"/>
                  <w:tcBorders>
                    <w:tl2br w:val="nil"/>
                    <w:tr2bl w:val="nil"/>
                  </w:tcBorders>
                  <w:vAlign w:val="center"/>
                </w:tcPr>
                <w:p>
                  <w:pPr>
                    <w:pStyle w:val="48"/>
                    <w:spacing w:line="276" w:lineRule="auto"/>
                    <w:rPr>
                      <w:rFonts w:hint="eastAsia"/>
                      <w:u w:val="none"/>
                    </w:rPr>
                  </w:pPr>
                  <w:r>
                    <w:rPr>
                      <w:rFonts w:hint="eastAsia"/>
                      <w:u w:val="none"/>
                    </w:rPr>
                    <w:t>第</w:t>
                  </w:r>
                  <w:r>
                    <w:rPr>
                      <w:rFonts w:hint="eastAsia"/>
                      <w:u w:val="none"/>
                      <w:lang w:val="en-US" w:eastAsia="zh-CN"/>
                    </w:rPr>
                    <w:t>4</w:t>
                  </w:r>
                  <w:r>
                    <w:rPr>
                      <w:rFonts w:hint="eastAsia"/>
                      <w:u w:val="none"/>
                    </w:rPr>
                    <w:t>次</w:t>
                  </w:r>
                </w:p>
              </w:tc>
              <w:tc>
                <w:tcPr>
                  <w:tcW w:w="78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0.04</w:t>
                  </w:r>
                </w:p>
              </w:tc>
              <w:tc>
                <w:tcPr>
                  <w:tcW w:w="79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0.07</w:t>
                  </w:r>
                </w:p>
              </w:tc>
              <w:tc>
                <w:tcPr>
                  <w:tcW w:w="103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w:t>
                  </w:r>
                  <w:r>
                    <w:rPr>
                      <w:rFonts w:hint="eastAsia" w:ascii="Times New Roman" w:hAnsi="Times New Roman" w:eastAsia="宋体" w:cs="Times New Roman"/>
                      <w:color w:val="auto"/>
                      <w:kern w:val="2"/>
                      <w:sz w:val="21"/>
                      <w:szCs w:val="21"/>
                      <w:u w:val="none"/>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Merge w:val="continue"/>
                  <w:tcBorders>
                    <w:tl2br w:val="nil"/>
                    <w:tr2bl w:val="nil"/>
                  </w:tcBorders>
                  <w:vAlign w:val="center"/>
                </w:tcPr>
                <w:p>
                  <w:pPr>
                    <w:pStyle w:val="48"/>
                    <w:spacing w:line="276" w:lineRule="auto"/>
                    <w:rPr>
                      <w:u w:val="none"/>
                    </w:rPr>
                  </w:pPr>
                </w:p>
              </w:tc>
              <w:tc>
                <w:tcPr>
                  <w:tcW w:w="886" w:type="pct"/>
                  <w:vMerge w:val="restart"/>
                  <w:tcBorders>
                    <w:tl2br w:val="nil"/>
                    <w:tr2bl w:val="nil"/>
                  </w:tcBorders>
                  <w:vAlign w:val="center"/>
                </w:tcPr>
                <w:p>
                  <w:pPr>
                    <w:pStyle w:val="48"/>
                    <w:spacing w:line="276" w:lineRule="auto"/>
                    <w:rPr>
                      <w:rFonts w:hint="default" w:eastAsia="宋体"/>
                      <w:u w:val="none"/>
                      <w:lang w:val="en-US" w:eastAsia="zh-CN"/>
                    </w:rPr>
                  </w:pPr>
                  <w:r>
                    <w:rPr>
                      <w:rFonts w:hint="eastAsia"/>
                      <w:u w:val="none"/>
                      <w:lang w:val="en-US" w:eastAsia="zh-CN"/>
                    </w:rPr>
                    <w:t>10.16</w:t>
                  </w:r>
                </w:p>
              </w:tc>
              <w:tc>
                <w:tcPr>
                  <w:tcW w:w="899" w:type="pct"/>
                  <w:tcBorders>
                    <w:tl2br w:val="nil"/>
                    <w:tr2bl w:val="nil"/>
                  </w:tcBorders>
                  <w:vAlign w:val="center"/>
                </w:tcPr>
                <w:p>
                  <w:pPr>
                    <w:pStyle w:val="48"/>
                    <w:spacing w:line="276" w:lineRule="auto"/>
                    <w:rPr>
                      <w:u w:val="none"/>
                    </w:rPr>
                  </w:pPr>
                  <w:r>
                    <w:rPr>
                      <w:rFonts w:hint="eastAsia"/>
                      <w:u w:val="none"/>
                    </w:rPr>
                    <w:t>第1次</w:t>
                  </w:r>
                </w:p>
              </w:tc>
              <w:tc>
                <w:tcPr>
                  <w:tcW w:w="78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sz w:val="21"/>
                      <w:szCs w:val="21"/>
                      <w:u w:val="none"/>
                    </w:rPr>
                  </w:pPr>
                  <w:r>
                    <w:rPr>
                      <w:rFonts w:hint="eastAsia" w:ascii="Times New Roman" w:hAnsi="Times New Roman" w:eastAsia="宋体" w:cs="Times New Roman"/>
                      <w:color w:val="auto"/>
                      <w:kern w:val="2"/>
                      <w:sz w:val="21"/>
                      <w:szCs w:val="21"/>
                      <w:highlight w:val="none"/>
                      <w:u w:val="none"/>
                      <w:lang w:val="en-US" w:eastAsia="zh-CN" w:bidi="ar-SA"/>
                    </w:rPr>
                    <w:t>0.01</w:t>
                  </w:r>
                </w:p>
              </w:tc>
              <w:tc>
                <w:tcPr>
                  <w:tcW w:w="1263" w:type="dxa"/>
                  <w:tcBorders>
                    <w:tl2br w:val="nil"/>
                    <w:tr2bl w:val="nil"/>
                  </w:tcBorders>
                  <w:vAlign w:val="center"/>
                </w:tcPr>
                <w:p>
                  <w:pPr>
                    <w:widowControl/>
                    <w:jc w:val="center"/>
                    <w:textAlignment w:val="center"/>
                    <w:rPr>
                      <w:sz w:val="21"/>
                      <w:szCs w:val="21"/>
                      <w:u w:val="none"/>
                    </w:rPr>
                  </w:pPr>
                  <w:r>
                    <w:rPr>
                      <w:rFonts w:hint="eastAsia" w:ascii="Times New Roman" w:hAnsi="Times New Roman" w:eastAsia="宋体" w:cs="Times New Roman"/>
                      <w:color w:val="auto"/>
                      <w:kern w:val="2"/>
                      <w:sz w:val="21"/>
                      <w:szCs w:val="21"/>
                      <w:lang w:val="en-US" w:eastAsia="zh-CN" w:bidi="ar-SA"/>
                    </w:rPr>
                    <w:t>0.06</w:t>
                  </w:r>
                </w:p>
              </w:tc>
              <w:tc>
                <w:tcPr>
                  <w:tcW w:w="1036" w:type="pct"/>
                  <w:tcBorders>
                    <w:tl2br w:val="nil"/>
                    <w:tr2bl w:val="nil"/>
                  </w:tcBorders>
                  <w:vAlign w:val="center"/>
                </w:tcPr>
                <w:p>
                  <w:pPr>
                    <w:widowControl/>
                    <w:jc w:val="center"/>
                    <w:textAlignment w:val="center"/>
                    <w:rPr>
                      <w:sz w:val="21"/>
                      <w:szCs w:val="21"/>
                      <w:u w:val="none"/>
                    </w:rPr>
                  </w:pPr>
                  <w:r>
                    <w:rPr>
                      <w:rFonts w:hint="default" w:ascii="Times New Roman" w:hAnsi="Times New Roman" w:eastAsia="宋体" w:cs="Times New Roman"/>
                      <w:color w:val="auto"/>
                      <w:kern w:val="2"/>
                      <w:sz w:val="21"/>
                      <w:szCs w:val="21"/>
                      <w:u w:val="none"/>
                      <w:lang w:val="en-US" w:eastAsia="zh-CN" w:bidi="ar-SA"/>
                    </w:rPr>
                    <w:t>﹤</w:t>
                  </w:r>
                  <w:r>
                    <w:rPr>
                      <w:rFonts w:hint="eastAsia" w:ascii="Times New Roman" w:hAnsi="Times New Roman" w:eastAsia="宋体" w:cs="Times New Roman"/>
                      <w:color w:val="auto"/>
                      <w:kern w:val="2"/>
                      <w:sz w:val="21"/>
                      <w:szCs w:val="21"/>
                      <w:u w:val="none"/>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Merge w:val="continue"/>
                  <w:tcBorders>
                    <w:tl2br w:val="nil"/>
                    <w:tr2bl w:val="nil"/>
                  </w:tcBorders>
                  <w:vAlign w:val="center"/>
                </w:tcPr>
                <w:p>
                  <w:pPr>
                    <w:pStyle w:val="48"/>
                    <w:spacing w:line="276" w:lineRule="auto"/>
                    <w:rPr>
                      <w:u w:val="none"/>
                    </w:rPr>
                  </w:pPr>
                </w:p>
              </w:tc>
              <w:tc>
                <w:tcPr>
                  <w:tcW w:w="886" w:type="pct"/>
                  <w:vMerge w:val="continue"/>
                  <w:tcBorders>
                    <w:tl2br w:val="nil"/>
                    <w:tr2bl w:val="nil"/>
                  </w:tcBorders>
                  <w:vAlign w:val="center"/>
                </w:tcPr>
                <w:p>
                  <w:pPr>
                    <w:pStyle w:val="48"/>
                    <w:spacing w:line="276" w:lineRule="auto"/>
                    <w:rPr>
                      <w:u w:val="none"/>
                    </w:rPr>
                  </w:pPr>
                </w:p>
              </w:tc>
              <w:tc>
                <w:tcPr>
                  <w:tcW w:w="899" w:type="pct"/>
                  <w:tcBorders>
                    <w:tl2br w:val="nil"/>
                    <w:tr2bl w:val="nil"/>
                  </w:tcBorders>
                  <w:vAlign w:val="center"/>
                </w:tcPr>
                <w:p>
                  <w:pPr>
                    <w:pStyle w:val="48"/>
                    <w:spacing w:line="276" w:lineRule="auto"/>
                    <w:rPr>
                      <w:u w:val="none"/>
                    </w:rPr>
                  </w:pPr>
                  <w:r>
                    <w:rPr>
                      <w:rFonts w:hint="eastAsia"/>
                      <w:u w:val="none"/>
                    </w:rPr>
                    <w:t>第2次</w:t>
                  </w:r>
                </w:p>
              </w:tc>
              <w:tc>
                <w:tcPr>
                  <w:tcW w:w="78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sz w:val="21"/>
                      <w:szCs w:val="21"/>
                      <w:u w:val="none"/>
                    </w:rPr>
                  </w:pPr>
                  <w:r>
                    <w:rPr>
                      <w:rFonts w:hint="eastAsia" w:ascii="Times New Roman" w:hAnsi="Times New Roman" w:eastAsia="宋体" w:cs="Times New Roman"/>
                      <w:color w:val="auto"/>
                      <w:kern w:val="2"/>
                      <w:sz w:val="21"/>
                      <w:szCs w:val="21"/>
                      <w:highlight w:val="none"/>
                      <w:u w:val="none"/>
                      <w:lang w:val="en-US" w:eastAsia="zh-CN" w:bidi="ar-SA"/>
                    </w:rPr>
                    <w:t>0.01</w:t>
                  </w:r>
                </w:p>
              </w:tc>
              <w:tc>
                <w:tcPr>
                  <w:tcW w:w="1263" w:type="dxa"/>
                  <w:tcBorders>
                    <w:tl2br w:val="nil"/>
                    <w:tr2bl w:val="nil"/>
                  </w:tcBorders>
                  <w:vAlign w:val="center"/>
                </w:tcPr>
                <w:p>
                  <w:pPr>
                    <w:widowControl/>
                    <w:jc w:val="center"/>
                    <w:textAlignment w:val="center"/>
                    <w:rPr>
                      <w:sz w:val="21"/>
                      <w:szCs w:val="21"/>
                      <w:u w:val="none"/>
                    </w:rPr>
                  </w:pPr>
                  <w:r>
                    <w:rPr>
                      <w:rFonts w:hint="eastAsia" w:ascii="Times New Roman" w:hAnsi="Times New Roman" w:eastAsia="宋体" w:cs="Times New Roman"/>
                      <w:color w:val="auto"/>
                      <w:kern w:val="2"/>
                      <w:sz w:val="21"/>
                      <w:szCs w:val="21"/>
                      <w:lang w:val="en-US" w:eastAsia="zh-CN" w:bidi="ar-SA"/>
                    </w:rPr>
                    <w:t>0.08</w:t>
                  </w:r>
                </w:p>
              </w:tc>
              <w:tc>
                <w:tcPr>
                  <w:tcW w:w="1036" w:type="pct"/>
                  <w:tcBorders>
                    <w:tl2br w:val="nil"/>
                    <w:tr2bl w:val="nil"/>
                  </w:tcBorders>
                  <w:vAlign w:val="center"/>
                </w:tcPr>
                <w:p>
                  <w:pPr>
                    <w:widowControl/>
                    <w:jc w:val="center"/>
                    <w:textAlignment w:val="center"/>
                    <w:rPr>
                      <w:sz w:val="21"/>
                      <w:szCs w:val="21"/>
                      <w:u w:val="none"/>
                    </w:rPr>
                  </w:pPr>
                  <w:r>
                    <w:rPr>
                      <w:rFonts w:hint="default" w:ascii="Times New Roman" w:hAnsi="Times New Roman" w:eastAsia="宋体" w:cs="Times New Roman"/>
                      <w:color w:val="auto"/>
                      <w:kern w:val="2"/>
                      <w:sz w:val="21"/>
                      <w:szCs w:val="21"/>
                      <w:u w:val="none"/>
                      <w:lang w:val="en-US" w:eastAsia="zh-CN" w:bidi="ar-SA"/>
                    </w:rPr>
                    <w:t>﹤</w:t>
                  </w:r>
                  <w:r>
                    <w:rPr>
                      <w:rFonts w:hint="eastAsia" w:ascii="Times New Roman" w:hAnsi="Times New Roman" w:eastAsia="宋体" w:cs="Times New Roman"/>
                      <w:color w:val="auto"/>
                      <w:kern w:val="2"/>
                      <w:sz w:val="21"/>
                      <w:szCs w:val="21"/>
                      <w:u w:val="none"/>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Merge w:val="continue"/>
                  <w:tcBorders>
                    <w:tl2br w:val="nil"/>
                    <w:tr2bl w:val="nil"/>
                  </w:tcBorders>
                  <w:vAlign w:val="center"/>
                </w:tcPr>
                <w:p>
                  <w:pPr>
                    <w:pStyle w:val="48"/>
                    <w:spacing w:line="276" w:lineRule="auto"/>
                    <w:rPr>
                      <w:u w:val="none"/>
                    </w:rPr>
                  </w:pPr>
                </w:p>
              </w:tc>
              <w:tc>
                <w:tcPr>
                  <w:tcW w:w="886" w:type="pct"/>
                  <w:vMerge w:val="continue"/>
                  <w:tcBorders>
                    <w:tl2br w:val="nil"/>
                    <w:tr2bl w:val="nil"/>
                  </w:tcBorders>
                  <w:vAlign w:val="center"/>
                </w:tcPr>
                <w:p>
                  <w:pPr>
                    <w:pStyle w:val="48"/>
                    <w:spacing w:line="276" w:lineRule="auto"/>
                    <w:rPr>
                      <w:u w:val="none"/>
                    </w:rPr>
                  </w:pPr>
                </w:p>
              </w:tc>
              <w:tc>
                <w:tcPr>
                  <w:tcW w:w="899" w:type="pct"/>
                  <w:tcBorders>
                    <w:tl2br w:val="nil"/>
                    <w:tr2bl w:val="nil"/>
                  </w:tcBorders>
                  <w:vAlign w:val="center"/>
                </w:tcPr>
                <w:p>
                  <w:pPr>
                    <w:pStyle w:val="48"/>
                    <w:spacing w:line="276" w:lineRule="auto"/>
                    <w:rPr>
                      <w:u w:val="none"/>
                    </w:rPr>
                  </w:pPr>
                  <w:r>
                    <w:rPr>
                      <w:rFonts w:hint="eastAsia"/>
                      <w:u w:val="none"/>
                    </w:rPr>
                    <w:t>第3次</w:t>
                  </w:r>
                </w:p>
              </w:tc>
              <w:tc>
                <w:tcPr>
                  <w:tcW w:w="78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sz w:val="21"/>
                      <w:szCs w:val="21"/>
                      <w:u w:val="none"/>
                    </w:rPr>
                  </w:pPr>
                  <w:r>
                    <w:rPr>
                      <w:rFonts w:hint="eastAsia" w:ascii="Times New Roman" w:hAnsi="Times New Roman" w:eastAsia="宋体" w:cs="Times New Roman"/>
                      <w:color w:val="auto"/>
                      <w:kern w:val="2"/>
                      <w:sz w:val="21"/>
                      <w:szCs w:val="21"/>
                      <w:highlight w:val="none"/>
                      <w:u w:val="none"/>
                      <w:lang w:val="en-US" w:eastAsia="zh-CN" w:bidi="ar-SA"/>
                    </w:rPr>
                    <w:t>0.02</w:t>
                  </w:r>
                </w:p>
              </w:tc>
              <w:tc>
                <w:tcPr>
                  <w:tcW w:w="1263" w:type="dxa"/>
                  <w:tcBorders>
                    <w:tl2br w:val="nil"/>
                    <w:tr2bl w:val="nil"/>
                  </w:tcBorders>
                  <w:vAlign w:val="center"/>
                </w:tcPr>
                <w:p>
                  <w:pPr>
                    <w:widowControl/>
                    <w:jc w:val="center"/>
                    <w:textAlignment w:val="center"/>
                    <w:rPr>
                      <w:sz w:val="21"/>
                      <w:szCs w:val="21"/>
                      <w:u w:val="none"/>
                    </w:rPr>
                  </w:pPr>
                  <w:r>
                    <w:rPr>
                      <w:rFonts w:hint="eastAsia" w:ascii="Times New Roman" w:hAnsi="Times New Roman" w:eastAsia="宋体" w:cs="Times New Roman"/>
                      <w:color w:val="auto"/>
                      <w:kern w:val="2"/>
                      <w:sz w:val="21"/>
                      <w:szCs w:val="21"/>
                      <w:lang w:val="en-US" w:eastAsia="zh-CN" w:bidi="ar-SA"/>
                    </w:rPr>
                    <w:t>0.07</w:t>
                  </w:r>
                </w:p>
              </w:tc>
              <w:tc>
                <w:tcPr>
                  <w:tcW w:w="1036" w:type="pct"/>
                  <w:tcBorders>
                    <w:tl2br w:val="nil"/>
                    <w:tr2bl w:val="nil"/>
                  </w:tcBorders>
                  <w:vAlign w:val="center"/>
                </w:tcPr>
                <w:p>
                  <w:pPr>
                    <w:widowControl/>
                    <w:jc w:val="center"/>
                    <w:textAlignment w:val="center"/>
                    <w:rPr>
                      <w:sz w:val="21"/>
                      <w:szCs w:val="21"/>
                      <w:u w:val="none"/>
                    </w:rPr>
                  </w:pPr>
                  <w:r>
                    <w:rPr>
                      <w:rFonts w:hint="default" w:ascii="Times New Roman" w:hAnsi="Times New Roman" w:eastAsia="宋体" w:cs="Times New Roman"/>
                      <w:color w:val="auto"/>
                      <w:kern w:val="2"/>
                      <w:sz w:val="21"/>
                      <w:szCs w:val="21"/>
                      <w:u w:val="none"/>
                      <w:lang w:val="en-US" w:eastAsia="zh-CN" w:bidi="ar-SA"/>
                    </w:rPr>
                    <w:t>﹤</w:t>
                  </w:r>
                  <w:r>
                    <w:rPr>
                      <w:rFonts w:hint="eastAsia" w:ascii="Times New Roman" w:hAnsi="Times New Roman" w:eastAsia="宋体" w:cs="Times New Roman"/>
                      <w:color w:val="auto"/>
                      <w:kern w:val="2"/>
                      <w:sz w:val="21"/>
                      <w:szCs w:val="21"/>
                      <w:u w:val="none"/>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Merge w:val="continue"/>
                  <w:tcBorders>
                    <w:tl2br w:val="nil"/>
                    <w:tr2bl w:val="nil"/>
                  </w:tcBorders>
                  <w:vAlign w:val="center"/>
                </w:tcPr>
                <w:p>
                  <w:pPr>
                    <w:pStyle w:val="48"/>
                    <w:spacing w:line="276" w:lineRule="auto"/>
                    <w:rPr>
                      <w:u w:val="none"/>
                    </w:rPr>
                  </w:pPr>
                </w:p>
              </w:tc>
              <w:tc>
                <w:tcPr>
                  <w:tcW w:w="886" w:type="pct"/>
                  <w:vMerge w:val="continue"/>
                  <w:tcBorders>
                    <w:tl2br w:val="nil"/>
                    <w:tr2bl w:val="nil"/>
                  </w:tcBorders>
                  <w:vAlign w:val="center"/>
                </w:tcPr>
                <w:p>
                  <w:pPr>
                    <w:pStyle w:val="48"/>
                    <w:spacing w:line="276" w:lineRule="auto"/>
                    <w:rPr>
                      <w:u w:val="none"/>
                    </w:rPr>
                  </w:pPr>
                </w:p>
              </w:tc>
              <w:tc>
                <w:tcPr>
                  <w:tcW w:w="899" w:type="pct"/>
                  <w:tcBorders>
                    <w:tl2br w:val="nil"/>
                    <w:tr2bl w:val="nil"/>
                  </w:tcBorders>
                  <w:vAlign w:val="center"/>
                </w:tcPr>
                <w:p>
                  <w:pPr>
                    <w:pStyle w:val="48"/>
                    <w:spacing w:line="276" w:lineRule="auto"/>
                    <w:rPr>
                      <w:rFonts w:hint="eastAsia"/>
                      <w:u w:val="none"/>
                    </w:rPr>
                  </w:pPr>
                  <w:r>
                    <w:rPr>
                      <w:rFonts w:hint="eastAsia"/>
                      <w:u w:val="none"/>
                    </w:rPr>
                    <w:t>第</w:t>
                  </w:r>
                  <w:r>
                    <w:rPr>
                      <w:rFonts w:hint="eastAsia"/>
                      <w:u w:val="none"/>
                      <w:lang w:val="en-US" w:eastAsia="zh-CN"/>
                    </w:rPr>
                    <w:t>4</w:t>
                  </w:r>
                  <w:r>
                    <w:rPr>
                      <w:rFonts w:hint="eastAsia"/>
                      <w:u w:val="none"/>
                    </w:rPr>
                    <w:t>次</w:t>
                  </w:r>
                </w:p>
              </w:tc>
              <w:tc>
                <w:tcPr>
                  <w:tcW w:w="78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0.02</w:t>
                  </w:r>
                </w:p>
              </w:tc>
              <w:tc>
                <w:tcPr>
                  <w:tcW w:w="1263"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0.08</w:t>
                  </w:r>
                </w:p>
              </w:tc>
              <w:tc>
                <w:tcPr>
                  <w:tcW w:w="103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w:t>
                  </w:r>
                  <w:r>
                    <w:rPr>
                      <w:rFonts w:hint="eastAsia" w:ascii="Times New Roman" w:hAnsi="Times New Roman" w:eastAsia="宋体" w:cs="Times New Roman"/>
                      <w:color w:val="auto"/>
                      <w:kern w:val="2"/>
                      <w:sz w:val="21"/>
                      <w:szCs w:val="21"/>
                      <w:u w:val="none"/>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Merge w:val="continue"/>
                  <w:tcBorders>
                    <w:tl2br w:val="nil"/>
                    <w:tr2bl w:val="nil"/>
                  </w:tcBorders>
                  <w:vAlign w:val="center"/>
                </w:tcPr>
                <w:p>
                  <w:pPr>
                    <w:pStyle w:val="48"/>
                    <w:spacing w:line="276" w:lineRule="auto"/>
                    <w:rPr>
                      <w:u w:val="none"/>
                    </w:rPr>
                  </w:pPr>
                </w:p>
              </w:tc>
              <w:tc>
                <w:tcPr>
                  <w:tcW w:w="886" w:type="pct"/>
                  <w:vMerge w:val="restart"/>
                  <w:tcBorders>
                    <w:tl2br w:val="nil"/>
                    <w:tr2bl w:val="nil"/>
                  </w:tcBorders>
                  <w:vAlign w:val="center"/>
                </w:tcPr>
                <w:p>
                  <w:pPr>
                    <w:pStyle w:val="48"/>
                    <w:spacing w:line="276" w:lineRule="auto"/>
                    <w:rPr>
                      <w:u w:val="none"/>
                    </w:rPr>
                  </w:pPr>
                  <w:r>
                    <w:rPr>
                      <w:rFonts w:hint="eastAsia"/>
                      <w:u w:val="none"/>
                      <w:lang w:val="en-US" w:eastAsia="zh-CN"/>
                    </w:rPr>
                    <w:t>10.17</w:t>
                  </w:r>
                </w:p>
              </w:tc>
              <w:tc>
                <w:tcPr>
                  <w:tcW w:w="899" w:type="pct"/>
                  <w:tcBorders>
                    <w:tl2br w:val="nil"/>
                    <w:tr2bl w:val="nil"/>
                  </w:tcBorders>
                  <w:vAlign w:val="center"/>
                </w:tcPr>
                <w:p>
                  <w:pPr>
                    <w:pStyle w:val="48"/>
                    <w:spacing w:line="276" w:lineRule="auto"/>
                    <w:rPr>
                      <w:u w:val="none"/>
                    </w:rPr>
                  </w:pPr>
                  <w:r>
                    <w:rPr>
                      <w:rFonts w:hint="eastAsia"/>
                      <w:u w:val="none"/>
                    </w:rPr>
                    <w:t>第1次</w:t>
                  </w:r>
                </w:p>
              </w:tc>
              <w:tc>
                <w:tcPr>
                  <w:tcW w:w="78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kern w:val="0"/>
                      <w:sz w:val="21"/>
                      <w:szCs w:val="21"/>
                      <w:u w:val="none"/>
                    </w:rPr>
                  </w:pPr>
                  <w:r>
                    <w:rPr>
                      <w:rFonts w:hint="eastAsia" w:ascii="Times New Roman" w:hAnsi="Times New Roman" w:eastAsia="宋体" w:cs="Times New Roman"/>
                      <w:color w:val="auto"/>
                      <w:kern w:val="2"/>
                      <w:sz w:val="21"/>
                      <w:szCs w:val="21"/>
                      <w:highlight w:val="none"/>
                      <w:u w:val="none"/>
                      <w:lang w:val="en-US" w:eastAsia="zh-CN" w:bidi="ar-SA"/>
                    </w:rPr>
                    <w:t>0.01</w:t>
                  </w:r>
                </w:p>
              </w:tc>
              <w:tc>
                <w:tcPr>
                  <w:tcW w:w="798"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kern w:val="0"/>
                      <w:sz w:val="21"/>
                      <w:szCs w:val="21"/>
                      <w:u w:val="none"/>
                    </w:rPr>
                  </w:pPr>
                  <w:r>
                    <w:rPr>
                      <w:rFonts w:hint="eastAsia" w:ascii="Times New Roman" w:hAnsi="Times New Roman" w:eastAsia="宋体" w:cs="Times New Roman"/>
                      <w:color w:val="auto"/>
                      <w:kern w:val="2"/>
                      <w:sz w:val="21"/>
                      <w:szCs w:val="21"/>
                      <w:highlight w:val="none"/>
                      <w:u w:val="none"/>
                      <w:lang w:val="en-US" w:eastAsia="zh-CN" w:bidi="ar-SA"/>
                    </w:rPr>
                    <w:t>0.05</w:t>
                  </w:r>
                </w:p>
              </w:tc>
              <w:tc>
                <w:tcPr>
                  <w:tcW w:w="1036" w:type="pct"/>
                  <w:tcBorders>
                    <w:tl2br w:val="nil"/>
                    <w:tr2bl w:val="nil"/>
                  </w:tcBorders>
                  <w:vAlign w:val="center"/>
                </w:tcPr>
                <w:p>
                  <w:pPr>
                    <w:widowControl/>
                    <w:jc w:val="center"/>
                    <w:textAlignment w:val="center"/>
                    <w:rPr>
                      <w:kern w:val="0"/>
                      <w:sz w:val="21"/>
                      <w:szCs w:val="21"/>
                      <w:u w:val="none"/>
                    </w:rPr>
                  </w:pPr>
                  <w:r>
                    <w:rPr>
                      <w:rFonts w:hint="default" w:ascii="Times New Roman" w:hAnsi="Times New Roman" w:eastAsia="宋体" w:cs="Times New Roman"/>
                      <w:color w:val="auto"/>
                      <w:kern w:val="2"/>
                      <w:sz w:val="21"/>
                      <w:szCs w:val="21"/>
                      <w:u w:val="none"/>
                      <w:lang w:val="en-US" w:eastAsia="zh-CN" w:bidi="ar-SA"/>
                    </w:rPr>
                    <w:t>﹤</w:t>
                  </w:r>
                  <w:r>
                    <w:rPr>
                      <w:rFonts w:hint="eastAsia" w:ascii="Times New Roman" w:hAnsi="Times New Roman" w:eastAsia="宋体" w:cs="Times New Roman"/>
                      <w:color w:val="auto"/>
                      <w:kern w:val="2"/>
                      <w:sz w:val="21"/>
                      <w:szCs w:val="21"/>
                      <w:u w:val="none"/>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Merge w:val="continue"/>
                  <w:tcBorders>
                    <w:tl2br w:val="nil"/>
                    <w:tr2bl w:val="nil"/>
                  </w:tcBorders>
                  <w:vAlign w:val="center"/>
                </w:tcPr>
                <w:p>
                  <w:pPr>
                    <w:pStyle w:val="48"/>
                    <w:spacing w:line="276" w:lineRule="auto"/>
                    <w:rPr>
                      <w:u w:val="none"/>
                    </w:rPr>
                  </w:pPr>
                </w:p>
              </w:tc>
              <w:tc>
                <w:tcPr>
                  <w:tcW w:w="886" w:type="pct"/>
                  <w:vMerge w:val="continue"/>
                  <w:tcBorders>
                    <w:tl2br w:val="nil"/>
                    <w:tr2bl w:val="nil"/>
                  </w:tcBorders>
                  <w:vAlign w:val="center"/>
                </w:tcPr>
                <w:p>
                  <w:pPr>
                    <w:pStyle w:val="48"/>
                    <w:spacing w:line="276" w:lineRule="auto"/>
                    <w:rPr>
                      <w:u w:val="none"/>
                    </w:rPr>
                  </w:pPr>
                </w:p>
              </w:tc>
              <w:tc>
                <w:tcPr>
                  <w:tcW w:w="899" w:type="pct"/>
                  <w:tcBorders>
                    <w:tl2br w:val="nil"/>
                    <w:tr2bl w:val="nil"/>
                  </w:tcBorders>
                  <w:vAlign w:val="center"/>
                </w:tcPr>
                <w:p>
                  <w:pPr>
                    <w:pStyle w:val="48"/>
                    <w:spacing w:line="276" w:lineRule="auto"/>
                    <w:rPr>
                      <w:u w:val="none"/>
                    </w:rPr>
                  </w:pPr>
                  <w:r>
                    <w:rPr>
                      <w:rFonts w:hint="eastAsia"/>
                      <w:u w:val="none"/>
                    </w:rPr>
                    <w:t>第2次</w:t>
                  </w:r>
                </w:p>
              </w:tc>
              <w:tc>
                <w:tcPr>
                  <w:tcW w:w="78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kern w:val="0"/>
                      <w:sz w:val="21"/>
                      <w:szCs w:val="21"/>
                      <w:u w:val="none"/>
                    </w:rPr>
                  </w:pPr>
                  <w:r>
                    <w:rPr>
                      <w:rFonts w:hint="eastAsia" w:ascii="Times New Roman" w:hAnsi="Times New Roman" w:eastAsia="宋体" w:cs="Times New Roman"/>
                      <w:color w:val="auto"/>
                      <w:kern w:val="2"/>
                      <w:sz w:val="21"/>
                      <w:szCs w:val="21"/>
                      <w:highlight w:val="none"/>
                      <w:u w:val="none"/>
                      <w:lang w:val="en-US" w:eastAsia="zh-CN" w:bidi="ar-SA"/>
                    </w:rPr>
                    <w:t>0.02</w:t>
                  </w:r>
                </w:p>
              </w:tc>
              <w:tc>
                <w:tcPr>
                  <w:tcW w:w="798"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kern w:val="0"/>
                      <w:sz w:val="21"/>
                      <w:szCs w:val="21"/>
                      <w:u w:val="none"/>
                    </w:rPr>
                  </w:pPr>
                  <w:r>
                    <w:rPr>
                      <w:rFonts w:hint="eastAsia" w:ascii="Times New Roman" w:hAnsi="Times New Roman" w:eastAsia="宋体" w:cs="Times New Roman"/>
                      <w:color w:val="auto"/>
                      <w:kern w:val="2"/>
                      <w:sz w:val="21"/>
                      <w:szCs w:val="21"/>
                      <w:highlight w:val="none"/>
                      <w:u w:val="none"/>
                      <w:lang w:val="en-US" w:eastAsia="zh-CN" w:bidi="ar-SA"/>
                    </w:rPr>
                    <w:t>0.08</w:t>
                  </w:r>
                </w:p>
              </w:tc>
              <w:tc>
                <w:tcPr>
                  <w:tcW w:w="1036" w:type="pct"/>
                  <w:tcBorders>
                    <w:tl2br w:val="nil"/>
                    <w:tr2bl w:val="nil"/>
                  </w:tcBorders>
                  <w:vAlign w:val="center"/>
                </w:tcPr>
                <w:p>
                  <w:pPr>
                    <w:widowControl/>
                    <w:jc w:val="center"/>
                    <w:textAlignment w:val="center"/>
                    <w:rPr>
                      <w:kern w:val="0"/>
                      <w:sz w:val="21"/>
                      <w:szCs w:val="21"/>
                      <w:u w:val="none"/>
                    </w:rPr>
                  </w:pPr>
                  <w:r>
                    <w:rPr>
                      <w:rFonts w:hint="default" w:ascii="Times New Roman" w:hAnsi="Times New Roman" w:eastAsia="宋体" w:cs="Times New Roman"/>
                      <w:color w:val="auto"/>
                      <w:kern w:val="2"/>
                      <w:sz w:val="21"/>
                      <w:szCs w:val="21"/>
                      <w:u w:val="none"/>
                      <w:lang w:val="en-US" w:eastAsia="zh-CN" w:bidi="ar-SA"/>
                    </w:rPr>
                    <w:t>﹤</w:t>
                  </w:r>
                  <w:r>
                    <w:rPr>
                      <w:rFonts w:hint="eastAsia" w:ascii="Times New Roman" w:hAnsi="Times New Roman" w:eastAsia="宋体" w:cs="Times New Roman"/>
                      <w:color w:val="auto"/>
                      <w:kern w:val="2"/>
                      <w:sz w:val="21"/>
                      <w:szCs w:val="21"/>
                      <w:u w:val="none"/>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Merge w:val="continue"/>
                  <w:tcBorders>
                    <w:tl2br w:val="nil"/>
                    <w:tr2bl w:val="nil"/>
                  </w:tcBorders>
                  <w:vAlign w:val="center"/>
                </w:tcPr>
                <w:p>
                  <w:pPr>
                    <w:pStyle w:val="48"/>
                    <w:spacing w:line="276" w:lineRule="auto"/>
                    <w:rPr>
                      <w:u w:val="none"/>
                    </w:rPr>
                  </w:pPr>
                </w:p>
              </w:tc>
              <w:tc>
                <w:tcPr>
                  <w:tcW w:w="886" w:type="pct"/>
                  <w:vMerge w:val="continue"/>
                  <w:tcBorders>
                    <w:tl2br w:val="nil"/>
                    <w:tr2bl w:val="nil"/>
                  </w:tcBorders>
                  <w:vAlign w:val="center"/>
                </w:tcPr>
                <w:p>
                  <w:pPr>
                    <w:pStyle w:val="48"/>
                    <w:spacing w:line="276" w:lineRule="auto"/>
                    <w:rPr>
                      <w:u w:val="none"/>
                    </w:rPr>
                  </w:pPr>
                </w:p>
              </w:tc>
              <w:tc>
                <w:tcPr>
                  <w:tcW w:w="899" w:type="pct"/>
                  <w:tcBorders>
                    <w:tl2br w:val="nil"/>
                    <w:tr2bl w:val="nil"/>
                  </w:tcBorders>
                  <w:vAlign w:val="center"/>
                </w:tcPr>
                <w:p>
                  <w:pPr>
                    <w:pStyle w:val="48"/>
                    <w:spacing w:line="276" w:lineRule="auto"/>
                    <w:rPr>
                      <w:u w:val="none"/>
                    </w:rPr>
                  </w:pPr>
                  <w:r>
                    <w:rPr>
                      <w:rFonts w:hint="eastAsia"/>
                      <w:u w:val="none"/>
                    </w:rPr>
                    <w:t>第3次</w:t>
                  </w:r>
                </w:p>
              </w:tc>
              <w:tc>
                <w:tcPr>
                  <w:tcW w:w="78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kern w:val="0"/>
                      <w:sz w:val="21"/>
                      <w:szCs w:val="21"/>
                      <w:u w:val="none"/>
                    </w:rPr>
                  </w:pPr>
                  <w:r>
                    <w:rPr>
                      <w:rFonts w:hint="eastAsia" w:ascii="Times New Roman" w:hAnsi="Times New Roman" w:eastAsia="宋体" w:cs="Times New Roman"/>
                      <w:color w:val="auto"/>
                      <w:kern w:val="2"/>
                      <w:sz w:val="21"/>
                      <w:szCs w:val="21"/>
                      <w:highlight w:val="none"/>
                      <w:u w:val="none"/>
                      <w:lang w:val="en-US" w:eastAsia="zh-CN" w:bidi="ar-SA"/>
                    </w:rPr>
                    <w:t>0.02</w:t>
                  </w:r>
                </w:p>
              </w:tc>
              <w:tc>
                <w:tcPr>
                  <w:tcW w:w="798"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kern w:val="0"/>
                      <w:sz w:val="21"/>
                      <w:szCs w:val="21"/>
                      <w:u w:val="none"/>
                    </w:rPr>
                  </w:pPr>
                  <w:r>
                    <w:rPr>
                      <w:rFonts w:hint="eastAsia" w:ascii="Times New Roman" w:hAnsi="Times New Roman" w:eastAsia="宋体" w:cs="Times New Roman"/>
                      <w:color w:val="auto"/>
                      <w:kern w:val="2"/>
                      <w:sz w:val="21"/>
                      <w:szCs w:val="21"/>
                      <w:highlight w:val="none"/>
                      <w:u w:val="none"/>
                      <w:lang w:val="en-US" w:eastAsia="zh-CN" w:bidi="ar-SA"/>
                    </w:rPr>
                    <w:t>0.06</w:t>
                  </w:r>
                </w:p>
              </w:tc>
              <w:tc>
                <w:tcPr>
                  <w:tcW w:w="1036" w:type="pct"/>
                  <w:tcBorders>
                    <w:tl2br w:val="nil"/>
                    <w:tr2bl w:val="nil"/>
                  </w:tcBorders>
                  <w:vAlign w:val="center"/>
                </w:tcPr>
                <w:p>
                  <w:pPr>
                    <w:widowControl/>
                    <w:jc w:val="center"/>
                    <w:textAlignment w:val="center"/>
                    <w:rPr>
                      <w:kern w:val="0"/>
                      <w:sz w:val="21"/>
                      <w:szCs w:val="21"/>
                      <w:u w:val="none"/>
                    </w:rPr>
                  </w:pPr>
                  <w:r>
                    <w:rPr>
                      <w:rFonts w:hint="default" w:ascii="Times New Roman" w:hAnsi="Times New Roman" w:eastAsia="宋体" w:cs="Times New Roman"/>
                      <w:color w:val="auto"/>
                      <w:kern w:val="2"/>
                      <w:sz w:val="21"/>
                      <w:szCs w:val="21"/>
                      <w:u w:val="none"/>
                      <w:lang w:val="en-US" w:eastAsia="zh-CN" w:bidi="ar-SA"/>
                    </w:rPr>
                    <w:t>﹤</w:t>
                  </w:r>
                  <w:r>
                    <w:rPr>
                      <w:rFonts w:hint="eastAsia" w:ascii="Times New Roman" w:hAnsi="Times New Roman" w:eastAsia="宋体" w:cs="Times New Roman"/>
                      <w:color w:val="auto"/>
                      <w:kern w:val="2"/>
                      <w:sz w:val="21"/>
                      <w:szCs w:val="21"/>
                      <w:u w:val="none"/>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Merge w:val="continue"/>
                  <w:tcBorders>
                    <w:tl2br w:val="nil"/>
                    <w:tr2bl w:val="nil"/>
                  </w:tcBorders>
                  <w:vAlign w:val="center"/>
                </w:tcPr>
                <w:p>
                  <w:pPr>
                    <w:pStyle w:val="48"/>
                    <w:spacing w:line="276" w:lineRule="auto"/>
                    <w:rPr>
                      <w:u w:val="none"/>
                    </w:rPr>
                  </w:pPr>
                </w:p>
              </w:tc>
              <w:tc>
                <w:tcPr>
                  <w:tcW w:w="886" w:type="pct"/>
                  <w:vMerge w:val="continue"/>
                  <w:tcBorders>
                    <w:tl2br w:val="nil"/>
                    <w:tr2bl w:val="nil"/>
                  </w:tcBorders>
                  <w:vAlign w:val="center"/>
                </w:tcPr>
                <w:p>
                  <w:pPr>
                    <w:pStyle w:val="48"/>
                    <w:spacing w:line="276" w:lineRule="auto"/>
                    <w:rPr>
                      <w:u w:val="none"/>
                    </w:rPr>
                  </w:pPr>
                </w:p>
              </w:tc>
              <w:tc>
                <w:tcPr>
                  <w:tcW w:w="899" w:type="pct"/>
                  <w:tcBorders>
                    <w:tl2br w:val="nil"/>
                    <w:tr2bl w:val="nil"/>
                  </w:tcBorders>
                  <w:vAlign w:val="center"/>
                </w:tcPr>
                <w:p>
                  <w:pPr>
                    <w:pStyle w:val="48"/>
                    <w:spacing w:line="276" w:lineRule="auto"/>
                    <w:rPr>
                      <w:rFonts w:hint="eastAsia"/>
                      <w:u w:val="none"/>
                    </w:rPr>
                  </w:pPr>
                  <w:r>
                    <w:rPr>
                      <w:rFonts w:hint="eastAsia"/>
                      <w:u w:val="none"/>
                    </w:rPr>
                    <w:t>第</w:t>
                  </w:r>
                  <w:r>
                    <w:rPr>
                      <w:rFonts w:hint="eastAsia"/>
                      <w:u w:val="none"/>
                      <w:lang w:val="en-US" w:eastAsia="zh-CN"/>
                    </w:rPr>
                    <w:t>4</w:t>
                  </w:r>
                  <w:r>
                    <w:rPr>
                      <w:rFonts w:hint="eastAsia"/>
                      <w:u w:val="none"/>
                    </w:rPr>
                    <w:t>次</w:t>
                  </w:r>
                </w:p>
              </w:tc>
              <w:tc>
                <w:tcPr>
                  <w:tcW w:w="78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0.01</w:t>
                  </w:r>
                </w:p>
              </w:tc>
              <w:tc>
                <w:tcPr>
                  <w:tcW w:w="798"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0.08</w:t>
                  </w:r>
                </w:p>
              </w:tc>
              <w:tc>
                <w:tcPr>
                  <w:tcW w:w="103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w:t>
                  </w:r>
                  <w:r>
                    <w:rPr>
                      <w:rFonts w:hint="eastAsia" w:ascii="Times New Roman" w:hAnsi="Times New Roman" w:eastAsia="宋体" w:cs="Times New Roman"/>
                      <w:color w:val="auto"/>
                      <w:kern w:val="2"/>
                      <w:sz w:val="21"/>
                      <w:szCs w:val="21"/>
                      <w:u w:val="none"/>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8" w:type="pct"/>
                  <w:gridSpan w:val="3"/>
                  <w:tcBorders>
                    <w:tl2br w:val="nil"/>
                    <w:tr2bl w:val="nil"/>
                  </w:tcBorders>
                  <w:vAlign w:val="center"/>
                </w:tcPr>
                <w:p>
                  <w:pPr>
                    <w:pStyle w:val="48"/>
                    <w:spacing w:line="276" w:lineRule="auto"/>
                    <w:rPr>
                      <w:rFonts w:hint="eastAsia" w:eastAsia="宋体"/>
                      <w:color w:val="auto"/>
                      <w:u w:val="none"/>
                      <w:lang w:eastAsia="zh-CN"/>
                    </w:rPr>
                  </w:pPr>
                  <w:r>
                    <w:rPr>
                      <w:color w:val="auto"/>
                      <w:u w:val="none"/>
                    </w:rPr>
                    <w:t>标准限值</w:t>
                  </w:r>
                </w:p>
              </w:tc>
              <w:tc>
                <w:tcPr>
                  <w:tcW w:w="787" w:type="pct"/>
                  <w:tcBorders>
                    <w:tl2br w:val="nil"/>
                    <w:tr2bl w:val="nil"/>
                  </w:tcBorders>
                  <w:vAlign w:val="center"/>
                </w:tcPr>
                <w:p>
                  <w:pPr>
                    <w:pStyle w:val="48"/>
                    <w:spacing w:line="276" w:lineRule="auto"/>
                    <w:rPr>
                      <w:rFonts w:hint="default" w:eastAsia="宋体"/>
                      <w:color w:val="auto"/>
                      <w:u w:val="none"/>
                      <w:lang w:val="en-US" w:eastAsia="zh-CN"/>
                    </w:rPr>
                  </w:pPr>
                  <w:r>
                    <w:rPr>
                      <w:rFonts w:hint="eastAsia" w:eastAsia="宋体"/>
                      <w:color w:val="auto"/>
                      <w:u w:val="none"/>
                      <w:lang w:val="en-US" w:eastAsia="zh-CN"/>
                    </w:rPr>
                    <w:t>0.</w:t>
                  </w:r>
                  <w:r>
                    <w:rPr>
                      <w:rFonts w:hint="eastAsia"/>
                      <w:color w:val="auto"/>
                      <w:u w:val="none"/>
                      <w:lang w:val="en-US" w:eastAsia="zh-CN"/>
                    </w:rPr>
                    <w:t>2</w:t>
                  </w:r>
                </w:p>
              </w:tc>
              <w:tc>
                <w:tcPr>
                  <w:tcW w:w="798" w:type="pct"/>
                  <w:tcBorders>
                    <w:tl2br w:val="nil"/>
                    <w:tr2bl w:val="nil"/>
                  </w:tcBorders>
                  <w:vAlign w:val="center"/>
                </w:tcPr>
                <w:p>
                  <w:pPr>
                    <w:pStyle w:val="48"/>
                    <w:spacing w:line="276" w:lineRule="auto"/>
                    <w:rPr>
                      <w:rFonts w:hint="default" w:eastAsia="宋体"/>
                      <w:color w:val="auto"/>
                      <w:u w:val="none"/>
                      <w:lang w:val="en-US" w:eastAsia="zh-CN"/>
                    </w:rPr>
                  </w:pPr>
                  <w:r>
                    <w:rPr>
                      <w:rFonts w:hint="eastAsia" w:eastAsia="宋体"/>
                      <w:color w:val="auto"/>
                      <w:u w:val="none"/>
                      <w:lang w:val="en-US" w:eastAsia="zh-CN"/>
                    </w:rPr>
                    <w:t>0.</w:t>
                  </w:r>
                  <w:r>
                    <w:rPr>
                      <w:rFonts w:hint="eastAsia"/>
                      <w:color w:val="auto"/>
                      <w:u w:val="none"/>
                      <w:lang w:val="en-US" w:eastAsia="zh-CN"/>
                    </w:rPr>
                    <w:t>1</w:t>
                  </w:r>
                </w:p>
              </w:tc>
              <w:tc>
                <w:tcPr>
                  <w:tcW w:w="1036" w:type="pct"/>
                  <w:tcBorders>
                    <w:tl2br w:val="nil"/>
                    <w:tr2bl w:val="nil"/>
                  </w:tcBorders>
                  <w:vAlign w:val="center"/>
                </w:tcPr>
                <w:p>
                  <w:pPr>
                    <w:pStyle w:val="48"/>
                    <w:spacing w:line="276" w:lineRule="auto"/>
                    <w:rPr>
                      <w:color w:val="auto"/>
                      <w:u w:val="single"/>
                    </w:rPr>
                  </w:pPr>
                  <w:r>
                    <w:rPr>
                      <w:rFonts w:hint="eastAsia" w:ascii="Times New Roman" w:hAnsi="Times New Roman" w:eastAsia="宋体" w:cs="Times New Roman"/>
                      <w:color w:val="auto"/>
                      <w:kern w:val="2"/>
                      <w:sz w:val="21"/>
                      <w:szCs w:val="21"/>
                      <w:lang w:val="en-US" w:eastAsia="zh-CN" w:bidi="ar-SA"/>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8" w:type="pct"/>
                  <w:gridSpan w:val="3"/>
                  <w:tcBorders>
                    <w:tl2br w:val="nil"/>
                    <w:tr2bl w:val="nil"/>
                  </w:tcBorders>
                  <w:vAlign w:val="center"/>
                </w:tcPr>
                <w:p>
                  <w:pPr>
                    <w:pStyle w:val="48"/>
                    <w:spacing w:line="276" w:lineRule="auto"/>
                    <w:rPr>
                      <w:rFonts w:hint="eastAsia" w:eastAsia="宋体"/>
                      <w:u w:val="none"/>
                      <w:lang w:val="en-US" w:eastAsia="zh-CN"/>
                    </w:rPr>
                  </w:pPr>
                  <w:r>
                    <w:rPr>
                      <w:rFonts w:hint="eastAsia"/>
                      <w:u w:val="none"/>
                      <w:lang w:val="en-US" w:eastAsia="zh-CN"/>
                    </w:rPr>
                    <w:t>最大值</w:t>
                  </w:r>
                </w:p>
              </w:tc>
              <w:tc>
                <w:tcPr>
                  <w:tcW w:w="787" w:type="pct"/>
                  <w:tcBorders>
                    <w:tl2br w:val="nil"/>
                    <w:tr2bl w:val="nil"/>
                  </w:tcBorders>
                  <w:vAlign w:val="center"/>
                </w:tcPr>
                <w:p>
                  <w:pPr>
                    <w:pStyle w:val="48"/>
                    <w:spacing w:line="276" w:lineRule="auto"/>
                    <w:rPr>
                      <w:rFonts w:hint="default" w:eastAsia="宋体"/>
                      <w:u w:val="none"/>
                      <w:lang w:val="en-US" w:eastAsia="zh-CN"/>
                    </w:rPr>
                  </w:pPr>
                  <w:r>
                    <w:rPr>
                      <w:rFonts w:hint="eastAsia"/>
                      <w:u w:val="none"/>
                      <w:lang w:val="en-US" w:eastAsia="zh-CN"/>
                    </w:rPr>
                    <w:t>0.04</w:t>
                  </w:r>
                </w:p>
              </w:tc>
              <w:tc>
                <w:tcPr>
                  <w:tcW w:w="798" w:type="pct"/>
                  <w:tcBorders>
                    <w:tl2br w:val="nil"/>
                    <w:tr2bl w:val="nil"/>
                  </w:tcBorders>
                  <w:vAlign w:val="center"/>
                </w:tcPr>
                <w:p>
                  <w:pPr>
                    <w:pStyle w:val="48"/>
                    <w:spacing w:line="276" w:lineRule="auto"/>
                    <w:rPr>
                      <w:rFonts w:hint="default" w:eastAsia="宋体"/>
                      <w:u w:val="none"/>
                      <w:lang w:val="en-US" w:eastAsia="zh-CN"/>
                    </w:rPr>
                  </w:pPr>
                  <w:r>
                    <w:rPr>
                      <w:rFonts w:hint="eastAsia"/>
                      <w:u w:val="none"/>
                      <w:lang w:val="en-US" w:eastAsia="zh-CN"/>
                    </w:rPr>
                    <w:t>0.08</w:t>
                  </w:r>
                </w:p>
              </w:tc>
              <w:tc>
                <w:tcPr>
                  <w:tcW w:w="1036" w:type="pct"/>
                  <w:tcBorders>
                    <w:tl2br w:val="nil"/>
                    <w:tr2bl w:val="nil"/>
                  </w:tcBorders>
                  <w:vAlign w:val="center"/>
                </w:tcPr>
                <w:p>
                  <w:pPr>
                    <w:pStyle w:val="48"/>
                    <w:spacing w:line="276" w:lineRule="auto"/>
                    <w:rPr>
                      <w:rFonts w:hint="default" w:eastAsia="宋体"/>
                      <w:u w:val="none"/>
                      <w:lang w:val="en-US" w:eastAsia="zh-CN"/>
                    </w:rPr>
                  </w:pPr>
                  <w:r>
                    <w:rPr>
                      <w:rFonts w:hint="eastAsia"/>
                      <w:u w:val="none"/>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8" w:type="pct"/>
                  <w:gridSpan w:val="3"/>
                  <w:tcBorders>
                    <w:tl2br w:val="nil"/>
                    <w:tr2bl w:val="nil"/>
                  </w:tcBorders>
                  <w:vAlign w:val="center"/>
                </w:tcPr>
                <w:p>
                  <w:pPr>
                    <w:pStyle w:val="48"/>
                    <w:spacing w:line="276" w:lineRule="auto"/>
                    <w:rPr>
                      <w:rFonts w:hint="eastAsia" w:eastAsia="宋体"/>
                      <w:u w:val="none"/>
                      <w:lang w:val="en-US" w:eastAsia="zh-CN"/>
                    </w:rPr>
                  </w:pPr>
                  <w:r>
                    <w:rPr>
                      <w:rFonts w:hint="eastAsia"/>
                      <w:u w:val="none"/>
                      <w:lang w:val="en-US" w:eastAsia="zh-CN"/>
                    </w:rPr>
                    <w:t>超标率</w:t>
                  </w:r>
                </w:p>
              </w:tc>
              <w:tc>
                <w:tcPr>
                  <w:tcW w:w="787" w:type="pct"/>
                  <w:tcBorders>
                    <w:tl2br w:val="nil"/>
                    <w:tr2bl w:val="nil"/>
                  </w:tcBorders>
                  <w:vAlign w:val="center"/>
                </w:tcPr>
                <w:p>
                  <w:pPr>
                    <w:spacing w:line="276" w:lineRule="auto"/>
                    <w:jc w:val="center"/>
                    <w:rPr>
                      <w:rFonts w:hint="eastAsia" w:eastAsia="宋体"/>
                      <w:u w:val="none"/>
                      <w:lang w:val="en-US" w:eastAsia="zh-CN"/>
                    </w:rPr>
                  </w:pPr>
                  <w:r>
                    <w:rPr>
                      <w:rFonts w:hint="eastAsia"/>
                      <w:u w:val="none"/>
                      <w:lang w:val="en-US" w:eastAsia="zh-CN"/>
                    </w:rPr>
                    <w:t>0</w:t>
                  </w:r>
                </w:p>
              </w:tc>
              <w:tc>
                <w:tcPr>
                  <w:tcW w:w="798" w:type="pct"/>
                  <w:tcBorders>
                    <w:tl2br w:val="nil"/>
                    <w:tr2bl w:val="nil"/>
                  </w:tcBorders>
                  <w:vAlign w:val="center"/>
                </w:tcPr>
                <w:p>
                  <w:pPr>
                    <w:spacing w:line="276" w:lineRule="auto"/>
                    <w:jc w:val="center"/>
                    <w:rPr>
                      <w:u w:val="none"/>
                    </w:rPr>
                  </w:pPr>
                  <w:r>
                    <w:rPr>
                      <w:rFonts w:hint="eastAsia"/>
                      <w:u w:val="none"/>
                      <w:lang w:val="en-US" w:eastAsia="zh-CN"/>
                    </w:rPr>
                    <w:t>0</w:t>
                  </w:r>
                </w:p>
              </w:tc>
              <w:tc>
                <w:tcPr>
                  <w:tcW w:w="1036" w:type="pct"/>
                  <w:tcBorders>
                    <w:tl2br w:val="nil"/>
                    <w:tr2bl w:val="nil"/>
                  </w:tcBorders>
                  <w:vAlign w:val="center"/>
                </w:tcPr>
                <w:p>
                  <w:pPr>
                    <w:spacing w:line="276" w:lineRule="auto"/>
                    <w:jc w:val="center"/>
                    <w:rPr>
                      <w:u w:val="none"/>
                    </w:rPr>
                  </w:pPr>
                  <w:r>
                    <w:rPr>
                      <w:rFonts w:hint="eastAsia"/>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8" w:type="pct"/>
                  <w:gridSpan w:val="3"/>
                  <w:tcBorders>
                    <w:tl2br w:val="nil"/>
                    <w:tr2bl w:val="nil"/>
                  </w:tcBorders>
                  <w:vAlign w:val="center"/>
                </w:tcPr>
                <w:p>
                  <w:pPr>
                    <w:pStyle w:val="48"/>
                    <w:spacing w:line="276" w:lineRule="auto"/>
                    <w:rPr>
                      <w:rFonts w:hint="default" w:eastAsia="宋体"/>
                      <w:u w:val="none"/>
                      <w:lang w:val="en-US" w:eastAsia="zh-CN"/>
                    </w:rPr>
                  </w:pPr>
                  <w:r>
                    <w:rPr>
                      <w:rFonts w:hint="eastAsia"/>
                      <w:u w:val="none"/>
                      <w:lang w:val="en-US" w:eastAsia="zh-CN"/>
                    </w:rPr>
                    <w:t>最大超标倍数</w:t>
                  </w:r>
                </w:p>
              </w:tc>
              <w:tc>
                <w:tcPr>
                  <w:tcW w:w="787" w:type="pct"/>
                  <w:tcBorders>
                    <w:tl2br w:val="nil"/>
                    <w:tr2bl w:val="nil"/>
                  </w:tcBorders>
                  <w:vAlign w:val="center"/>
                </w:tcPr>
                <w:p>
                  <w:pPr>
                    <w:spacing w:line="276" w:lineRule="auto"/>
                    <w:jc w:val="center"/>
                    <w:rPr>
                      <w:u w:val="none"/>
                    </w:rPr>
                  </w:pPr>
                  <w:r>
                    <w:rPr>
                      <w:rFonts w:hint="eastAsia"/>
                      <w:u w:val="none"/>
                      <w:lang w:val="en-US" w:eastAsia="zh-CN"/>
                    </w:rPr>
                    <w:t>0</w:t>
                  </w:r>
                </w:p>
              </w:tc>
              <w:tc>
                <w:tcPr>
                  <w:tcW w:w="798" w:type="pct"/>
                  <w:tcBorders>
                    <w:tl2br w:val="nil"/>
                    <w:tr2bl w:val="nil"/>
                  </w:tcBorders>
                  <w:vAlign w:val="center"/>
                </w:tcPr>
                <w:p>
                  <w:pPr>
                    <w:spacing w:line="276" w:lineRule="auto"/>
                    <w:jc w:val="center"/>
                    <w:rPr>
                      <w:u w:val="none"/>
                    </w:rPr>
                  </w:pPr>
                  <w:r>
                    <w:rPr>
                      <w:rFonts w:hint="eastAsia"/>
                      <w:u w:val="none"/>
                      <w:lang w:val="en-US" w:eastAsia="zh-CN"/>
                    </w:rPr>
                    <w:t>0</w:t>
                  </w:r>
                </w:p>
              </w:tc>
              <w:tc>
                <w:tcPr>
                  <w:tcW w:w="1036" w:type="pct"/>
                  <w:tcBorders>
                    <w:tl2br w:val="nil"/>
                    <w:tr2bl w:val="nil"/>
                  </w:tcBorders>
                  <w:vAlign w:val="center"/>
                </w:tcPr>
                <w:p>
                  <w:pPr>
                    <w:spacing w:line="276" w:lineRule="auto"/>
                    <w:jc w:val="center"/>
                    <w:rPr>
                      <w:u w:val="none"/>
                    </w:rPr>
                  </w:pPr>
                  <w:r>
                    <w:rPr>
                      <w:rFonts w:hint="eastAsia"/>
                      <w:u w:val="none"/>
                      <w:lang w:val="en-US" w:eastAsia="zh-CN"/>
                    </w:rPr>
                    <w:t>0</w:t>
                  </w:r>
                </w:p>
              </w:tc>
            </w:tr>
          </w:tbl>
          <w:p>
            <w:pPr>
              <w:pStyle w:val="7"/>
              <w:ind w:firstLine="480"/>
              <w:rPr>
                <w:color w:val="auto"/>
              </w:rPr>
            </w:pPr>
            <w:r>
              <w:rPr>
                <w:rFonts w:hint="eastAsia"/>
                <w:color w:val="auto"/>
                <w:szCs w:val="22"/>
              </w:rPr>
              <w:t>根据大气环境质量现状监测结果表明，</w:t>
            </w:r>
            <w:r>
              <w:rPr>
                <w:color w:val="auto"/>
              </w:rPr>
              <w:t>项目</w:t>
            </w:r>
            <w:r>
              <w:rPr>
                <w:rFonts w:hint="eastAsia"/>
                <w:color w:val="auto"/>
              </w:rPr>
              <w:t>地</w:t>
            </w:r>
            <w:r>
              <w:rPr>
                <w:color w:val="auto"/>
              </w:rPr>
              <w:t>监测点</w:t>
            </w:r>
            <w:r>
              <w:rPr>
                <w:rFonts w:hint="eastAsia"/>
                <w:color w:val="auto"/>
              </w:rPr>
              <w:t>硫化氢、氨</w:t>
            </w:r>
            <w:r>
              <w:rPr>
                <w:rFonts w:hint="eastAsia"/>
                <w:color w:val="auto"/>
                <w:lang w:eastAsia="zh-CN"/>
              </w:rPr>
              <w:t>、</w:t>
            </w:r>
            <w:r>
              <w:rPr>
                <w:rFonts w:hint="eastAsia"/>
                <w:color w:val="auto"/>
                <w:lang w:val="en-US" w:eastAsia="zh-CN"/>
              </w:rPr>
              <w:t>氯气</w:t>
            </w:r>
            <w:r>
              <w:rPr>
                <w:rFonts w:hint="eastAsia"/>
                <w:color w:val="auto"/>
              </w:rPr>
              <w:t>1h均值</w:t>
            </w:r>
            <w:r>
              <w:rPr>
                <w:color w:val="auto"/>
              </w:rPr>
              <w:t>浓度均符合</w:t>
            </w:r>
            <w:r>
              <w:rPr>
                <w:rFonts w:hint="eastAsia"/>
                <w:color w:val="auto"/>
              </w:rPr>
              <w:t>《环境影响评价技术导则 大气环境》（HJ2.2-2018）中附录D标准</w:t>
            </w:r>
            <w:r>
              <w:rPr>
                <w:color w:val="auto"/>
              </w:rPr>
              <w:t>。</w:t>
            </w:r>
          </w:p>
          <w:p>
            <w:pPr>
              <w:pStyle w:val="7"/>
              <w:ind w:firstLine="480"/>
              <w:rPr>
                <w:rFonts w:hint="eastAsia" w:eastAsia="宋体"/>
                <w:b/>
                <w:bCs/>
                <w:color w:val="4472C4" w:themeColor="accent5"/>
                <w:u w:val="single"/>
                <w:lang w:eastAsia="zh-CN"/>
                <w14:textFill>
                  <w14:solidFill>
                    <w14:schemeClr w14:val="accent5"/>
                  </w14:solidFill>
                </w14:textFill>
              </w:rPr>
            </w:pPr>
            <w:r>
              <w:rPr>
                <w:b/>
                <w:bCs/>
                <w:color w:val="000000" w:themeColor="text1"/>
                <w:u w:val="single"/>
                <w14:textFill>
                  <w14:solidFill>
                    <w14:schemeClr w14:val="tx1"/>
                  </w14:solidFill>
                </w14:textFill>
              </w:rPr>
              <w:t>2、水环境质量现状</w:t>
            </w:r>
          </w:p>
          <w:p>
            <w:pPr>
              <w:pStyle w:val="7"/>
              <w:ind w:firstLine="480"/>
              <w:rPr>
                <w:rFonts w:hint="eastAsia" w:ascii="Times New Roman" w:hAnsi="Times New Roman" w:eastAsia="宋体" w:cs="Times New Roman"/>
                <w:color w:val="auto"/>
                <w:szCs w:val="22"/>
              </w:rPr>
            </w:pPr>
            <w:r>
              <w:rPr>
                <w:rFonts w:hint="eastAsia" w:ascii="Times New Roman" w:hAnsi="Times New Roman" w:eastAsia="宋体" w:cs="Times New Roman"/>
                <w:color w:val="auto"/>
                <w:kern w:val="2"/>
                <w:sz w:val="24"/>
                <w:szCs w:val="22"/>
                <w:u w:val="single"/>
                <w:lang w:val="en-US" w:eastAsia="zh-CN" w:bidi="ar-SA"/>
              </w:rPr>
              <w:t>本次水环境质量现状评价了解到临湘市惠康医院扩建项目废水与本项目排放一致（桃林镇污水处理厂），故引用临湘市惠康医院扩建项目建设项目环境影响报告中</w:t>
            </w:r>
            <w:r>
              <w:rPr>
                <w:rFonts w:hint="eastAsia" w:ascii="Times New Roman" w:hAnsi="Times New Roman" w:eastAsia="宋体" w:cs="Times New Roman"/>
                <w:color w:val="auto"/>
                <w:szCs w:val="22"/>
                <w:u w:val="single"/>
              </w:rPr>
              <w:t>临湘市2022年度水环境质量游港河东湖庙断面、游港河漆事大桥断面数据如下：</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color w:val="000000" w:themeColor="text1"/>
                <w:kern w:val="0"/>
                <w:sz w:val="21"/>
                <w:szCs w:val="21"/>
                <w:u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0"/>
                <w:sz w:val="21"/>
                <w:szCs w:val="21"/>
                <w:u w:val="none"/>
                <w:lang w:val="en-US" w:eastAsia="zh-CN" w:bidi="ar-SA"/>
                <w14:textFill>
                  <w14:solidFill>
                    <w14:schemeClr w14:val="tx1"/>
                  </w14:solidFill>
                </w14:textFill>
              </w:rPr>
              <w:t>表3.1-3  地表水环境质量现状监测结果</w:t>
            </w:r>
          </w:p>
          <w:tbl>
            <w:tblPr>
              <w:tblStyle w:val="32"/>
              <w:tblW w:w="79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771"/>
              <w:gridCol w:w="1260"/>
              <w:gridCol w:w="1305"/>
              <w:gridCol w:w="1170"/>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采样位置</w:t>
                  </w: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检测项目</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单位</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检测结果</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标准值</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restart"/>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游港河东湖庙断面</w:t>
                  </w: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pH</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无量纲</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7</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6-9</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溶解氧</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6.2</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≥6</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高锰酸盐指数</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2.4</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≤4.0</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化学需氧量</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w:t>
                  </w:r>
                </w:p>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9.6</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≤15</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五日生化需氧量</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1.8</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≤3</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氨氮</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0.22</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≤0.5</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总磷</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0.051</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≤0.1</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铜</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0.0027</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≤1.0</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锌</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0.039</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≤1.0</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氟化物</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0.436</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≤1.0</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硒</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0.0007</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≤0.01</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砷</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0.00164</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≤0.05</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汞</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0.00002</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≤0.00005</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镉</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0.0000525</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≤0.005</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六价铬</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0.002</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≤0.05</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铅</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0.001</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≤0.01</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氰化物</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0.000625</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≤0.05</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挥发酚</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0.0002</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≤0.002</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石油类</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0.005</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≤0.05</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阴离子表面活性剂</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0.02</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≤0.2</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硫化物</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0.00475</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≤0.1</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restart"/>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游港河漆事大桥断面</w:t>
                  </w: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pH</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无量纲</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7</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6-9</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溶解氧</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7.7</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≥6</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高锰酸盐指数</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2.6</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≤4.0</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化学需氧量</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11.5</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≤15</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五日生化需氧量</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0.9</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≤3</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氨氮</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0.28</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≤0.05</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总磷</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0.11</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≤0.1</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铜</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0.002</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≤1.0</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锌</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0.018</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≤1.0</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氟化物</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0.291</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≤1.0</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硒</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0.0002</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≤0.01</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砷</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0.0011</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≤0.05</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汞</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0.000015</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≤0.00005</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镉</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0.00003</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≤0.005</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六价铬</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0.002</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≤0.05</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铅</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0.001</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≤0.01</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氰化物</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0.0007</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≤0.05</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挥发酚</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0.0005</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≤0.002</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石油类</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0.005</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≤0.05</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阴离子表面活性剂</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0.02</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≤0.2</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vMerge w:val="continue"/>
                  <w:vAlign w:val="center"/>
                </w:tcPr>
                <w:p>
                  <w:pPr>
                    <w:pStyle w:val="48"/>
                    <w:jc w:val="center"/>
                    <w:rPr>
                      <w:rFonts w:hint="eastAsia" w:ascii="Times New Roman" w:hAnsi="Times New Roman" w:eastAsia="宋体" w:cs="Times New Roman"/>
                      <w:color w:val="auto"/>
                      <w:u w:val="none"/>
                    </w:rPr>
                  </w:pPr>
                </w:p>
              </w:tc>
              <w:tc>
                <w:tcPr>
                  <w:tcW w:w="1771"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硫化物</w:t>
                  </w:r>
                </w:p>
              </w:tc>
              <w:tc>
                <w:tcPr>
                  <w:tcW w:w="126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mg/L</w:t>
                  </w:r>
                </w:p>
              </w:tc>
              <w:tc>
                <w:tcPr>
                  <w:tcW w:w="130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0.005</w:t>
                  </w:r>
                </w:p>
              </w:tc>
              <w:tc>
                <w:tcPr>
                  <w:tcW w:w="1170"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≤0.1</w:t>
                  </w:r>
                </w:p>
              </w:tc>
              <w:tc>
                <w:tcPr>
                  <w:tcW w:w="1135" w:type="dxa"/>
                  <w:vAlign w:val="center"/>
                </w:tcPr>
                <w:p>
                  <w:pPr>
                    <w:pStyle w:val="48"/>
                    <w:jc w:val="center"/>
                    <w:rPr>
                      <w:rFonts w:hint="eastAsia" w:ascii="Times New Roman" w:hAnsi="Times New Roman" w:eastAsia="宋体" w:cs="Times New Roman"/>
                      <w:color w:val="auto"/>
                      <w:u w:val="none"/>
                    </w:rPr>
                  </w:pPr>
                  <w:r>
                    <w:rPr>
                      <w:rFonts w:hint="eastAsia" w:ascii="Times New Roman" w:hAnsi="Times New Roman" w:eastAsia="宋体" w:cs="Times New Roman"/>
                      <w:color w:val="auto"/>
                      <w:u w:val="none"/>
                    </w:rPr>
                    <w:t>是</w:t>
                  </w:r>
                </w:p>
              </w:tc>
            </w:tr>
          </w:tbl>
          <w:p>
            <w:pPr>
              <w:pStyle w:val="7"/>
              <w:ind w:firstLine="480"/>
              <w:rPr>
                <w:rFonts w:hint="eastAsia" w:ascii="Times New Roman" w:hAnsi="Times New Roman" w:eastAsia="宋体" w:cs="Times New Roman"/>
                <w:color w:val="auto"/>
                <w:szCs w:val="22"/>
                <w:u w:val="none"/>
                <w:lang w:val="en-US" w:eastAsia="zh-CN"/>
              </w:rPr>
            </w:pPr>
            <w:r>
              <w:rPr>
                <w:rFonts w:hint="eastAsia" w:ascii="Times New Roman" w:hAnsi="Times New Roman" w:eastAsia="宋体" w:cs="Times New Roman"/>
                <w:color w:val="auto"/>
                <w:szCs w:val="22"/>
                <w:u w:val="none"/>
                <w:lang w:val="en-US" w:eastAsia="zh-CN"/>
              </w:rPr>
              <w:t>从监测统计结果可以看出，监测期间，两个监测断面的监测因子均满足《地表水环境质量标准》（GB3838-2002）中</w:t>
            </w:r>
            <w:r>
              <w:rPr>
                <w:rFonts w:ascii="Times New Roman" w:hAnsi="Times New Roman" w:eastAsia="Times New Roman" w:cs="Times New Roman"/>
                <w:u w:val="none"/>
              </w:rPr>
              <w:t>III</w:t>
            </w:r>
            <w:r>
              <w:rPr>
                <w:rFonts w:hint="eastAsia" w:ascii="Times New Roman" w:hAnsi="Times New Roman" w:eastAsia="宋体" w:cs="Times New Roman"/>
                <w:color w:val="auto"/>
                <w:szCs w:val="22"/>
                <w:u w:val="none"/>
                <w:lang w:val="en-US" w:eastAsia="zh-CN"/>
              </w:rPr>
              <w:t>类水体要求，因此区域地表水环境质量良好。</w:t>
            </w:r>
          </w:p>
          <w:p>
            <w:pPr>
              <w:pStyle w:val="68"/>
              <w:keepNext w:val="0"/>
              <w:keepLines w:val="0"/>
              <w:pageBreakBefore w:val="0"/>
              <w:widowControl w:val="0"/>
              <w:kinsoku/>
              <w:wordWrap/>
              <w:overflowPunct/>
              <w:topLinePunct w:val="0"/>
              <w:autoSpaceDE/>
              <w:autoSpaceDN/>
              <w:bidi w:val="0"/>
              <w:adjustRightInd/>
              <w:snapToGrid/>
              <w:spacing w:line="360" w:lineRule="auto"/>
              <w:ind w:left="0" w:firstLine="482" w:firstLineChars="200"/>
              <w:jc w:val="both"/>
              <w:textAlignment w:val="auto"/>
              <w:rPr>
                <w:b/>
                <w:bCs/>
                <w:color w:val="auto"/>
              </w:rPr>
            </w:pPr>
            <w:r>
              <w:rPr>
                <w:rFonts w:hint="eastAsia"/>
                <w:b/>
                <w:bCs/>
                <w:color w:val="auto"/>
              </w:rPr>
              <w:t>3</w:t>
            </w:r>
            <w:r>
              <w:rPr>
                <w:b/>
                <w:bCs/>
                <w:color w:val="auto"/>
              </w:rPr>
              <w:t>、声环境质量现状</w:t>
            </w:r>
          </w:p>
          <w:p>
            <w:pPr>
              <w:pStyle w:val="7"/>
              <w:ind w:firstLine="480"/>
              <w:rPr>
                <w:color w:val="auto"/>
                <w:u w:val="none"/>
              </w:rPr>
            </w:pPr>
            <w:r>
              <w:rPr>
                <w:rFonts w:hint="eastAsia"/>
                <w:color w:val="auto"/>
                <w:u w:val="none"/>
              </w:rPr>
              <w:t>根据《声环境功能区划分技术规范》（</w:t>
            </w:r>
            <w:r>
              <w:rPr>
                <w:color w:val="auto"/>
                <w:u w:val="none"/>
              </w:rPr>
              <w:t>GB/T15190-2014</w:t>
            </w:r>
            <w:r>
              <w:rPr>
                <w:rFonts w:hint="eastAsia"/>
                <w:color w:val="auto"/>
                <w:u w:val="none"/>
              </w:rPr>
              <w:t>）的规定，项目所在地声环境质量执行《声环境质量标准》（</w:t>
            </w:r>
            <w:r>
              <w:rPr>
                <w:color w:val="auto"/>
                <w:u w:val="none"/>
              </w:rPr>
              <w:t>GB3096-2008</w:t>
            </w:r>
            <w:r>
              <w:rPr>
                <w:rFonts w:hint="eastAsia"/>
                <w:color w:val="auto"/>
                <w:u w:val="none"/>
              </w:rPr>
              <w:t>）中</w:t>
            </w:r>
            <w:r>
              <w:rPr>
                <w:color w:val="auto"/>
                <w:u w:val="none"/>
              </w:rPr>
              <w:t>2</w:t>
            </w:r>
            <w:r>
              <w:rPr>
                <w:rFonts w:hint="eastAsia"/>
                <w:color w:val="auto"/>
                <w:u w:val="none"/>
              </w:rPr>
              <w:t>类标准。</w:t>
            </w:r>
          </w:p>
          <w:p>
            <w:pPr>
              <w:pStyle w:val="7"/>
              <w:ind w:firstLine="480"/>
              <w:rPr>
                <w:color w:val="auto"/>
                <w:u w:val="single"/>
              </w:rPr>
            </w:pPr>
            <w:r>
              <w:rPr>
                <w:rFonts w:hint="eastAsia"/>
                <w:color w:val="auto"/>
                <w:u w:val="none"/>
              </w:rPr>
              <w:t>根据现场调查，项目周边50m范围内主要环境敏感点位于东、南、西侧居民点，</w:t>
            </w:r>
            <w:r>
              <w:rPr>
                <w:color w:val="auto"/>
                <w:u w:val="none"/>
              </w:rPr>
              <w:t>建设单位特委托</w:t>
            </w:r>
            <w:r>
              <w:rPr>
                <w:rFonts w:hint="eastAsia"/>
                <w:color w:val="auto"/>
                <w:u w:val="none"/>
              </w:rPr>
              <w:t>湖南</w:t>
            </w:r>
            <w:r>
              <w:rPr>
                <w:rFonts w:hint="eastAsia"/>
                <w:color w:val="auto"/>
                <w:u w:val="none"/>
                <w:lang w:eastAsia="zh-CN"/>
              </w:rPr>
              <w:t>衡润科技</w:t>
            </w:r>
            <w:r>
              <w:rPr>
                <w:rFonts w:hint="eastAsia"/>
                <w:color w:val="auto"/>
                <w:u w:val="none"/>
              </w:rPr>
              <w:t>有限公司</w:t>
            </w:r>
            <w:r>
              <w:rPr>
                <w:color w:val="auto"/>
                <w:u w:val="none"/>
              </w:rPr>
              <w:t>于</w:t>
            </w:r>
            <w:r>
              <w:rPr>
                <w:rFonts w:hint="eastAsia"/>
                <w:color w:val="auto"/>
                <w:u w:val="none"/>
              </w:rPr>
              <w:t>2023</w:t>
            </w:r>
            <w:r>
              <w:rPr>
                <w:color w:val="auto"/>
                <w:u w:val="none"/>
              </w:rPr>
              <w:t>年</w:t>
            </w:r>
            <w:r>
              <w:rPr>
                <w:rFonts w:hint="eastAsia"/>
                <w:color w:val="auto"/>
                <w:u w:val="none"/>
                <w:lang w:val="en-US" w:eastAsia="zh-CN"/>
              </w:rPr>
              <w:t>10</w:t>
            </w:r>
            <w:r>
              <w:rPr>
                <w:color w:val="auto"/>
                <w:u w:val="none"/>
              </w:rPr>
              <w:t>月</w:t>
            </w:r>
            <w:r>
              <w:rPr>
                <w:rFonts w:hint="eastAsia"/>
                <w:color w:val="auto"/>
                <w:u w:val="none"/>
                <w:lang w:val="en-US" w:eastAsia="zh-CN"/>
              </w:rPr>
              <w:t>15</w:t>
            </w:r>
            <w:r>
              <w:rPr>
                <w:color w:val="auto"/>
                <w:u w:val="none"/>
              </w:rPr>
              <w:t>日</w:t>
            </w:r>
            <w:r>
              <w:rPr>
                <w:rFonts w:hint="eastAsia"/>
                <w:color w:val="auto"/>
                <w:u w:val="none"/>
                <w:lang w:eastAsia="zh-CN"/>
              </w:rPr>
              <w:t>—</w:t>
            </w:r>
            <w:r>
              <w:rPr>
                <w:rFonts w:hint="eastAsia"/>
                <w:color w:val="auto"/>
                <w:u w:val="none"/>
                <w:lang w:val="en-US" w:eastAsia="zh-CN"/>
              </w:rPr>
              <w:t>16日</w:t>
            </w:r>
            <w:r>
              <w:rPr>
                <w:color w:val="auto"/>
                <w:u w:val="none"/>
              </w:rPr>
              <w:t>对厂界四周</w:t>
            </w:r>
            <w:r>
              <w:rPr>
                <w:rFonts w:hint="eastAsia"/>
                <w:color w:val="auto"/>
                <w:u w:val="none"/>
                <w:lang w:val="en-US" w:eastAsia="zh-CN"/>
              </w:rPr>
              <w:t>以及西侧距废水处理设备最近居民</w:t>
            </w:r>
            <w:r>
              <w:rPr>
                <w:color w:val="auto"/>
                <w:u w:val="none"/>
              </w:rPr>
              <w:t>进行了监测，</w:t>
            </w:r>
            <w:r>
              <w:rPr>
                <w:rFonts w:hint="eastAsia"/>
                <w:color w:val="auto"/>
                <w:u w:val="none"/>
                <w:lang w:eastAsia="zh-CN"/>
              </w:rPr>
              <w:t>检测</w:t>
            </w:r>
            <w:r>
              <w:rPr>
                <w:color w:val="auto"/>
                <w:u w:val="none"/>
              </w:rPr>
              <w:t>结果见下表</w:t>
            </w:r>
            <w:r>
              <w:rPr>
                <w:rFonts w:hint="eastAsia"/>
                <w:color w:val="auto"/>
                <w:u w:val="none"/>
              </w:rPr>
              <w:t>。</w:t>
            </w:r>
          </w:p>
          <w:p>
            <w:pPr>
              <w:pStyle w:val="49"/>
              <w:tabs>
                <w:tab w:val="left" w:pos="1021"/>
              </w:tabs>
              <w:rPr>
                <w:color w:val="auto"/>
                <w:u w:val="single"/>
              </w:rPr>
            </w:pPr>
            <w:r>
              <w:rPr>
                <w:rFonts w:hint="eastAsia"/>
                <w:color w:val="auto"/>
                <w:u w:val="single"/>
              </w:rPr>
              <w:t>表</w:t>
            </w:r>
            <w:r>
              <w:rPr>
                <w:color w:val="auto"/>
                <w:u w:val="single"/>
              </w:rPr>
              <w:t>3</w:t>
            </w:r>
            <w:r>
              <w:rPr>
                <w:rFonts w:hint="eastAsia"/>
                <w:color w:val="auto"/>
                <w:u w:val="single"/>
              </w:rPr>
              <w:t>.1</w:t>
            </w:r>
            <w:r>
              <w:rPr>
                <w:color w:val="auto"/>
                <w:u w:val="single"/>
              </w:rPr>
              <w:t>-</w:t>
            </w:r>
            <w:r>
              <w:rPr>
                <w:rFonts w:hint="eastAsia"/>
                <w:color w:val="auto"/>
                <w:u w:val="single"/>
              </w:rPr>
              <w:t>4  声环境现状监测数据单位：</w:t>
            </w:r>
            <w:r>
              <w:rPr>
                <w:color w:val="auto"/>
                <w:u w:val="single"/>
              </w:rPr>
              <w:t>dB(A)</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1213"/>
              <w:gridCol w:w="1120"/>
              <w:gridCol w:w="1117"/>
              <w:gridCol w:w="1274"/>
              <w:gridCol w:w="482"/>
              <w:gridCol w:w="635"/>
              <w:gridCol w:w="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77" w:type="pct"/>
                  <w:vMerge w:val="restart"/>
                  <w:tcBorders>
                    <w:tl2br w:val="nil"/>
                    <w:tr2bl w:val="nil"/>
                  </w:tcBorders>
                  <w:vAlign w:val="center"/>
                </w:tcPr>
                <w:p>
                  <w:pPr>
                    <w:pStyle w:val="48"/>
                    <w:spacing w:line="276" w:lineRule="auto"/>
                    <w:rPr>
                      <w:color w:val="auto"/>
                      <w:u w:val="single"/>
                    </w:rPr>
                  </w:pPr>
                  <w:r>
                    <w:rPr>
                      <w:color w:val="auto"/>
                      <w:u w:val="single"/>
                    </w:rPr>
                    <w:t>监测点位</w:t>
                  </w:r>
                </w:p>
              </w:tc>
              <w:tc>
                <w:tcPr>
                  <w:tcW w:w="3011" w:type="pct"/>
                  <w:gridSpan w:val="4"/>
                  <w:tcBorders>
                    <w:tl2br w:val="nil"/>
                    <w:tr2bl w:val="nil"/>
                  </w:tcBorders>
                  <w:vAlign w:val="center"/>
                </w:tcPr>
                <w:p>
                  <w:pPr>
                    <w:pStyle w:val="48"/>
                    <w:spacing w:line="276" w:lineRule="auto"/>
                    <w:rPr>
                      <w:color w:val="auto"/>
                      <w:u w:val="single"/>
                    </w:rPr>
                  </w:pPr>
                  <w:r>
                    <w:rPr>
                      <w:rFonts w:hint="eastAsia"/>
                      <w:color w:val="auto"/>
                      <w:u w:val="single"/>
                    </w:rPr>
                    <w:t>检测结果</w:t>
                  </w:r>
                </w:p>
              </w:tc>
              <w:tc>
                <w:tcPr>
                  <w:tcW w:w="712" w:type="pct"/>
                  <w:gridSpan w:val="2"/>
                  <w:vMerge w:val="restart"/>
                  <w:tcBorders>
                    <w:tl2br w:val="nil"/>
                    <w:tr2bl w:val="nil"/>
                  </w:tcBorders>
                  <w:vAlign w:val="center"/>
                </w:tcPr>
                <w:p>
                  <w:pPr>
                    <w:pStyle w:val="48"/>
                    <w:spacing w:line="276" w:lineRule="auto"/>
                    <w:rPr>
                      <w:color w:val="auto"/>
                      <w:u w:val="single"/>
                    </w:rPr>
                  </w:pPr>
                  <w:r>
                    <w:rPr>
                      <w:rFonts w:hint="eastAsia"/>
                      <w:color w:val="auto"/>
                      <w:u w:val="single"/>
                    </w:rPr>
                    <w:t>检测限值</w:t>
                  </w:r>
                </w:p>
              </w:tc>
              <w:tc>
                <w:tcPr>
                  <w:tcW w:w="299" w:type="pct"/>
                  <w:vMerge w:val="restart"/>
                  <w:tcBorders>
                    <w:tl2br w:val="nil"/>
                    <w:tr2bl w:val="nil"/>
                  </w:tcBorders>
                  <w:vAlign w:val="center"/>
                </w:tcPr>
                <w:p>
                  <w:pPr>
                    <w:pStyle w:val="48"/>
                    <w:spacing w:line="276" w:lineRule="auto"/>
                    <w:rPr>
                      <w:color w:val="auto"/>
                      <w:u w:val="single"/>
                    </w:rPr>
                  </w:pPr>
                  <w:r>
                    <w:rPr>
                      <w:rFonts w:hint="eastAsia"/>
                      <w:color w:val="auto"/>
                      <w:u w:val="singl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77" w:type="pct"/>
                  <w:vMerge w:val="continue"/>
                  <w:tcBorders>
                    <w:tl2br w:val="nil"/>
                    <w:tr2bl w:val="nil"/>
                  </w:tcBorders>
                  <w:vAlign w:val="center"/>
                </w:tcPr>
                <w:p>
                  <w:pPr>
                    <w:pStyle w:val="48"/>
                    <w:spacing w:line="276" w:lineRule="auto"/>
                    <w:rPr>
                      <w:color w:val="auto"/>
                      <w:u w:val="single"/>
                    </w:rPr>
                  </w:pPr>
                </w:p>
              </w:tc>
              <w:tc>
                <w:tcPr>
                  <w:tcW w:w="1487" w:type="pct"/>
                  <w:gridSpan w:val="2"/>
                  <w:tcBorders>
                    <w:tl2br w:val="nil"/>
                    <w:tr2bl w:val="nil"/>
                  </w:tcBorders>
                  <w:vAlign w:val="center"/>
                </w:tcPr>
                <w:p>
                  <w:pPr>
                    <w:jc w:val="center"/>
                    <w:rPr>
                      <w:color w:val="auto"/>
                      <w:sz w:val="21"/>
                      <w:szCs w:val="21"/>
                      <w:u w:val="single"/>
                    </w:rPr>
                  </w:pPr>
                  <w:r>
                    <w:rPr>
                      <w:rFonts w:hint="eastAsia"/>
                      <w:color w:val="auto"/>
                      <w:sz w:val="21"/>
                      <w:szCs w:val="21"/>
                      <w:u w:val="single"/>
                    </w:rPr>
                    <w:t>2023.</w:t>
                  </w:r>
                  <w:r>
                    <w:rPr>
                      <w:rFonts w:hint="eastAsia"/>
                      <w:color w:val="auto"/>
                      <w:sz w:val="21"/>
                      <w:szCs w:val="21"/>
                      <w:u w:val="single"/>
                      <w:lang w:val="en-US" w:eastAsia="zh-CN"/>
                    </w:rPr>
                    <w:t>10</w:t>
                  </w:r>
                  <w:r>
                    <w:rPr>
                      <w:rFonts w:hint="eastAsia"/>
                      <w:color w:val="auto"/>
                      <w:sz w:val="21"/>
                      <w:szCs w:val="21"/>
                      <w:u w:val="single"/>
                    </w:rPr>
                    <w:t>.</w:t>
                  </w:r>
                  <w:r>
                    <w:rPr>
                      <w:rFonts w:hint="eastAsia"/>
                      <w:color w:val="auto"/>
                      <w:sz w:val="21"/>
                      <w:szCs w:val="21"/>
                      <w:u w:val="single"/>
                      <w:lang w:val="en-US" w:eastAsia="zh-CN"/>
                    </w:rPr>
                    <w:t>1</w:t>
                  </w:r>
                  <w:r>
                    <w:rPr>
                      <w:rFonts w:hint="eastAsia"/>
                      <w:color w:val="auto"/>
                      <w:sz w:val="21"/>
                      <w:szCs w:val="21"/>
                      <w:u w:val="single"/>
                    </w:rPr>
                    <w:t>5</w:t>
                  </w:r>
                </w:p>
              </w:tc>
              <w:tc>
                <w:tcPr>
                  <w:tcW w:w="1523" w:type="pct"/>
                  <w:gridSpan w:val="2"/>
                  <w:tcBorders>
                    <w:tl2br w:val="nil"/>
                    <w:tr2bl w:val="nil"/>
                  </w:tcBorders>
                  <w:vAlign w:val="center"/>
                </w:tcPr>
                <w:p>
                  <w:pPr>
                    <w:jc w:val="center"/>
                    <w:rPr>
                      <w:color w:val="auto"/>
                      <w:sz w:val="21"/>
                      <w:szCs w:val="21"/>
                      <w:u w:val="single"/>
                    </w:rPr>
                  </w:pPr>
                  <w:r>
                    <w:rPr>
                      <w:rFonts w:hint="eastAsia"/>
                      <w:color w:val="auto"/>
                      <w:sz w:val="21"/>
                      <w:szCs w:val="21"/>
                      <w:u w:val="single"/>
                    </w:rPr>
                    <w:t>2023.</w:t>
                  </w:r>
                  <w:r>
                    <w:rPr>
                      <w:rFonts w:hint="eastAsia"/>
                      <w:color w:val="auto"/>
                      <w:sz w:val="21"/>
                      <w:szCs w:val="21"/>
                      <w:u w:val="single"/>
                      <w:lang w:val="en-US" w:eastAsia="zh-CN"/>
                    </w:rPr>
                    <w:t>10</w:t>
                  </w:r>
                  <w:r>
                    <w:rPr>
                      <w:rFonts w:hint="eastAsia"/>
                      <w:color w:val="auto"/>
                      <w:sz w:val="21"/>
                      <w:szCs w:val="21"/>
                      <w:u w:val="single"/>
                    </w:rPr>
                    <w:t>.</w:t>
                  </w:r>
                  <w:r>
                    <w:rPr>
                      <w:rFonts w:hint="eastAsia"/>
                      <w:color w:val="auto"/>
                      <w:sz w:val="21"/>
                      <w:szCs w:val="21"/>
                      <w:u w:val="single"/>
                      <w:lang w:val="en-US" w:eastAsia="zh-CN"/>
                    </w:rPr>
                    <w:t>1</w:t>
                  </w:r>
                  <w:r>
                    <w:rPr>
                      <w:rFonts w:hint="eastAsia"/>
                      <w:color w:val="auto"/>
                      <w:sz w:val="21"/>
                      <w:szCs w:val="21"/>
                      <w:u w:val="single"/>
                    </w:rPr>
                    <w:t>6</w:t>
                  </w:r>
                </w:p>
              </w:tc>
              <w:tc>
                <w:tcPr>
                  <w:tcW w:w="712" w:type="pct"/>
                  <w:gridSpan w:val="2"/>
                  <w:vMerge w:val="continue"/>
                  <w:tcBorders>
                    <w:tl2br w:val="nil"/>
                    <w:tr2bl w:val="nil"/>
                  </w:tcBorders>
                  <w:vAlign w:val="center"/>
                </w:tcPr>
                <w:p>
                  <w:pPr>
                    <w:pStyle w:val="48"/>
                    <w:spacing w:line="276" w:lineRule="auto"/>
                    <w:rPr>
                      <w:color w:val="auto"/>
                      <w:u w:val="single"/>
                    </w:rPr>
                  </w:pPr>
                </w:p>
              </w:tc>
              <w:tc>
                <w:tcPr>
                  <w:tcW w:w="299" w:type="pct"/>
                  <w:vMerge w:val="continue"/>
                  <w:tcBorders>
                    <w:tl2br w:val="nil"/>
                    <w:tr2bl w:val="nil"/>
                  </w:tcBorders>
                  <w:vAlign w:val="center"/>
                </w:tcPr>
                <w:p>
                  <w:pPr>
                    <w:pStyle w:val="48"/>
                    <w:spacing w:line="276" w:lineRule="auto"/>
                    <w:rPr>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77" w:type="pct"/>
                  <w:vMerge w:val="continue"/>
                  <w:tcBorders>
                    <w:tl2br w:val="nil"/>
                    <w:tr2bl w:val="nil"/>
                  </w:tcBorders>
                  <w:vAlign w:val="center"/>
                </w:tcPr>
                <w:p>
                  <w:pPr>
                    <w:pStyle w:val="48"/>
                    <w:spacing w:line="276" w:lineRule="auto"/>
                    <w:rPr>
                      <w:color w:val="auto"/>
                      <w:u w:val="single"/>
                    </w:rPr>
                  </w:pPr>
                </w:p>
              </w:tc>
              <w:tc>
                <w:tcPr>
                  <w:tcW w:w="773" w:type="pct"/>
                  <w:tcBorders>
                    <w:tl2br w:val="nil"/>
                    <w:tr2bl w:val="nil"/>
                  </w:tcBorders>
                  <w:vAlign w:val="center"/>
                </w:tcPr>
                <w:p>
                  <w:pPr>
                    <w:pStyle w:val="48"/>
                    <w:spacing w:line="276" w:lineRule="auto"/>
                    <w:rPr>
                      <w:color w:val="auto"/>
                      <w:u w:val="single"/>
                    </w:rPr>
                  </w:pPr>
                  <w:r>
                    <w:rPr>
                      <w:color w:val="auto"/>
                      <w:u w:val="single"/>
                    </w:rPr>
                    <w:t>昼间</w:t>
                  </w:r>
                </w:p>
              </w:tc>
              <w:tc>
                <w:tcPr>
                  <w:tcW w:w="714" w:type="pct"/>
                  <w:tcBorders>
                    <w:tl2br w:val="nil"/>
                    <w:tr2bl w:val="nil"/>
                  </w:tcBorders>
                  <w:vAlign w:val="center"/>
                </w:tcPr>
                <w:p>
                  <w:pPr>
                    <w:pStyle w:val="48"/>
                    <w:spacing w:line="276" w:lineRule="auto"/>
                    <w:rPr>
                      <w:color w:val="auto"/>
                      <w:u w:val="single"/>
                    </w:rPr>
                  </w:pPr>
                  <w:r>
                    <w:rPr>
                      <w:color w:val="auto"/>
                      <w:u w:val="single"/>
                    </w:rPr>
                    <w:t>夜间</w:t>
                  </w:r>
                </w:p>
              </w:tc>
              <w:tc>
                <w:tcPr>
                  <w:tcW w:w="712" w:type="pct"/>
                  <w:tcBorders>
                    <w:tl2br w:val="nil"/>
                    <w:tr2bl w:val="nil"/>
                  </w:tcBorders>
                  <w:vAlign w:val="center"/>
                </w:tcPr>
                <w:p>
                  <w:pPr>
                    <w:pStyle w:val="48"/>
                    <w:spacing w:line="276" w:lineRule="auto"/>
                    <w:rPr>
                      <w:color w:val="auto"/>
                      <w:u w:val="single"/>
                    </w:rPr>
                  </w:pPr>
                  <w:r>
                    <w:rPr>
                      <w:color w:val="auto"/>
                      <w:u w:val="single"/>
                    </w:rPr>
                    <w:t>昼间</w:t>
                  </w:r>
                </w:p>
              </w:tc>
              <w:tc>
                <w:tcPr>
                  <w:tcW w:w="811" w:type="pct"/>
                  <w:tcBorders>
                    <w:tl2br w:val="nil"/>
                    <w:tr2bl w:val="nil"/>
                  </w:tcBorders>
                  <w:vAlign w:val="center"/>
                </w:tcPr>
                <w:p>
                  <w:pPr>
                    <w:pStyle w:val="48"/>
                    <w:spacing w:line="276" w:lineRule="auto"/>
                    <w:rPr>
                      <w:color w:val="auto"/>
                      <w:u w:val="single"/>
                    </w:rPr>
                  </w:pPr>
                  <w:r>
                    <w:rPr>
                      <w:color w:val="auto"/>
                      <w:u w:val="single"/>
                    </w:rPr>
                    <w:t>夜间</w:t>
                  </w:r>
                </w:p>
              </w:tc>
              <w:tc>
                <w:tcPr>
                  <w:tcW w:w="307" w:type="pct"/>
                  <w:tcBorders>
                    <w:tl2br w:val="nil"/>
                    <w:tr2bl w:val="nil"/>
                  </w:tcBorders>
                  <w:vAlign w:val="center"/>
                </w:tcPr>
                <w:p>
                  <w:pPr>
                    <w:pStyle w:val="48"/>
                    <w:spacing w:line="276" w:lineRule="auto"/>
                    <w:rPr>
                      <w:color w:val="auto"/>
                      <w:u w:val="single"/>
                    </w:rPr>
                  </w:pPr>
                  <w:r>
                    <w:rPr>
                      <w:color w:val="auto"/>
                      <w:u w:val="single"/>
                    </w:rPr>
                    <w:t>昼间</w:t>
                  </w:r>
                </w:p>
              </w:tc>
              <w:tc>
                <w:tcPr>
                  <w:tcW w:w="404" w:type="pct"/>
                  <w:tcBorders>
                    <w:tl2br w:val="nil"/>
                    <w:tr2bl w:val="nil"/>
                  </w:tcBorders>
                  <w:vAlign w:val="center"/>
                </w:tcPr>
                <w:p>
                  <w:pPr>
                    <w:pStyle w:val="48"/>
                    <w:spacing w:line="276" w:lineRule="auto"/>
                    <w:rPr>
                      <w:color w:val="auto"/>
                      <w:u w:val="single"/>
                    </w:rPr>
                  </w:pPr>
                  <w:r>
                    <w:rPr>
                      <w:color w:val="auto"/>
                      <w:u w:val="single"/>
                    </w:rPr>
                    <w:t>夜间</w:t>
                  </w:r>
                </w:p>
              </w:tc>
              <w:tc>
                <w:tcPr>
                  <w:tcW w:w="299" w:type="pct"/>
                  <w:vMerge w:val="continue"/>
                  <w:tcBorders>
                    <w:tl2br w:val="nil"/>
                    <w:tr2bl w:val="nil"/>
                  </w:tcBorders>
                  <w:vAlign w:val="center"/>
                </w:tcPr>
                <w:p>
                  <w:pPr>
                    <w:pStyle w:val="48"/>
                    <w:spacing w:line="276" w:lineRule="auto"/>
                    <w:rPr>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pct"/>
                  <w:tcBorders>
                    <w:tl2br w:val="nil"/>
                    <w:tr2bl w:val="nil"/>
                  </w:tcBorders>
                  <w:vAlign w:val="center"/>
                </w:tcPr>
                <w:p>
                  <w:pPr>
                    <w:pStyle w:val="48"/>
                    <w:spacing w:line="276" w:lineRule="auto"/>
                    <w:rPr>
                      <w:color w:val="auto"/>
                      <w:u w:val="single"/>
                    </w:rPr>
                  </w:pPr>
                  <w:r>
                    <w:rPr>
                      <w:color w:val="auto"/>
                      <w:u w:val="single"/>
                    </w:rPr>
                    <w:t>N1</w:t>
                  </w:r>
                  <w:r>
                    <w:rPr>
                      <w:rFonts w:hint="eastAsia"/>
                      <w:color w:val="auto"/>
                      <w:u w:val="single"/>
                    </w:rPr>
                    <w:t>厂界东侧</w:t>
                  </w:r>
                </w:p>
              </w:tc>
              <w:tc>
                <w:tcPr>
                  <w:tcW w:w="773" w:type="pct"/>
                  <w:tcBorders>
                    <w:tl2br w:val="nil"/>
                    <w:tr2bl w:val="nil"/>
                  </w:tcBorders>
                  <w:vAlign w:val="center"/>
                </w:tcPr>
                <w:p>
                  <w:pPr>
                    <w:jc w:val="center"/>
                    <w:rPr>
                      <w:rFonts w:hint="default" w:eastAsia="宋体"/>
                      <w:color w:val="auto"/>
                      <w:sz w:val="21"/>
                      <w:szCs w:val="21"/>
                      <w:u w:val="single"/>
                      <w:lang w:val="en-US" w:eastAsia="zh-CN"/>
                    </w:rPr>
                  </w:pPr>
                  <w:r>
                    <w:rPr>
                      <w:rFonts w:hint="eastAsia"/>
                      <w:color w:val="auto"/>
                      <w:sz w:val="21"/>
                      <w:szCs w:val="21"/>
                      <w:u w:val="single"/>
                      <w:lang w:val="en-US" w:eastAsia="zh-CN"/>
                    </w:rPr>
                    <w:t>55</w:t>
                  </w:r>
                </w:p>
              </w:tc>
              <w:tc>
                <w:tcPr>
                  <w:tcW w:w="714" w:type="pct"/>
                  <w:tcBorders>
                    <w:tl2br w:val="nil"/>
                    <w:tr2bl w:val="nil"/>
                  </w:tcBorders>
                  <w:vAlign w:val="center"/>
                </w:tcPr>
                <w:p>
                  <w:pPr>
                    <w:jc w:val="center"/>
                    <w:rPr>
                      <w:rFonts w:hint="default" w:eastAsia="宋体"/>
                      <w:color w:val="auto"/>
                      <w:sz w:val="21"/>
                      <w:szCs w:val="21"/>
                      <w:u w:val="single"/>
                      <w:lang w:val="en-US" w:eastAsia="zh-CN"/>
                    </w:rPr>
                  </w:pPr>
                  <w:r>
                    <w:rPr>
                      <w:rFonts w:hint="eastAsia"/>
                      <w:color w:val="auto"/>
                      <w:sz w:val="21"/>
                      <w:szCs w:val="21"/>
                      <w:u w:val="single"/>
                      <w:lang w:val="en-US" w:eastAsia="zh-CN"/>
                    </w:rPr>
                    <w:t>42</w:t>
                  </w:r>
                </w:p>
              </w:tc>
              <w:tc>
                <w:tcPr>
                  <w:tcW w:w="712" w:type="pct"/>
                  <w:tcBorders>
                    <w:tl2br w:val="nil"/>
                    <w:tr2bl w:val="nil"/>
                  </w:tcBorders>
                  <w:vAlign w:val="center"/>
                </w:tcPr>
                <w:p>
                  <w:pPr>
                    <w:jc w:val="center"/>
                    <w:rPr>
                      <w:rFonts w:hint="default" w:eastAsia="宋体"/>
                      <w:color w:val="auto"/>
                      <w:sz w:val="21"/>
                      <w:szCs w:val="21"/>
                      <w:u w:val="single"/>
                      <w:lang w:val="en-US" w:eastAsia="zh-CN"/>
                    </w:rPr>
                  </w:pPr>
                  <w:r>
                    <w:rPr>
                      <w:rFonts w:hint="eastAsia"/>
                      <w:color w:val="auto"/>
                      <w:sz w:val="21"/>
                      <w:szCs w:val="21"/>
                      <w:u w:val="single"/>
                      <w:lang w:val="en-US" w:eastAsia="zh-CN"/>
                    </w:rPr>
                    <w:t>58</w:t>
                  </w:r>
                </w:p>
              </w:tc>
              <w:tc>
                <w:tcPr>
                  <w:tcW w:w="811" w:type="pct"/>
                  <w:tcBorders>
                    <w:tl2br w:val="nil"/>
                    <w:tr2bl w:val="nil"/>
                  </w:tcBorders>
                  <w:vAlign w:val="center"/>
                </w:tcPr>
                <w:p>
                  <w:pPr>
                    <w:jc w:val="center"/>
                    <w:rPr>
                      <w:rFonts w:hint="default" w:eastAsia="宋体"/>
                      <w:color w:val="auto"/>
                      <w:sz w:val="21"/>
                      <w:szCs w:val="21"/>
                      <w:u w:val="single"/>
                      <w:lang w:val="en-US" w:eastAsia="zh-CN"/>
                    </w:rPr>
                  </w:pPr>
                  <w:r>
                    <w:rPr>
                      <w:rFonts w:hint="eastAsia"/>
                      <w:color w:val="auto"/>
                      <w:sz w:val="21"/>
                      <w:szCs w:val="21"/>
                      <w:u w:val="single"/>
                      <w:lang w:val="en-US" w:eastAsia="zh-CN"/>
                    </w:rPr>
                    <w:t>44</w:t>
                  </w:r>
                </w:p>
              </w:tc>
              <w:tc>
                <w:tcPr>
                  <w:tcW w:w="307" w:type="pct"/>
                  <w:vMerge w:val="restart"/>
                  <w:tcBorders>
                    <w:tl2br w:val="nil"/>
                    <w:tr2bl w:val="nil"/>
                  </w:tcBorders>
                  <w:vAlign w:val="center"/>
                </w:tcPr>
                <w:p>
                  <w:pPr>
                    <w:pStyle w:val="48"/>
                    <w:spacing w:line="276" w:lineRule="auto"/>
                    <w:rPr>
                      <w:color w:val="auto"/>
                      <w:u w:val="single"/>
                    </w:rPr>
                  </w:pPr>
                  <w:r>
                    <w:rPr>
                      <w:rFonts w:hint="eastAsia"/>
                      <w:color w:val="auto"/>
                      <w:u w:val="single"/>
                    </w:rPr>
                    <w:t>60</w:t>
                  </w:r>
                </w:p>
              </w:tc>
              <w:tc>
                <w:tcPr>
                  <w:tcW w:w="404" w:type="pct"/>
                  <w:vMerge w:val="restart"/>
                  <w:tcBorders>
                    <w:tl2br w:val="nil"/>
                    <w:tr2bl w:val="nil"/>
                  </w:tcBorders>
                  <w:vAlign w:val="center"/>
                </w:tcPr>
                <w:p>
                  <w:pPr>
                    <w:pStyle w:val="48"/>
                    <w:spacing w:line="276" w:lineRule="auto"/>
                    <w:rPr>
                      <w:color w:val="auto"/>
                      <w:u w:val="single"/>
                    </w:rPr>
                  </w:pPr>
                  <w:r>
                    <w:rPr>
                      <w:rFonts w:hint="eastAsia"/>
                      <w:color w:val="auto"/>
                      <w:u w:val="single"/>
                    </w:rPr>
                    <w:t>50</w:t>
                  </w:r>
                </w:p>
              </w:tc>
              <w:tc>
                <w:tcPr>
                  <w:tcW w:w="299" w:type="pct"/>
                  <w:tcBorders>
                    <w:tl2br w:val="nil"/>
                    <w:tr2bl w:val="nil"/>
                  </w:tcBorders>
                  <w:vAlign w:val="center"/>
                </w:tcPr>
                <w:p>
                  <w:pPr>
                    <w:adjustRightInd w:val="0"/>
                    <w:spacing w:line="276" w:lineRule="auto"/>
                    <w:jc w:val="center"/>
                    <w:textAlignment w:val="baseline"/>
                    <w:rPr>
                      <w:color w:val="auto"/>
                      <w:sz w:val="21"/>
                      <w:szCs w:val="21"/>
                      <w:u w:val="single"/>
                    </w:rPr>
                  </w:pPr>
                  <w:r>
                    <w:rPr>
                      <w:rFonts w:hint="eastAsia"/>
                      <w:color w:val="auto"/>
                      <w:sz w:val="21"/>
                      <w:szCs w:val="21"/>
                      <w:u w:val="singl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pct"/>
                  <w:tcBorders>
                    <w:tl2br w:val="nil"/>
                    <w:tr2bl w:val="nil"/>
                  </w:tcBorders>
                  <w:vAlign w:val="center"/>
                </w:tcPr>
                <w:p>
                  <w:pPr>
                    <w:pStyle w:val="48"/>
                    <w:spacing w:line="276" w:lineRule="auto"/>
                    <w:rPr>
                      <w:color w:val="auto"/>
                      <w:u w:val="single"/>
                    </w:rPr>
                  </w:pPr>
                  <w:r>
                    <w:rPr>
                      <w:color w:val="auto"/>
                      <w:u w:val="single"/>
                    </w:rPr>
                    <w:t>N2厂界</w:t>
                  </w:r>
                  <w:r>
                    <w:rPr>
                      <w:rFonts w:hint="eastAsia"/>
                      <w:color w:val="auto"/>
                      <w:u w:val="single"/>
                    </w:rPr>
                    <w:t>南</w:t>
                  </w:r>
                  <w:r>
                    <w:rPr>
                      <w:color w:val="auto"/>
                      <w:u w:val="single"/>
                    </w:rPr>
                    <w:t>侧</w:t>
                  </w:r>
                </w:p>
              </w:tc>
              <w:tc>
                <w:tcPr>
                  <w:tcW w:w="773" w:type="pct"/>
                  <w:tcBorders>
                    <w:tl2br w:val="nil"/>
                    <w:tr2bl w:val="nil"/>
                  </w:tcBorders>
                  <w:vAlign w:val="center"/>
                </w:tcPr>
                <w:p>
                  <w:pPr>
                    <w:jc w:val="center"/>
                    <w:rPr>
                      <w:rFonts w:hint="default" w:eastAsia="宋体"/>
                      <w:color w:val="auto"/>
                      <w:sz w:val="21"/>
                      <w:szCs w:val="21"/>
                      <w:u w:val="single"/>
                      <w:lang w:val="en-US" w:eastAsia="zh-CN"/>
                    </w:rPr>
                  </w:pPr>
                  <w:r>
                    <w:rPr>
                      <w:rFonts w:hint="eastAsia"/>
                      <w:color w:val="auto"/>
                      <w:sz w:val="21"/>
                      <w:szCs w:val="21"/>
                      <w:u w:val="single"/>
                      <w:lang w:val="en-US" w:eastAsia="zh-CN"/>
                    </w:rPr>
                    <w:t>54</w:t>
                  </w:r>
                </w:p>
              </w:tc>
              <w:tc>
                <w:tcPr>
                  <w:tcW w:w="714" w:type="pct"/>
                  <w:tcBorders>
                    <w:tl2br w:val="nil"/>
                    <w:tr2bl w:val="nil"/>
                  </w:tcBorders>
                  <w:vAlign w:val="center"/>
                </w:tcPr>
                <w:p>
                  <w:pPr>
                    <w:jc w:val="center"/>
                    <w:rPr>
                      <w:rFonts w:hint="default" w:eastAsia="宋体"/>
                      <w:color w:val="auto"/>
                      <w:sz w:val="21"/>
                      <w:szCs w:val="21"/>
                      <w:u w:val="single"/>
                      <w:lang w:val="en-US" w:eastAsia="zh-CN"/>
                    </w:rPr>
                  </w:pPr>
                  <w:r>
                    <w:rPr>
                      <w:rFonts w:hint="eastAsia"/>
                      <w:color w:val="auto"/>
                      <w:sz w:val="21"/>
                      <w:szCs w:val="21"/>
                      <w:u w:val="single"/>
                      <w:lang w:val="en-US" w:eastAsia="zh-CN"/>
                    </w:rPr>
                    <w:t>46</w:t>
                  </w:r>
                </w:p>
              </w:tc>
              <w:tc>
                <w:tcPr>
                  <w:tcW w:w="712" w:type="pct"/>
                  <w:tcBorders>
                    <w:tl2br w:val="nil"/>
                    <w:tr2bl w:val="nil"/>
                  </w:tcBorders>
                  <w:vAlign w:val="center"/>
                </w:tcPr>
                <w:p>
                  <w:pPr>
                    <w:jc w:val="center"/>
                    <w:rPr>
                      <w:rFonts w:hint="default" w:eastAsia="宋体"/>
                      <w:color w:val="auto"/>
                      <w:sz w:val="21"/>
                      <w:szCs w:val="21"/>
                      <w:u w:val="single"/>
                      <w:lang w:val="en-US" w:eastAsia="zh-CN"/>
                    </w:rPr>
                  </w:pPr>
                  <w:r>
                    <w:rPr>
                      <w:rFonts w:hint="eastAsia"/>
                      <w:color w:val="auto"/>
                      <w:sz w:val="21"/>
                      <w:szCs w:val="21"/>
                      <w:u w:val="single"/>
                      <w:lang w:val="en-US" w:eastAsia="zh-CN"/>
                    </w:rPr>
                    <w:t>50</w:t>
                  </w:r>
                </w:p>
              </w:tc>
              <w:tc>
                <w:tcPr>
                  <w:tcW w:w="811" w:type="pct"/>
                  <w:tcBorders>
                    <w:tl2br w:val="nil"/>
                    <w:tr2bl w:val="nil"/>
                  </w:tcBorders>
                  <w:vAlign w:val="center"/>
                </w:tcPr>
                <w:p>
                  <w:pPr>
                    <w:jc w:val="center"/>
                    <w:rPr>
                      <w:rFonts w:hint="default" w:eastAsia="宋体"/>
                      <w:color w:val="auto"/>
                      <w:sz w:val="21"/>
                      <w:szCs w:val="21"/>
                      <w:u w:val="single"/>
                      <w:lang w:val="en-US" w:eastAsia="zh-CN"/>
                    </w:rPr>
                  </w:pPr>
                  <w:r>
                    <w:rPr>
                      <w:rFonts w:hint="eastAsia"/>
                      <w:color w:val="auto"/>
                      <w:sz w:val="21"/>
                      <w:szCs w:val="21"/>
                      <w:u w:val="single"/>
                      <w:lang w:val="en-US" w:eastAsia="zh-CN"/>
                    </w:rPr>
                    <w:t>46</w:t>
                  </w:r>
                </w:p>
              </w:tc>
              <w:tc>
                <w:tcPr>
                  <w:tcW w:w="307" w:type="pct"/>
                  <w:vMerge w:val="continue"/>
                  <w:tcBorders>
                    <w:tl2br w:val="nil"/>
                    <w:tr2bl w:val="nil"/>
                  </w:tcBorders>
                  <w:vAlign w:val="center"/>
                </w:tcPr>
                <w:p>
                  <w:pPr>
                    <w:pStyle w:val="48"/>
                    <w:spacing w:line="276" w:lineRule="auto"/>
                    <w:rPr>
                      <w:color w:val="auto"/>
                      <w:u w:val="single"/>
                    </w:rPr>
                  </w:pPr>
                </w:p>
              </w:tc>
              <w:tc>
                <w:tcPr>
                  <w:tcW w:w="404" w:type="pct"/>
                  <w:vMerge w:val="continue"/>
                  <w:tcBorders>
                    <w:tl2br w:val="nil"/>
                    <w:tr2bl w:val="nil"/>
                  </w:tcBorders>
                  <w:vAlign w:val="center"/>
                </w:tcPr>
                <w:p>
                  <w:pPr>
                    <w:pStyle w:val="48"/>
                    <w:spacing w:line="276" w:lineRule="auto"/>
                    <w:rPr>
                      <w:color w:val="auto"/>
                      <w:u w:val="single"/>
                    </w:rPr>
                  </w:pPr>
                </w:p>
              </w:tc>
              <w:tc>
                <w:tcPr>
                  <w:tcW w:w="299" w:type="pct"/>
                  <w:tcBorders>
                    <w:tl2br w:val="nil"/>
                    <w:tr2bl w:val="nil"/>
                  </w:tcBorders>
                  <w:vAlign w:val="center"/>
                </w:tcPr>
                <w:p>
                  <w:pPr>
                    <w:adjustRightInd w:val="0"/>
                    <w:spacing w:line="276" w:lineRule="auto"/>
                    <w:jc w:val="center"/>
                    <w:textAlignment w:val="baseline"/>
                    <w:rPr>
                      <w:color w:val="auto"/>
                      <w:sz w:val="21"/>
                      <w:szCs w:val="21"/>
                      <w:u w:val="single"/>
                    </w:rPr>
                  </w:pPr>
                  <w:r>
                    <w:rPr>
                      <w:rFonts w:hint="eastAsia"/>
                      <w:color w:val="auto"/>
                      <w:sz w:val="21"/>
                      <w:szCs w:val="21"/>
                      <w:u w:val="singl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pct"/>
                  <w:tcBorders>
                    <w:tl2br w:val="nil"/>
                    <w:tr2bl w:val="nil"/>
                  </w:tcBorders>
                  <w:vAlign w:val="center"/>
                </w:tcPr>
                <w:p>
                  <w:pPr>
                    <w:pStyle w:val="48"/>
                    <w:spacing w:line="276" w:lineRule="auto"/>
                    <w:rPr>
                      <w:color w:val="auto"/>
                      <w:u w:val="single"/>
                    </w:rPr>
                  </w:pPr>
                  <w:r>
                    <w:rPr>
                      <w:color w:val="auto"/>
                      <w:u w:val="single"/>
                    </w:rPr>
                    <w:t>N3厂界西</w:t>
                  </w:r>
                  <w:r>
                    <w:rPr>
                      <w:rFonts w:hint="eastAsia"/>
                      <w:color w:val="auto"/>
                      <w:u w:val="single"/>
                    </w:rPr>
                    <w:t>侧</w:t>
                  </w:r>
                </w:p>
              </w:tc>
              <w:tc>
                <w:tcPr>
                  <w:tcW w:w="773" w:type="pct"/>
                  <w:tcBorders>
                    <w:tl2br w:val="nil"/>
                    <w:tr2bl w:val="nil"/>
                  </w:tcBorders>
                  <w:vAlign w:val="center"/>
                </w:tcPr>
                <w:p>
                  <w:pPr>
                    <w:jc w:val="center"/>
                    <w:rPr>
                      <w:rFonts w:hint="default" w:eastAsia="宋体"/>
                      <w:color w:val="auto"/>
                      <w:sz w:val="21"/>
                      <w:szCs w:val="21"/>
                      <w:u w:val="single"/>
                      <w:lang w:val="en-US" w:eastAsia="zh-CN"/>
                    </w:rPr>
                  </w:pPr>
                  <w:r>
                    <w:rPr>
                      <w:rFonts w:hint="eastAsia"/>
                      <w:color w:val="auto"/>
                      <w:sz w:val="21"/>
                      <w:szCs w:val="21"/>
                      <w:u w:val="single"/>
                      <w:lang w:val="en-US" w:eastAsia="zh-CN"/>
                    </w:rPr>
                    <w:t>55</w:t>
                  </w:r>
                </w:p>
              </w:tc>
              <w:tc>
                <w:tcPr>
                  <w:tcW w:w="714" w:type="pct"/>
                  <w:tcBorders>
                    <w:tl2br w:val="nil"/>
                    <w:tr2bl w:val="nil"/>
                  </w:tcBorders>
                  <w:vAlign w:val="center"/>
                </w:tcPr>
                <w:p>
                  <w:pPr>
                    <w:jc w:val="center"/>
                    <w:rPr>
                      <w:rFonts w:hint="default" w:eastAsia="宋体"/>
                      <w:color w:val="auto"/>
                      <w:sz w:val="21"/>
                      <w:szCs w:val="21"/>
                      <w:u w:val="single"/>
                      <w:lang w:val="en-US" w:eastAsia="zh-CN"/>
                    </w:rPr>
                  </w:pPr>
                  <w:r>
                    <w:rPr>
                      <w:rFonts w:hint="eastAsia"/>
                      <w:color w:val="auto"/>
                      <w:sz w:val="21"/>
                      <w:szCs w:val="21"/>
                      <w:u w:val="single"/>
                      <w:lang w:val="en-US" w:eastAsia="zh-CN"/>
                    </w:rPr>
                    <w:t>45</w:t>
                  </w:r>
                </w:p>
              </w:tc>
              <w:tc>
                <w:tcPr>
                  <w:tcW w:w="712" w:type="pct"/>
                  <w:tcBorders>
                    <w:tl2br w:val="nil"/>
                    <w:tr2bl w:val="nil"/>
                  </w:tcBorders>
                  <w:vAlign w:val="center"/>
                </w:tcPr>
                <w:p>
                  <w:pPr>
                    <w:jc w:val="center"/>
                    <w:rPr>
                      <w:rFonts w:hint="default" w:eastAsia="宋体"/>
                      <w:color w:val="auto"/>
                      <w:sz w:val="21"/>
                      <w:szCs w:val="21"/>
                      <w:u w:val="single"/>
                      <w:lang w:val="en-US" w:eastAsia="zh-CN"/>
                    </w:rPr>
                  </w:pPr>
                  <w:r>
                    <w:rPr>
                      <w:rFonts w:hint="eastAsia"/>
                      <w:color w:val="auto"/>
                      <w:sz w:val="21"/>
                      <w:szCs w:val="21"/>
                      <w:u w:val="single"/>
                      <w:lang w:val="en-US" w:eastAsia="zh-CN"/>
                    </w:rPr>
                    <w:t>52</w:t>
                  </w:r>
                </w:p>
              </w:tc>
              <w:tc>
                <w:tcPr>
                  <w:tcW w:w="811" w:type="pct"/>
                  <w:tcBorders>
                    <w:tl2br w:val="nil"/>
                    <w:tr2bl w:val="nil"/>
                  </w:tcBorders>
                  <w:vAlign w:val="center"/>
                </w:tcPr>
                <w:p>
                  <w:pPr>
                    <w:jc w:val="center"/>
                    <w:rPr>
                      <w:rFonts w:hint="default" w:eastAsia="宋体"/>
                      <w:color w:val="auto"/>
                      <w:sz w:val="21"/>
                      <w:szCs w:val="21"/>
                      <w:u w:val="single"/>
                      <w:lang w:val="en-US" w:eastAsia="zh-CN"/>
                    </w:rPr>
                  </w:pPr>
                  <w:r>
                    <w:rPr>
                      <w:rFonts w:hint="eastAsia"/>
                      <w:color w:val="auto"/>
                      <w:sz w:val="21"/>
                      <w:szCs w:val="21"/>
                      <w:u w:val="single"/>
                      <w:lang w:val="en-US" w:eastAsia="zh-CN"/>
                    </w:rPr>
                    <w:t>46</w:t>
                  </w:r>
                </w:p>
              </w:tc>
              <w:tc>
                <w:tcPr>
                  <w:tcW w:w="307" w:type="pct"/>
                  <w:vMerge w:val="continue"/>
                  <w:tcBorders>
                    <w:tl2br w:val="nil"/>
                    <w:tr2bl w:val="nil"/>
                  </w:tcBorders>
                  <w:vAlign w:val="center"/>
                </w:tcPr>
                <w:p>
                  <w:pPr>
                    <w:pStyle w:val="48"/>
                    <w:spacing w:line="276" w:lineRule="auto"/>
                    <w:rPr>
                      <w:color w:val="auto"/>
                      <w:u w:val="single"/>
                    </w:rPr>
                  </w:pPr>
                </w:p>
              </w:tc>
              <w:tc>
                <w:tcPr>
                  <w:tcW w:w="404" w:type="pct"/>
                  <w:vMerge w:val="continue"/>
                  <w:tcBorders>
                    <w:tl2br w:val="nil"/>
                    <w:tr2bl w:val="nil"/>
                  </w:tcBorders>
                  <w:vAlign w:val="center"/>
                </w:tcPr>
                <w:p>
                  <w:pPr>
                    <w:pStyle w:val="48"/>
                    <w:spacing w:line="276" w:lineRule="auto"/>
                    <w:rPr>
                      <w:color w:val="auto"/>
                      <w:u w:val="single"/>
                    </w:rPr>
                  </w:pPr>
                </w:p>
              </w:tc>
              <w:tc>
                <w:tcPr>
                  <w:tcW w:w="299" w:type="pct"/>
                  <w:tcBorders>
                    <w:tl2br w:val="nil"/>
                    <w:tr2bl w:val="nil"/>
                  </w:tcBorders>
                  <w:vAlign w:val="center"/>
                </w:tcPr>
                <w:p>
                  <w:pPr>
                    <w:adjustRightInd w:val="0"/>
                    <w:spacing w:line="276" w:lineRule="auto"/>
                    <w:jc w:val="center"/>
                    <w:textAlignment w:val="baseline"/>
                    <w:rPr>
                      <w:color w:val="auto"/>
                      <w:sz w:val="21"/>
                      <w:szCs w:val="21"/>
                      <w:u w:val="single"/>
                    </w:rPr>
                  </w:pPr>
                  <w:r>
                    <w:rPr>
                      <w:rFonts w:hint="eastAsia"/>
                      <w:color w:val="auto"/>
                      <w:sz w:val="21"/>
                      <w:szCs w:val="21"/>
                      <w:u w:val="singl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pct"/>
                  <w:tcBorders>
                    <w:tl2br w:val="nil"/>
                    <w:tr2bl w:val="nil"/>
                  </w:tcBorders>
                  <w:vAlign w:val="center"/>
                </w:tcPr>
                <w:p>
                  <w:pPr>
                    <w:pStyle w:val="48"/>
                    <w:spacing w:line="276" w:lineRule="auto"/>
                    <w:rPr>
                      <w:color w:val="auto"/>
                      <w:u w:val="single"/>
                    </w:rPr>
                  </w:pPr>
                  <w:r>
                    <w:rPr>
                      <w:color w:val="auto"/>
                      <w:u w:val="single"/>
                    </w:rPr>
                    <w:t>N4厂界北侧</w:t>
                  </w:r>
                </w:p>
              </w:tc>
              <w:tc>
                <w:tcPr>
                  <w:tcW w:w="773" w:type="pct"/>
                  <w:tcBorders>
                    <w:tl2br w:val="nil"/>
                    <w:tr2bl w:val="nil"/>
                  </w:tcBorders>
                  <w:vAlign w:val="center"/>
                </w:tcPr>
                <w:p>
                  <w:pPr>
                    <w:jc w:val="center"/>
                    <w:rPr>
                      <w:rFonts w:hint="default" w:eastAsia="宋体"/>
                      <w:color w:val="auto"/>
                      <w:sz w:val="21"/>
                      <w:szCs w:val="21"/>
                      <w:u w:val="single"/>
                      <w:lang w:val="en-US" w:eastAsia="zh-CN"/>
                    </w:rPr>
                  </w:pPr>
                  <w:r>
                    <w:rPr>
                      <w:rFonts w:hint="eastAsia"/>
                      <w:color w:val="auto"/>
                      <w:sz w:val="21"/>
                      <w:szCs w:val="21"/>
                      <w:u w:val="single"/>
                      <w:lang w:val="en-US" w:eastAsia="zh-CN"/>
                    </w:rPr>
                    <w:t>55</w:t>
                  </w:r>
                </w:p>
              </w:tc>
              <w:tc>
                <w:tcPr>
                  <w:tcW w:w="714" w:type="pct"/>
                  <w:tcBorders>
                    <w:tl2br w:val="nil"/>
                    <w:tr2bl w:val="nil"/>
                  </w:tcBorders>
                  <w:vAlign w:val="center"/>
                </w:tcPr>
                <w:p>
                  <w:pPr>
                    <w:jc w:val="center"/>
                    <w:rPr>
                      <w:rFonts w:hint="default" w:eastAsia="宋体"/>
                      <w:color w:val="auto"/>
                      <w:sz w:val="21"/>
                      <w:szCs w:val="21"/>
                      <w:u w:val="single"/>
                      <w:lang w:val="en-US" w:eastAsia="zh-CN"/>
                    </w:rPr>
                  </w:pPr>
                  <w:r>
                    <w:rPr>
                      <w:rFonts w:hint="eastAsia"/>
                      <w:color w:val="auto"/>
                      <w:sz w:val="21"/>
                      <w:szCs w:val="21"/>
                      <w:u w:val="single"/>
                      <w:lang w:val="en-US" w:eastAsia="zh-CN"/>
                    </w:rPr>
                    <w:t>43</w:t>
                  </w:r>
                </w:p>
              </w:tc>
              <w:tc>
                <w:tcPr>
                  <w:tcW w:w="712" w:type="pct"/>
                  <w:tcBorders>
                    <w:tl2br w:val="nil"/>
                    <w:tr2bl w:val="nil"/>
                  </w:tcBorders>
                  <w:vAlign w:val="center"/>
                </w:tcPr>
                <w:p>
                  <w:pPr>
                    <w:jc w:val="center"/>
                    <w:rPr>
                      <w:rFonts w:hint="default" w:eastAsia="宋体"/>
                      <w:color w:val="auto"/>
                      <w:sz w:val="21"/>
                      <w:szCs w:val="21"/>
                      <w:u w:val="single"/>
                      <w:lang w:val="en-US" w:eastAsia="zh-CN"/>
                    </w:rPr>
                  </w:pPr>
                  <w:r>
                    <w:rPr>
                      <w:rFonts w:hint="eastAsia"/>
                      <w:color w:val="auto"/>
                      <w:sz w:val="21"/>
                      <w:szCs w:val="21"/>
                      <w:u w:val="single"/>
                      <w:lang w:val="en-US" w:eastAsia="zh-CN"/>
                    </w:rPr>
                    <w:t>49</w:t>
                  </w:r>
                </w:p>
              </w:tc>
              <w:tc>
                <w:tcPr>
                  <w:tcW w:w="811" w:type="pct"/>
                  <w:tcBorders>
                    <w:tl2br w:val="nil"/>
                    <w:tr2bl w:val="nil"/>
                  </w:tcBorders>
                  <w:vAlign w:val="center"/>
                </w:tcPr>
                <w:p>
                  <w:pPr>
                    <w:jc w:val="center"/>
                    <w:rPr>
                      <w:rFonts w:hint="default" w:eastAsia="宋体"/>
                      <w:color w:val="auto"/>
                      <w:sz w:val="21"/>
                      <w:szCs w:val="21"/>
                      <w:u w:val="single"/>
                      <w:lang w:val="en-US" w:eastAsia="zh-CN"/>
                    </w:rPr>
                  </w:pPr>
                  <w:r>
                    <w:rPr>
                      <w:rFonts w:hint="eastAsia"/>
                      <w:color w:val="auto"/>
                      <w:sz w:val="21"/>
                      <w:szCs w:val="21"/>
                      <w:u w:val="single"/>
                      <w:lang w:val="en-US" w:eastAsia="zh-CN"/>
                    </w:rPr>
                    <w:t>46</w:t>
                  </w:r>
                </w:p>
              </w:tc>
              <w:tc>
                <w:tcPr>
                  <w:tcW w:w="307" w:type="pct"/>
                  <w:vMerge w:val="continue"/>
                  <w:tcBorders>
                    <w:tl2br w:val="nil"/>
                    <w:tr2bl w:val="nil"/>
                  </w:tcBorders>
                  <w:vAlign w:val="center"/>
                </w:tcPr>
                <w:p>
                  <w:pPr>
                    <w:pStyle w:val="48"/>
                    <w:spacing w:line="276" w:lineRule="auto"/>
                    <w:rPr>
                      <w:color w:val="auto"/>
                      <w:u w:val="single"/>
                    </w:rPr>
                  </w:pPr>
                </w:p>
              </w:tc>
              <w:tc>
                <w:tcPr>
                  <w:tcW w:w="404" w:type="pct"/>
                  <w:vMerge w:val="continue"/>
                  <w:tcBorders>
                    <w:tl2br w:val="nil"/>
                    <w:tr2bl w:val="nil"/>
                  </w:tcBorders>
                  <w:vAlign w:val="center"/>
                </w:tcPr>
                <w:p>
                  <w:pPr>
                    <w:pStyle w:val="48"/>
                    <w:spacing w:line="276" w:lineRule="auto"/>
                    <w:rPr>
                      <w:color w:val="auto"/>
                      <w:u w:val="single"/>
                    </w:rPr>
                  </w:pPr>
                </w:p>
              </w:tc>
              <w:tc>
                <w:tcPr>
                  <w:tcW w:w="299" w:type="pct"/>
                  <w:tcBorders>
                    <w:tl2br w:val="nil"/>
                    <w:tr2bl w:val="nil"/>
                  </w:tcBorders>
                  <w:vAlign w:val="center"/>
                </w:tcPr>
                <w:p>
                  <w:pPr>
                    <w:adjustRightInd w:val="0"/>
                    <w:spacing w:line="276" w:lineRule="auto"/>
                    <w:jc w:val="center"/>
                    <w:textAlignment w:val="baseline"/>
                    <w:rPr>
                      <w:color w:val="auto"/>
                      <w:sz w:val="21"/>
                      <w:szCs w:val="21"/>
                      <w:u w:val="single"/>
                    </w:rPr>
                  </w:pPr>
                  <w:r>
                    <w:rPr>
                      <w:rFonts w:hint="eastAsia"/>
                      <w:color w:val="auto"/>
                      <w:sz w:val="21"/>
                      <w:szCs w:val="21"/>
                      <w:u w:val="singl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pct"/>
                  <w:tcBorders>
                    <w:tl2br w:val="nil"/>
                    <w:tr2bl w:val="nil"/>
                  </w:tcBorders>
                  <w:vAlign w:val="center"/>
                </w:tcPr>
                <w:p>
                  <w:pPr>
                    <w:pStyle w:val="48"/>
                    <w:spacing w:line="276" w:lineRule="auto"/>
                    <w:rPr>
                      <w:rFonts w:hint="default" w:eastAsia="宋体"/>
                      <w:color w:val="auto"/>
                      <w:u w:val="single"/>
                      <w:lang w:val="en-US" w:eastAsia="zh-CN"/>
                    </w:rPr>
                  </w:pPr>
                  <w:r>
                    <w:rPr>
                      <w:color w:val="auto"/>
                      <w:u w:val="single"/>
                    </w:rPr>
                    <w:t>N</w:t>
                  </w:r>
                  <w:r>
                    <w:rPr>
                      <w:rFonts w:hint="eastAsia"/>
                      <w:color w:val="auto"/>
                      <w:u w:val="single"/>
                      <w:lang w:val="en-US" w:eastAsia="zh-CN"/>
                    </w:rPr>
                    <w:t>5西侧居民</w:t>
                  </w:r>
                </w:p>
              </w:tc>
              <w:tc>
                <w:tcPr>
                  <w:tcW w:w="773" w:type="pct"/>
                  <w:tcBorders>
                    <w:tl2br w:val="nil"/>
                    <w:tr2bl w:val="nil"/>
                  </w:tcBorders>
                  <w:vAlign w:val="center"/>
                </w:tcPr>
                <w:p>
                  <w:pPr>
                    <w:jc w:val="center"/>
                    <w:rPr>
                      <w:rFonts w:hint="default"/>
                      <w:color w:val="auto"/>
                      <w:sz w:val="21"/>
                      <w:szCs w:val="21"/>
                      <w:u w:val="single"/>
                      <w:lang w:val="en-US" w:eastAsia="zh-CN"/>
                    </w:rPr>
                  </w:pPr>
                  <w:r>
                    <w:rPr>
                      <w:rFonts w:hint="eastAsia"/>
                      <w:color w:val="auto"/>
                      <w:sz w:val="21"/>
                      <w:szCs w:val="21"/>
                      <w:u w:val="single"/>
                      <w:lang w:val="en-US" w:eastAsia="zh-CN"/>
                    </w:rPr>
                    <w:t>48</w:t>
                  </w:r>
                </w:p>
              </w:tc>
              <w:tc>
                <w:tcPr>
                  <w:tcW w:w="714" w:type="pct"/>
                  <w:tcBorders>
                    <w:tl2br w:val="nil"/>
                    <w:tr2bl w:val="nil"/>
                  </w:tcBorders>
                  <w:vAlign w:val="center"/>
                </w:tcPr>
                <w:p>
                  <w:pPr>
                    <w:jc w:val="center"/>
                    <w:rPr>
                      <w:rFonts w:hint="default"/>
                      <w:color w:val="auto"/>
                      <w:sz w:val="21"/>
                      <w:szCs w:val="21"/>
                      <w:u w:val="single"/>
                      <w:lang w:val="en-US" w:eastAsia="zh-CN"/>
                    </w:rPr>
                  </w:pPr>
                  <w:r>
                    <w:rPr>
                      <w:rFonts w:hint="eastAsia"/>
                      <w:color w:val="auto"/>
                      <w:sz w:val="21"/>
                      <w:szCs w:val="21"/>
                      <w:u w:val="single"/>
                      <w:lang w:val="en-US" w:eastAsia="zh-CN"/>
                    </w:rPr>
                    <w:t>42</w:t>
                  </w:r>
                </w:p>
              </w:tc>
              <w:tc>
                <w:tcPr>
                  <w:tcW w:w="712" w:type="pct"/>
                  <w:tcBorders>
                    <w:tl2br w:val="nil"/>
                    <w:tr2bl w:val="nil"/>
                  </w:tcBorders>
                  <w:vAlign w:val="center"/>
                </w:tcPr>
                <w:p>
                  <w:pPr>
                    <w:jc w:val="center"/>
                    <w:rPr>
                      <w:rFonts w:hint="default"/>
                      <w:color w:val="auto"/>
                      <w:sz w:val="21"/>
                      <w:szCs w:val="21"/>
                      <w:u w:val="single"/>
                      <w:lang w:val="en-US" w:eastAsia="zh-CN"/>
                    </w:rPr>
                  </w:pPr>
                  <w:r>
                    <w:rPr>
                      <w:rFonts w:hint="eastAsia"/>
                      <w:color w:val="auto"/>
                      <w:sz w:val="21"/>
                      <w:szCs w:val="21"/>
                      <w:u w:val="single"/>
                      <w:lang w:val="en-US" w:eastAsia="zh-CN"/>
                    </w:rPr>
                    <w:t>47</w:t>
                  </w:r>
                </w:p>
              </w:tc>
              <w:tc>
                <w:tcPr>
                  <w:tcW w:w="811" w:type="pct"/>
                  <w:tcBorders>
                    <w:tl2br w:val="nil"/>
                    <w:tr2bl w:val="nil"/>
                  </w:tcBorders>
                  <w:vAlign w:val="center"/>
                </w:tcPr>
                <w:p>
                  <w:pPr>
                    <w:jc w:val="center"/>
                    <w:rPr>
                      <w:rFonts w:hint="default"/>
                      <w:color w:val="auto"/>
                      <w:sz w:val="21"/>
                      <w:szCs w:val="21"/>
                      <w:u w:val="single"/>
                      <w:lang w:val="en-US" w:eastAsia="zh-CN"/>
                    </w:rPr>
                  </w:pPr>
                  <w:r>
                    <w:rPr>
                      <w:rFonts w:hint="eastAsia"/>
                      <w:color w:val="auto"/>
                      <w:sz w:val="21"/>
                      <w:szCs w:val="21"/>
                      <w:u w:val="single"/>
                      <w:lang w:val="en-US" w:eastAsia="zh-CN"/>
                    </w:rPr>
                    <w:t>43</w:t>
                  </w:r>
                </w:p>
              </w:tc>
              <w:tc>
                <w:tcPr>
                  <w:tcW w:w="307" w:type="pct"/>
                  <w:vMerge w:val="continue"/>
                  <w:tcBorders>
                    <w:tl2br w:val="nil"/>
                    <w:tr2bl w:val="nil"/>
                  </w:tcBorders>
                  <w:vAlign w:val="center"/>
                </w:tcPr>
                <w:p>
                  <w:pPr>
                    <w:pStyle w:val="48"/>
                    <w:spacing w:line="276" w:lineRule="auto"/>
                    <w:rPr>
                      <w:color w:val="auto"/>
                      <w:u w:val="single"/>
                    </w:rPr>
                  </w:pPr>
                </w:p>
              </w:tc>
              <w:tc>
                <w:tcPr>
                  <w:tcW w:w="404" w:type="pct"/>
                  <w:vMerge w:val="continue"/>
                  <w:tcBorders>
                    <w:tl2br w:val="nil"/>
                    <w:tr2bl w:val="nil"/>
                  </w:tcBorders>
                  <w:vAlign w:val="center"/>
                </w:tcPr>
                <w:p>
                  <w:pPr>
                    <w:pStyle w:val="48"/>
                    <w:spacing w:line="276" w:lineRule="auto"/>
                    <w:rPr>
                      <w:color w:val="auto"/>
                      <w:u w:val="single"/>
                    </w:rPr>
                  </w:pPr>
                </w:p>
              </w:tc>
              <w:tc>
                <w:tcPr>
                  <w:tcW w:w="299" w:type="pct"/>
                  <w:tcBorders>
                    <w:tl2br w:val="nil"/>
                    <w:tr2bl w:val="nil"/>
                  </w:tcBorders>
                  <w:vAlign w:val="center"/>
                </w:tcPr>
                <w:p>
                  <w:pPr>
                    <w:adjustRightInd w:val="0"/>
                    <w:spacing w:line="276" w:lineRule="auto"/>
                    <w:jc w:val="center"/>
                    <w:textAlignment w:val="baseline"/>
                    <w:rPr>
                      <w:rFonts w:hint="eastAsia"/>
                      <w:color w:val="auto"/>
                      <w:sz w:val="21"/>
                      <w:szCs w:val="21"/>
                      <w:u w:val="single"/>
                    </w:rPr>
                  </w:pPr>
                  <w:r>
                    <w:rPr>
                      <w:rFonts w:hint="eastAsia"/>
                      <w:color w:val="auto"/>
                      <w:sz w:val="21"/>
                      <w:szCs w:val="21"/>
                      <w:u w:val="single"/>
                    </w:rPr>
                    <w:t>是</w:t>
                  </w:r>
                </w:p>
              </w:tc>
            </w:tr>
          </w:tbl>
          <w:p>
            <w:pPr>
              <w:pStyle w:val="7"/>
              <w:ind w:firstLine="480"/>
              <w:rPr>
                <w:color w:val="auto"/>
                <w:u w:val="none"/>
              </w:rPr>
            </w:pPr>
            <w:r>
              <w:rPr>
                <w:color w:val="auto"/>
                <w:u w:val="none"/>
              </w:rPr>
              <w:t>由</w:t>
            </w:r>
            <w:r>
              <w:rPr>
                <w:rFonts w:hint="eastAsia"/>
                <w:color w:val="auto"/>
                <w:u w:val="none"/>
              </w:rPr>
              <w:t>上</w:t>
            </w:r>
            <w:r>
              <w:rPr>
                <w:color w:val="auto"/>
                <w:u w:val="none"/>
              </w:rPr>
              <w:t>表噪声监测数据可知，卫生院厂界</w:t>
            </w:r>
            <w:r>
              <w:rPr>
                <w:rFonts w:hint="eastAsia"/>
                <w:color w:val="auto"/>
                <w:u w:val="none"/>
              </w:rPr>
              <w:t>外</w:t>
            </w:r>
            <w:r>
              <w:rPr>
                <w:color w:val="auto"/>
                <w:u w:val="none"/>
              </w:rPr>
              <w:t>监测值均能达到《声环境质量标准》（GB3096-2008）中2类标准的要求。</w:t>
            </w:r>
          </w:p>
          <w:p>
            <w:pPr>
              <w:pStyle w:val="7"/>
              <w:shd w:val="clear"/>
              <w:ind w:firstLine="48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w:t>
            </w:r>
            <w:r>
              <w:rPr>
                <w:b/>
                <w:bCs/>
                <w:color w:val="000000" w:themeColor="text1"/>
                <w14:textFill>
                  <w14:solidFill>
                    <w14:schemeClr w14:val="tx1"/>
                  </w14:solidFill>
                </w14:textFill>
              </w:rPr>
              <w:t>、生态环境质量现状</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auto"/>
                <w:kern w:val="2"/>
                <w:sz w:val="24"/>
                <w:szCs w:val="24"/>
                <w:u w:val="none"/>
                <w:lang w:val="en-US" w:eastAsia="zh-CN" w:bidi="ar-SA"/>
              </w:rPr>
              <w:t>项目位于临湘市桃林镇</w:t>
            </w:r>
            <w:r>
              <w:rPr>
                <w:rFonts w:ascii="Times New Roman" w:hAnsi="Times New Roman" w:eastAsia="宋体" w:cs="Times New Roman"/>
                <w:color w:val="auto"/>
                <w:kern w:val="2"/>
                <w:sz w:val="24"/>
                <w:szCs w:val="24"/>
                <w:u w:val="none"/>
                <w:lang w:val="en-US" w:eastAsia="zh-CN" w:bidi="ar-SA"/>
              </w:rPr>
              <w:t>，</w:t>
            </w:r>
            <w:r>
              <w:rPr>
                <w:rFonts w:hint="eastAsia" w:ascii="Times New Roman" w:hAnsi="Times New Roman" w:eastAsia="宋体" w:cs="Times New Roman"/>
                <w:color w:val="auto"/>
                <w:kern w:val="2"/>
                <w:sz w:val="24"/>
                <w:szCs w:val="24"/>
                <w:u w:val="none"/>
                <w:lang w:val="en-US" w:eastAsia="zh-CN" w:bidi="ar-SA"/>
              </w:rPr>
              <w:t>项目北侧为乡镇街道，东、南、西侧为</w:t>
            </w:r>
            <w:r>
              <w:rPr>
                <w:rFonts w:hint="eastAsia" w:cs="Times New Roman"/>
                <w:color w:val="auto"/>
                <w:kern w:val="2"/>
                <w:sz w:val="24"/>
                <w:szCs w:val="24"/>
                <w:u w:val="none"/>
                <w:lang w:val="en-US" w:eastAsia="zh-CN" w:bidi="ar-SA"/>
              </w:rPr>
              <w:t>居民点</w:t>
            </w:r>
            <w:r>
              <w:rPr>
                <w:rFonts w:hint="eastAsia" w:ascii="Times New Roman" w:hAnsi="Times New Roman" w:eastAsia="宋体" w:cs="Times New Roman"/>
                <w:color w:val="auto"/>
                <w:kern w:val="2"/>
                <w:sz w:val="24"/>
                <w:szCs w:val="24"/>
                <w:u w:val="none"/>
                <w:lang w:val="en-US" w:eastAsia="zh-CN" w:bidi="ar-SA"/>
              </w:rPr>
              <w:t>。周边植被主要为道旁行道树及人工绿地等人工植被、林地、农田等。区域内野生动物很少，除常见的鸟类、鼠类外，无天然分布的珍稀濒危动、植物种类。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dxa"/>
            <w:noWrap/>
            <w:vAlign w:val="center"/>
          </w:tcPr>
          <w:p>
            <w:pPr>
              <w:adjustRightInd w:val="0"/>
              <w:snapToGrid w:val="0"/>
              <w:jc w:val="center"/>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环境</w:t>
            </w:r>
          </w:p>
          <w:p>
            <w:pPr>
              <w:adjustRightInd w:val="0"/>
              <w:snapToGrid w:val="0"/>
              <w:jc w:val="center"/>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保护</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14:textFill>
                  <w14:solidFill>
                    <w14:schemeClr w14:val="tx1"/>
                  </w14:solidFill>
                </w14:textFill>
              </w:rPr>
              <w:t>目标</w:t>
            </w:r>
          </w:p>
        </w:tc>
        <w:tc>
          <w:tcPr>
            <w:tcW w:w="8185" w:type="dxa"/>
            <w:noWrap/>
            <w:vAlign w:val="center"/>
          </w:tcPr>
          <w:p>
            <w:pPr>
              <w:pStyle w:val="7"/>
              <w:ind w:firstLine="480"/>
              <w:rPr>
                <w:rFonts w:hint="default" w:eastAsia="宋体"/>
                <w:color w:val="auto"/>
                <w:u w:val="none"/>
                <w:lang w:val="en-US" w:eastAsia="zh-CN"/>
              </w:rPr>
            </w:pPr>
            <w:r>
              <w:rPr>
                <w:rFonts w:hint="eastAsia"/>
                <w:color w:val="auto"/>
                <w:u w:val="none"/>
                <w:lang w:val="en-US" w:eastAsia="zh-CN"/>
              </w:rPr>
              <w:t>主要环境保护目标：</w:t>
            </w:r>
          </w:p>
          <w:p>
            <w:pPr>
              <w:pStyle w:val="7"/>
              <w:ind w:firstLine="480"/>
              <w:rPr>
                <w:color w:val="auto"/>
                <w:u w:val="none"/>
              </w:rPr>
            </w:pPr>
            <w:r>
              <w:rPr>
                <w:rFonts w:hint="eastAsia"/>
                <w:color w:val="auto"/>
                <w:u w:val="none"/>
              </w:rPr>
              <w:t>本项目位于</w:t>
            </w:r>
            <w:r>
              <w:rPr>
                <w:rFonts w:hint="eastAsia"/>
                <w:color w:val="auto"/>
                <w:u w:val="none"/>
                <w:lang w:eastAsia="zh-CN"/>
              </w:rPr>
              <w:t>临湘市桃林镇</w:t>
            </w:r>
            <w:r>
              <w:rPr>
                <w:rFonts w:hint="eastAsia"/>
                <w:color w:val="auto"/>
                <w:u w:val="none"/>
              </w:rPr>
              <w:t>，</w:t>
            </w:r>
            <w:r>
              <w:rPr>
                <w:color w:val="auto"/>
                <w:u w:val="none"/>
              </w:rPr>
              <w:t>项目厂界外500米范围内无自然保护区、风景名胜区。项目厂界外</w:t>
            </w:r>
            <w:r>
              <w:rPr>
                <w:rFonts w:eastAsia="Times New Roman"/>
                <w:color w:val="auto"/>
                <w:u w:val="none"/>
              </w:rPr>
              <w:t>500</w:t>
            </w:r>
            <w:r>
              <w:rPr>
                <w:color w:val="auto"/>
                <w:u w:val="none"/>
              </w:rPr>
              <w:t>米范围</w:t>
            </w:r>
            <w:r>
              <w:rPr>
                <w:rFonts w:hint="eastAsia"/>
                <w:color w:val="auto"/>
                <w:u w:val="none"/>
              </w:rPr>
              <w:t>内无地下</w:t>
            </w:r>
            <w:r>
              <w:rPr>
                <w:color w:val="auto"/>
                <w:u w:val="none"/>
              </w:rPr>
              <w:t>水集中式饮</w:t>
            </w:r>
            <w:r>
              <w:rPr>
                <w:rFonts w:hint="eastAsia"/>
                <w:color w:val="auto"/>
                <w:u w:val="none"/>
                <w:lang w:val="zh-CN" w:bidi="zh-CN"/>
              </w:rPr>
              <w:t>用水水源和</w:t>
            </w:r>
            <w:r>
              <w:rPr>
                <w:color w:val="auto"/>
                <w:u w:val="none"/>
              </w:rPr>
              <w:t>热水、矿泉水、</w:t>
            </w:r>
            <w:r>
              <w:rPr>
                <w:color w:val="auto"/>
                <w:u w:val="none"/>
                <w:lang w:val="zh-CN" w:bidi="zh-CN"/>
              </w:rPr>
              <w:t>温泉等</w:t>
            </w:r>
            <w:r>
              <w:rPr>
                <w:rFonts w:hint="eastAsia"/>
                <w:color w:val="auto"/>
                <w:u w:val="none"/>
              </w:rPr>
              <w:t>特殊</w:t>
            </w:r>
            <w:r>
              <w:rPr>
                <w:color w:val="auto"/>
                <w:u w:val="none"/>
              </w:rPr>
              <w:t>地下水资源。本评价确定的环境保护目标及对象见</w:t>
            </w:r>
            <w:r>
              <w:rPr>
                <w:rFonts w:hint="eastAsia"/>
                <w:color w:val="auto"/>
                <w:u w:val="none"/>
              </w:rPr>
              <w:t>下</w:t>
            </w:r>
            <w:r>
              <w:rPr>
                <w:color w:val="auto"/>
                <w:u w:val="none"/>
              </w:rPr>
              <w:t>表。</w:t>
            </w:r>
          </w:p>
          <w:p>
            <w:pPr>
              <w:pStyle w:val="49"/>
              <w:tabs>
                <w:tab w:val="left" w:pos="1021"/>
              </w:tabs>
              <w:rPr>
                <w:rFonts w:hint="eastAsia" w:eastAsia="宋体"/>
                <w:color w:val="auto"/>
                <w:u w:val="single"/>
                <w:lang w:eastAsia="zh-CN"/>
              </w:rPr>
            </w:pPr>
            <w:r>
              <w:rPr>
                <w:color w:val="auto"/>
                <w:u w:val="single"/>
              </w:rPr>
              <w:t>表3</w:t>
            </w:r>
            <w:r>
              <w:rPr>
                <w:rFonts w:hint="eastAsia"/>
                <w:color w:val="auto"/>
                <w:u w:val="single"/>
              </w:rPr>
              <w:t>.2</w:t>
            </w:r>
            <w:r>
              <w:rPr>
                <w:color w:val="auto"/>
                <w:u w:val="single"/>
              </w:rPr>
              <w:t>-</w:t>
            </w:r>
            <w:r>
              <w:rPr>
                <w:rFonts w:hint="eastAsia"/>
                <w:color w:val="auto"/>
                <w:u w:val="single"/>
              </w:rPr>
              <w:t xml:space="preserve">1  </w:t>
            </w:r>
            <w:r>
              <w:rPr>
                <w:color w:val="auto"/>
                <w:u w:val="single"/>
              </w:rPr>
              <w:t>主要环境保护目标及保护对象</w:t>
            </w:r>
          </w:p>
          <w:tbl>
            <w:tblPr>
              <w:tblStyle w:val="31"/>
              <w:tblW w:w="4992"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55"/>
              <w:gridCol w:w="1529"/>
              <w:gridCol w:w="1424"/>
              <w:gridCol w:w="612"/>
              <w:gridCol w:w="993"/>
              <w:gridCol w:w="426"/>
              <w:gridCol w:w="426"/>
              <w:gridCol w:w="133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71" w:type="pct"/>
                  <w:vMerge w:val="restar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环境要素</w:t>
                  </w:r>
                </w:p>
              </w:tc>
              <w:tc>
                <w:tcPr>
                  <w:tcW w:w="560" w:type="pct"/>
                  <w:vMerge w:val="restar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名称</w:t>
                  </w:r>
                </w:p>
              </w:tc>
              <w:tc>
                <w:tcPr>
                  <w:tcW w:w="1444" w:type="pct"/>
                  <w:gridSpan w:val="2"/>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auto"/>
                      <w:u w:val="single"/>
                      <w:lang w:val="en-US" w:eastAsia="zh-CN"/>
                    </w:rPr>
                  </w:pPr>
                  <w:r>
                    <w:rPr>
                      <w:rFonts w:hint="eastAsia"/>
                      <w:color w:val="auto"/>
                      <w:u w:val="single"/>
                      <w:lang w:val="en-US" w:eastAsia="zh-CN"/>
                    </w:rPr>
                    <w:t>经纬度</w:t>
                  </w:r>
                </w:p>
              </w:tc>
              <w:tc>
                <w:tcPr>
                  <w:tcW w:w="1309" w:type="pct"/>
                  <w:gridSpan w:val="2"/>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eastAsia="宋体"/>
                      <w:color w:val="auto"/>
                      <w:u w:val="single"/>
                      <w:lang w:eastAsia="zh-CN"/>
                    </w:rPr>
                  </w:pPr>
                  <w:r>
                    <w:rPr>
                      <w:color w:val="auto"/>
                      <w:u w:val="single"/>
                    </w:rPr>
                    <w:t>相对距离</w:t>
                  </w:r>
                </w:p>
              </w:tc>
              <w:tc>
                <w:tcPr>
                  <w:tcW w:w="289" w:type="pct"/>
                  <w:vMerge w:val="restar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default" w:eastAsia="宋体"/>
                      <w:color w:val="auto"/>
                      <w:u w:val="single"/>
                      <w:lang w:val="en-US" w:eastAsia="zh-CN"/>
                    </w:rPr>
                  </w:pPr>
                  <w:r>
                    <w:rPr>
                      <w:rFonts w:hint="eastAsia"/>
                      <w:color w:val="auto"/>
                      <w:u w:val="single"/>
                      <w:lang w:eastAsia="zh-CN"/>
                    </w:rPr>
                    <w:t>保护内容</w:t>
                  </w:r>
                </w:p>
              </w:tc>
              <w:tc>
                <w:tcPr>
                  <w:tcW w:w="455" w:type="pct"/>
                  <w:vMerge w:val="restar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环境功能区</w:t>
                  </w:r>
                </w:p>
              </w:tc>
              <w:tc>
                <w:tcPr>
                  <w:tcW w:w="667" w:type="pct"/>
                  <w:vMerge w:val="restar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eastAsia="宋体"/>
                      <w:color w:val="000000" w:themeColor="text1"/>
                      <w:u w:val="single"/>
                      <w:lang w:eastAsia="zh-CN"/>
                      <w14:textFill>
                        <w14:solidFill>
                          <w14:schemeClr w14:val="tx1"/>
                        </w14:solidFill>
                      </w14:textFill>
                    </w:rPr>
                  </w:pPr>
                  <w:r>
                    <w:rPr>
                      <w:color w:val="000000" w:themeColor="text1"/>
                      <w:u w:val="single"/>
                      <w14:textFill>
                        <w14:solidFill>
                          <w14:schemeClr w14:val="tx1"/>
                        </w14:solidFill>
                      </w14:textFill>
                    </w:rPr>
                    <w:t>保护</w:t>
                  </w:r>
                  <w:r>
                    <w:rPr>
                      <w:rFonts w:hint="eastAsia"/>
                      <w:color w:val="000000" w:themeColor="text1"/>
                      <w:u w:val="single"/>
                      <w:lang w:val="en-US" w:eastAsia="zh-CN"/>
                      <w14:textFill>
                        <w14:solidFill>
                          <w14:schemeClr w14:val="tx1"/>
                        </w14:solidFill>
                      </w14:textFill>
                    </w:rPr>
                    <w:t>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71" w:type="pct"/>
                  <w:vMerge w:val="continue"/>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u w:val="single"/>
                    </w:rPr>
                  </w:pPr>
                </w:p>
              </w:tc>
              <w:tc>
                <w:tcPr>
                  <w:tcW w:w="560" w:type="pct"/>
                  <w:vMerge w:val="continue"/>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u w:val="single"/>
                    </w:rPr>
                  </w:pPr>
                </w:p>
              </w:tc>
              <w:tc>
                <w:tcPr>
                  <w:tcW w:w="797"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eastAsia="宋体"/>
                      <w:color w:val="auto"/>
                      <w:u w:val="single"/>
                      <w:lang w:val="en-US" w:eastAsia="zh-CN"/>
                    </w:rPr>
                  </w:pPr>
                  <w:r>
                    <w:rPr>
                      <w:rFonts w:hint="eastAsia"/>
                      <w:color w:val="auto"/>
                      <w:u w:val="single"/>
                      <w:lang w:val="en-US" w:eastAsia="zh-CN"/>
                    </w:rPr>
                    <w:t>X</w:t>
                  </w:r>
                </w:p>
              </w:tc>
              <w:tc>
                <w:tcPr>
                  <w:tcW w:w="647"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eastAsia="宋体"/>
                      <w:color w:val="auto"/>
                      <w:u w:val="single"/>
                      <w:lang w:val="en-US" w:eastAsia="zh-CN"/>
                    </w:rPr>
                  </w:pPr>
                  <w:r>
                    <w:rPr>
                      <w:rFonts w:hint="eastAsia"/>
                      <w:color w:val="auto"/>
                      <w:u w:val="single"/>
                      <w:lang w:val="en-US" w:eastAsia="zh-CN"/>
                    </w:rPr>
                    <w:t>Y</w:t>
                  </w:r>
                </w:p>
              </w:tc>
              <w:tc>
                <w:tcPr>
                  <w:tcW w:w="533"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color w:val="auto"/>
                      <w:u w:val="single"/>
                    </w:rPr>
                  </w:pPr>
                  <w:r>
                    <w:rPr>
                      <w:rFonts w:hint="eastAsia"/>
                      <w:color w:val="auto"/>
                      <w:u w:val="single"/>
                      <w:lang w:eastAsia="zh-CN"/>
                    </w:rPr>
                    <w:t>相对方位</w:t>
                  </w:r>
                </w:p>
              </w:tc>
              <w:tc>
                <w:tcPr>
                  <w:tcW w:w="776"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color w:val="auto"/>
                      <w:u w:val="single"/>
                    </w:rPr>
                  </w:pPr>
                  <w:r>
                    <w:rPr>
                      <w:rFonts w:hint="eastAsia"/>
                      <w:color w:val="auto"/>
                      <w:u w:val="single"/>
                      <w:lang w:eastAsia="zh-CN"/>
                    </w:rPr>
                    <w:t>最近距离</w:t>
                  </w:r>
                </w:p>
              </w:tc>
              <w:tc>
                <w:tcPr>
                  <w:tcW w:w="289" w:type="pct"/>
                  <w:vMerge w:val="continue"/>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color w:val="auto"/>
                      <w:u w:val="single"/>
                    </w:rPr>
                  </w:pPr>
                </w:p>
              </w:tc>
              <w:tc>
                <w:tcPr>
                  <w:tcW w:w="455" w:type="pct"/>
                  <w:vMerge w:val="continue"/>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u w:val="single"/>
                    </w:rPr>
                  </w:pPr>
                </w:p>
              </w:tc>
              <w:tc>
                <w:tcPr>
                  <w:tcW w:w="667" w:type="pct"/>
                  <w:vMerge w:val="continue"/>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u w:val="singl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restar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环境</w:t>
                  </w:r>
                </w:p>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空气</w:t>
                  </w:r>
                </w:p>
              </w:tc>
              <w:tc>
                <w:tcPr>
                  <w:tcW w:w="560"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临湘市第二中学</w:t>
                  </w:r>
                </w:p>
              </w:tc>
              <w:tc>
                <w:tcPr>
                  <w:tcW w:w="797"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auto"/>
                      <w:u w:val="single"/>
                    </w:rPr>
                  </w:pPr>
                  <w:r>
                    <w:rPr>
                      <w:rFonts w:hint="eastAsia"/>
                      <w:color w:val="auto"/>
                      <w:u w:val="single"/>
                    </w:rPr>
                    <w:t>113.407457186</w:t>
                  </w:r>
                </w:p>
              </w:tc>
              <w:tc>
                <w:tcPr>
                  <w:tcW w:w="647"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auto"/>
                      <w:u w:val="single"/>
                    </w:rPr>
                  </w:pPr>
                  <w:r>
                    <w:rPr>
                      <w:rFonts w:hint="eastAsia"/>
                      <w:color w:val="auto"/>
                      <w:u w:val="single"/>
                    </w:rPr>
                    <w:t>29.343192343</w:t>
                  </w:r>
                </w:p>
              </w:tc>
              <w:tc>
                <w:tcPr>
                  <w:tcW w:w="533"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auto"/>
                      <w:u w:val="single"/>
                      <w:lang w:val="en-US" w:eastAsia="zh-CN"/>
                    </w:rPr>
                  </w:pPr>
                  <w:r>
                    <w:rPr>
                      <w:rFonts w:hint="eastAsia"/>
                      <w:color w:val="auto"/>
                      <w:u w:val="single"/>
                      <w:lang w:val="en-US" w:eastAsia="zh-CN"/>
                    </w:rPr>
                    <w:t>W</w:t>
                  </w:r>
                </w:p>
              </w:tc>
              <w:tc>
                <w:tcPr>
                  <w:tcW w:w="776"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auto"/>
                      <w:u w:val="single"/>
                      <w:lang w:val="en-US" w:eastAsia="zh-CN"/>
                    </w:rPr>
                  </w:pPr>
                  <w:r>
                    <w:rPr>
                      <w:rFonts w:hint="eastAsia"/>
                      <w:color w:val="auto"/>
                      <w:u w:val="single"/>
                      <w:lang w:val="en-US" w:eastAsia="zh-CN"/>
                    </w:rPr>
                    <w:t>（距项目140m，师生约1500人）</w:t>
                  </w:r>
                </w:p>
              </w:tc>
              <w:tc>
                <w:tcPr>
                  <w:tcW w:w="289"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auto"/>
                      <w:u w:val="single"/>
                      <w:lang w:val="en-US" w:eastAsia="zh-CN"/>
                    </w:rPr>
                  </w:pPr>
                  <w:r>
                    <w:rPr>
                      <w:rFonts w:hint="eastAsia"/>
                      <w:color w:val="auto"/>
                      <w:u w:val="single"/>
                      <w:lang w:val="en-US" w:eastAsia="zh-CN"/>
                    </w:rPr>
                    <w:t>学校</w:t>
                  </w:r>
                </w:p>
              </w:tc>
              <w:tc>
                <w:tcPr>
                  <w:tcW w:w="455" w:type="pct"/>
                  <w:vMerge w:val="restar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r>
                    <w:rPr>
                      <w:rFonts w:hint="eastAsia"/>
                      <w:color w:val="000000" w:themeColor="text1"/>
                      <w:u w:val="single"/>
                      <w:lang w:val="en-US" w:eastAsia="zh-CN"/>
                      <w14:textFill>
                        <w14:solidFill>
                          <w14:schemeClr w14:val="tx1"/>
                        </w14:solidFill>
                      </w14:textFill>
                    </w:rPr>
                    <w:t>二类区</w:t>
                  </w:r>
                </w:p>
              </w:tc>
              <w:tc>
                <w:tcPr>
                  <w:tcW w:w="667" w:type="pct"/>
                  <w:vMerge w:val="restar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r>
                    <w:rPr>
                      <w:rFonts w:hint="eastAsia"/>
                      <w:color w:val="000000" w:themeColor="text1"/>
                      <w:u w:val="single"/>
                      <w:lang w:val="en-US" w:eastAsia="zh-CN"/>
                      <w14:textFill>
                        <w14:solidFill>
                          <w14:schemeClr w14:val="tx1"/>
                        </w14:solidFill>
                      </w14:textFill>
                    </w:rPr>
                    <w:t>《环境空气质量标准》（</w:t>
                  </w:r>
                  <w:r>
                    <w:rPr>
                      <w:rFonts w:hint="default"/>
                      <w:color w:val="000000" w:themeColor="text1"/>
                      <w:u w:val="single"/>
                      <w:lang w:val="en-US" w:eastAsia="zh-CN"/>
                      <w14:textFill>
                        <w14:solidFill>
                          <w14:schemeClr w14:val="tx1"/>
                        </w14:solidFill>
                      </w14:textFill>
                    </w:rPr>
                    <w:t>GB 3095-2012</w:t>
                  </w:r>
                  <w:r>
                    <w:rPr>
                      <w:rFonts w:hint="eastAsia"/>
                      <w:color w:val="000000" w:themeColor="text1"/>
                      <w:u w:val="single"/>
                      <w:lang w:val="en-US" w:eastAsia="zh-CN"/>
                      <w14:textFill>
                        <w14:solidFill>
                          <w14:schemeClr w14:val="tx1"/>
                        </w14:solidFill>
                      </w14:textFill>
                    </w:rPr>
                    <w:t>）和</w:t>
                  </w:r>
                  <w:r>
                    <w:rPr>
                      <w:rFonts w:hint="default"/>
                      <w:color w:val="000000" w:themeColor="text1"/>
                      <w:u w:val="single"/>
                      <w:lang w:val="en-US" w:eastAsia="zh-CN"/>
                      <w14:textFill>
                        <w14:solidFill>
                          <w14:schemeClr w14:val="tx1"/>
                        </w14:solidFill>
                      </w14:textFill>
                    </w:rPr>
                    <w:t xml:space="preserve">2018 </w:t>
                  </w:r>
                  <w:r>
                    <w:rPr>
                      <w:rFonts w:hint="eastAsia"/>
                      <w:color w:val="000000" w:themeColor="text1"/>
                      <w:u w:val="single"/>
                      <w:lang w:val="en-US" w:eastAsia="zh-CN"/>
                      <w14:textFill>
                        <w14:solidFill>
                          <w14:schemeClr w14:val="tx1"/>
                        </w14:solidFill>
                      </w14:textFill>
                    </w:rPr>
                    <w:t>修改单的二级标准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71" w:type="pct"/>
                  <w:vMerge w:val="continue"/>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p>
              </w:tc>
              <w:tc>
                <w:tcPr>
                  <w:tcW w:w="560"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城建小区</w:t>
                  </w:r>
                </w:p>
              </w:tc>
              <w:tc>
                <w:tcPr>
                  <w:tcW w:w="797"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auto"/>
                      <w:u w:val="single"/>
                    </w:rPr>
                  </w:pPr>
                  <w:r>
                    <w:rPr>
                      <w:rFonts w:hint="eastAsia"/>
                      <w:color w:val="auto"/>
                      <w:u w:val="single"/>
                    </w:rPr>
                    <w:t>113.410343243</w:t>
                  </w:r>
                </w:p>
              </w:tc>
              <w:tc>
                <w:tcPr>
                  <w:tcW w:w="647"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auto"/>
                      <w:u w:val="single"/>
                    </w:rPr>
                  </w:pPr>
                  <w:r>
                    <w:rPr>
                      <w:rFonts w:hint="eastAsia"/>
                      <w:color w:val="auto"/>
                      <w:u w:val="single"/>
                    </w:rPr>
                    <w:t>29.344088201</w:t>
                  </w:r>
                </w:p>
              </w:tc>
              <w:tc>
                <w:tcPr>
                  <w:tcW w:w="533"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auto"/>
                      <w:u w:val="single"/>
                      <w:lang w:val="en-US" w:eastAsia="zh-CN"/>
                    </w:rPr>
                  </w:pPr>
                  <w:r>
                    <w:rPr>
                      <w:rFonts w:hint="eastAsia"/>
                      <w:color w:val="auto"/>
                      <w:u w:val="single"/>
                      <w:lang w:val="en-US" w:eastAsia="zh-CN"/>
                    </w:rPr>
                    <w:t>N</w:t>
                  </w:r>
                </w:p>
              </w:tc>
              <w:tc>
                <w:tcPr>
                  <w:tcW w:w="776"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auto"/>
                      <w:u w:val="single"/>
                      <w:lang w:val="en-US" w:eastAsia="zh-CN"/>
                    </w:rPr>
                  </w:pPr>
                  <w:r>
                    <w:rPr>
                      <w:rFonts w:hint="eastAsia"/>
                      <w:color w:val="auto"/>
                      <w:u w:val="single"/>
                      <w:lang w:val="en-US" w:eastAsia="zh-CN"/>
                    </w:rPr>
                    <w:t>（距项目10m，约300户，1200人）</w:t>
                  </w:r>
                </w:p>
              </w:tc>
              <w:tc>
                <w:tcPr>
                  <w:tcW w:w="289"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auto"/>
                      <w:u w:val="single"/>
                      <w:lang w:val="en-US" w:eastAsia="zh-CN"/>
                    </w:rPr>
                  </w:pPr>
                  <w:r>
                    <w:rPr>
                      <w:rFonts w:hint="eastAsia"/>
                      <w:color w:val="auto"/>
                      <w:u w:val="single"/>
                      <w:lang w:val="en-US" w:eastAsia="zh-CN"/>
                    </w:rPr>
                    <w:t>居民区</w:t>
                  </w:r>
                </w:p>
              </w:tc>
              <w:tc>
                <w:tcPr>
                  <w:tcW w:w="455" w:type="pct"/>
                  <w:vMerge w:val="continue"/>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p>
              </w:tc>
              <w:tc>
                <w:tcPr>
                  <w:tcW w:w="667" w:type="pct"/>
                  <w:vMerge w:val="continue"/>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271" w:type="pct"/>
                  <w:vMerge w:val="continue"/>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p>
              </w:tc>
              <w:tc>
                <w:tcPr>
                  <w:tcW w:w="560"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大屋村</w:t>
                  </w:r>
                </w:p>
              </w:tc>
              <w:tc>
                <w:tcPr>
                  <w:tcW w:w="797"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auto"/>
                      <w:u w:val="single"/>
                    </w:rPr>
                  </w:pPr>
                  <w:r>
                    <w:rPr>
                      <w:rFonts w:hint="eastAsia"/>
                      <w:color w:val="auto"/>
                      <w:u w:val="single"/>
                    </w:rPr>
                    <w:t>113.412928892</w:t>
                  </w:r>
                </w:p>
              </w:tc>
              <w:tc>
                <w:tcPr>
                  <w:tcW w:w="647"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auto"/>
                      <w:u w:val="single"/>
                    </w:rPr>
                  </w:pPr>
                  <w:r>
                    <w:rPr>
                      <w:rFonts w:hint="eastAsia"/>
                      <w:color w:val="auto"/>
                      <w:u w:val="single"/>
                    </w:rPr>
                    <w:t>29.346845512</w:t>
                  </w:r>
                </w:p>
              </w:tc>
              <w:tc>
                <w:tcPr>
                  <w:tcW w:w="533"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auto"/>
                      <w:u w:val="single"/>
                      <w:lang w:val="en-US" w:eastAsia="zh-CN"/>
                    </w:rPr>
                  </w:pPr>
                  <w:r>
                    <w:rPr>
                      <w:rFonts w:hint="eastAsia"/>
                      <w:color w:val="auto"/>
                      <w:u w:val="single"/>
                      <w:lang w:val="en-US" w:eastAsia="zh-CN"/>
                    </w:rPr>
                    <w:t>N</w:t>
                  </w:r>
                </w:p>
              </w:tc>
              <w:tc>
                <w:tcPr>
                  <w:tcW w:w="776"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auto"/>
                      <w:u w:val="single"/>
                    </w:rPr>
                  </w:pPr>
                  <w:r>
                    <w:rPr>
                      <w:rFonts w:hint="eastAsia"/>
                      <w:color w:val="auto"/>
                      <w:u w:val="single"/>
                    </w:rPr>
                    <w:t>（</w:t>
                  </w:r>
                  <w:r>
                    <w:rPr>
                      <w:rFonts w:hint="eastAsia"/>
                      <w:color w:val="auto"/>
                      <w:u w:val="single"/>
                      <w:lang w:val="en-US" w:eastAsia="zh-CN"/>
                    </w:rPr>
                    <w:t>距项目440m，</w:t>
                  </w:r>
                  <w:r>
                    <w:rPr>
                      <w:rFonts w:hint="eastAsia"/>
                      <w:color w:val="auto"/>
                      <w:u w:val="single"/>
                    </w:rPr>
                    <w:t>约50户</w:t>
                  </w:r>
                  <w:r>
                    <w:rPr>
                      <w:rFonts w:hint="eastAsia"/>
                      <w:color w:val="auto"/>
                      <w:u w:val="single"/>
                      <w:lang w:eastAsia="zh-CN"/>
                    </w:rPr>
                    <w:t>，</w:t>
                  </w:r>
                  <w:r>
                    <w:rPr>
                      <w:rFonts w:hint="eastAsia"/>
                      <w:color w:val="auto"/>
                      <w:u w:val="single"/>
                    </w:rPr>
                    <w:t>200人）</w:t>
                  </w:r>
                </w:p>
              </w:tc>
              <w:tc>
                <w:tcPr>
                  <w:tcW w:w="289"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auto"/>
                      <w:u w:val="single"/>
                    </w:rPr>
                  </w:pPr>
                  <w:r>
                    <w:rPr>
                      <w:rFonts w:hint="eastAsia"/>
                      <w:color w:val="auto"/>
                      <w:u w:val="single"/>
                      <w:lang w:val="en-US" w:eastAsia="zh-CN"/>
                    </w:rPr>
                    <w:t>居民区</w:t>
                  </w:r>
                </w:p>
              </w:tc>
              <w:tc>
                <w:tcPr>
                  <w:tcW w:w="455" w:type="pct"/>
                  <w:vMerge w:val="continue"/>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p>
              </w:tc>
              <w:tc>
                <w:tcPr>
                  <w:tcW w:w="667" w:type="pct"/>
                  <w:vMerge w:val="continue"/>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271" w:type="pct"/>
                  <w:vMerge w:val="continue"/>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p>
              </w:tc>
              <w:tc>
                <w:tcPr>
                  <w:tcW w:w="560"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桃林镇居民点</w:t>
                  </w:r>
                </w:p>
              </w:tc>
              <w:tc>
                <w:tcPr>
                  <w:tcW w:w="797"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113.410075022</w:t>
                  </w:r>
                </w:p>
              </w:tc>
              <w:tc>
                <w:tcPr>
                  <w:tcW w:w="647"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29.342671994</w:t>
                  </w:r>
                </w:p>
              </w:tc>
              <w:tc>
                <w:tcPr>
                  <w:tcW w:w="533"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S</w:t>
                  </w:r>
                </w:p>
              </w:tc>
              <w:tc>
                <w:tcPr>
                  <w:tcW w:w="776"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w:t>
                  </w:r>
                  <w:r>
                    <w:rPr>
                      <w:rFonts w:hint="eastAsia"/>
                      <w:color w:val="000000" w:themeColor="text1"/>
                      <w:u w:val="single"/>
                      <w:lang w:val="en-US" w:eastAsia="zh-CN"/>
                      <w14:textFill>
                        <w14:solidFill>
                          <w14:schemeClr w14:val="tx1"/>
                        </w14:solidFill>
                      </w14:textFill>
                    </w:rPr>
                    <w:t>距项目0m，</w:t>
                  </w:r>
                  <w:r>
                    <w:rPr>
                      <w:rFonts w:hint="eastAsia"/>
                      <w:color w:val="000000" w:themeColor="text1"/>
                      <w:u w:val="single"/>
                      <w14:textFill>
                        <w14:solidFill>
                          <w14:schemeClr w14:val="tx1"/>
                        </w14:solidFill>
                      </w14:textFill>
                    </w:rPr>
                    <w:t>约400户，1600人）</w:t>
                  </w:r>
                </w:p>
              </w:tc>
              <w:tc>
                <w:tcPr>
                  <w:tcW w:w="289"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r>
                    <w:rPr>
                      <w:rFonts w:hint="eastAsia"/>
                      <w:color w:val="000000" w:themeColor="text1"/>
                      <w:u w:val="single"/>
                      <w:lang w:val="en-US" w:eastAsia="zh-CN"/>
                      <w14:textFill>
                        <w14:solidFill>
                          <w14:schemeClr w14:val="tx1"/>
                        </w14:solidFill>
                      </w14:textFill>
                    </w:rPr>
                    <w:t>居民区</w:t>
                  </w:r>
                </w:p>
              </w:tc>
              <w:tc>
                <w:tcPr>
                  <w:tcW w:w="455" w:type="pct"/>
                  <w:vMerge w:val="continue"/>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p>
              </w:tc>
              <w:tc>
                <w:tcPr>
                  <w:tcW w:w="667" w:type="pct"/>
                  <w:vMerge w:val="continue"/>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1" w:type="pct"/>
                  <w:vMerge w:val="continue"/>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p>
              </w:tc>
              <w:tc>
                <w:tcPr>
                  <w:tcW w:w="560"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桃林镇居民点</w:t>
                  </w:r>
                </w:p>
              </w:tc>
              <w:tc>
                <w:tcPr>
                  <w:tcW w:w="797"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113.410364701</w:t>
                  </w:r>
                </w:p>
              </w:tc>
              <w:tc>
                <w:tcPr>
                  <w:tcW w:w="647"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29.339807395</w:t>
                  </w:r>
                </w:p>
              </w:tc>
              <w:tc>
                <w:tcPr>
                  <w:tcW w:w="533"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S</w:t>
                  </w:r>
                </w:p>
              </w:tc>
              <w:tc>
                <w:tcPr>
                  <w:tcW w:w="776"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w:t>
                  </w:r>
                  <w:r>
                    <w:rPr>
                      <w:rFonts w:hint="eastAsia"/>
                      <w:color w:val="000000" w:themeColor="text1"/>
                      <w:u w:val="single"/>
                      <w:lang w:val="en-US" w:eastAsia="zh-CN"/>
                      <w14:textFill>
                        <w14:solidFill>
                          <w14:schemeClr w14:val="tx1"/>
                        </w14:solidFill>
                      </w14:textFill>
                    </w:rPr>
                    <w:t>距项目300m，</w:t>
                  </w:r>
                  <w:r>
                    <w:rPr>
                      <w:rFonts w:hint="eastAsia"/>
                      <w:color w:val="000000" w:themeColor="text1"/>
                      <w:u w:val="single"/>
                      <w14:textFill>
                        <w14:solidFill>
                          <w14:schemeClr w14:val="tx1"/>
                        </w14:solidFill>
                      </w14:textFill>
                    </w:rPr>
                    <w:t>约200户，800人）</w:t>
                  </w:r>
                </w:p>
              </w:tc>
              <w:tc>
                <w:tcPr>
                  <w:tcW w:w="289"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r>
                    <w:rPr>
                      <w:rFonts w:hint="eastAsia"/>
                      <w:color w:val="000000" w:themeColor="text1"/>
                      <w:u w:val="single"/>
                      <w:lang w:val="en-US" w:eastAsia="zh-CN"/>
                      <w14:textFill>
                        <w14:solidFill>
                          <w14:schemeClr w14:val="tx1"/>
                        </w14:solidFill>
                      </w14:textFill>
                    </w:rPr>
                    <w:t>居民区</w:t>
                  </w:r>
                </w:p>
              </w:tc>
              <w:tc>
                <w:tcPr>
                  <w:tcW w:w="455" w:type="pct"/>
                  <w:vMerge w:val="continue"/>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p>
              </w:tc>
              <w:tc>
                <w:tcPr>
                  <w:tcW w:w="667" w:type="pct"/>
                  <w:vMerge w:val="continue"/>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271" w:type="pct"/>
                  <w:vMerge w:val="continue"/>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p>
              </w:tc>
              <w:tc>
                <w:tcPr>
                  <w:tcW w:w="560"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桃林镇人民镇政府</w:t>
                  </w:r>
                </w:p>
              </w:tc>
              <w:tc>
                <w:tcPr>
                  <w:tcW w:w="797"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113.410836769</w:t>
                  </w:r>
                </w:p>
              </w:tc>
              <w:tc>
                <w:tcPr>
                  <w:tcW w:w="647"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29.342596892</w:t>
                  </w:r>
                </w:p>
              </w:tc>
              <w:tc>
                <w:tcPr>
                  <w:tcW w:w="533"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S</w:t>
                  </w:r>
                </w:p>
              </w:tc>
              <w:tc>
                <w:tcPr>
                  <w:tcW w:w="776"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距项目80m，办公人员约50人</w:t>
                  </w:r>
                </w:p>
              </w:tc>
              <w:tc>
                <w:tcPr>
                  <w:tcW w:w="289"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行政办公区</w:t>
                  </w:r>
                </w:p>
              </w:tc>
              <w:tc>
                <w:tcPr>
                  <w:tcW w:w="455" w:type="pct"/>
                  <w:vMerge w:val="continue"/>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p>
              </w:tc>
              <w:tc>
                <w:tcPr>
                  <w:tcW w:w="667" w:type="pct"/>
                  <w:vMerge w:val="continue"/>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val="0"/>
                    <w:snapToGrid/>
                    <w:jc w:val="center"/>
                    <w:textAlignment w:val="baseline"/>
                    <w:rPr>
                      <w:rFonts w:hint="eastAsia"/>
                      <w:color w:val="000000" w:themeColor="text1"/>
                      <w:u w:val="single"/>
                      <w14:textFill>
                        <w14:solidFill>
                          <w14:schemeClr w14:val="tx1"/>
                        </w14:solidFill>
                      </w14:textFill>
                    </w:rPr>
                  </w:pPr>
                </w:p>
              </w:tc>
            </w:tr>
          </w:tbl>
          <w:p>
            <w:pPr>
              <w:pStyle w:val="49"/>
              <w:rPr>
                <w:rFonts w:hint="eastAsia"/>
                <w:color w:val="4472C4" w:themeColor="accent5"/>
                <w:u w:val="none"/>
                <w14:textFill>
                  <w14:solidFill>
                    <w14:schemeClr w14:val="accent5"/>
                  </w14:solidFill>
                </w14:textFill>
              </w:rPr>
            </w:pPr>
            <w:r>
              <w:rPr>
                <w:rFonts w:hint="eastAsia"/>
                <w:color w:val="000000" w:themeColor="text1"/>
                <w:u w:val="none"/>
                <w:lang w:val="en-US" w:eastAsia="zh-CN"/>
                <w14:textFill>
                  <w14:solidFill>
                    <w14:schemeClr w14:val="tx1"/>
                  </w14:solidFill>
                </w14:textFill>
              </w:rPr>
              <w:t>表3.2-1  其他要素环境保护目标一览表</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4"/>
              <w:gridCol w:w="1332"/>
              <w:gridCol w:w="1404"/>
              <w:gridCol w:w="1157"/>
              <w:gridCol w:w="2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要素</w:t>
                  </w:r>
                </w:p>
              </w:tc>
              <w:tc>
                <w:tcPr>
                  <w:tcW w:w="849" w:type="pct"/>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名称</w:t>
                  </w:r>
                </w:p>
              </w:tc>
              <w:tc>
                <w:tcPr>
                  <w:tcW w:w="895" w:type="pct"/>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相对距离</w:t>
                  </w:r>
                </w:p>
              </w:tc>
              <w:tc>
                <w:tcPr>
                  <w:tcW w:w="738" w:type="pct"/>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功能</w:t>
                  </w:r>
                </w:p>
              </w:tc>
              <w:tc>
                <w:tcPr>
                  <w:tcW w:w="1519" w:type="pct"/>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保护标准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cs="Times New Roman"/>
                      <w:color w:val="000000" w:themeColor="text1"/>
                      <w:kern w:val="0"/>
                      <w:sz w:val="21"/>
                      <w:szCs w:val="21"/>
                      <w:u w:val="none"/>
                      <w:lang w:val="en-US" w:eastAsia="zh-CN" w:bidi="ar-SA"/>
                      <w14:textFill>
                        <w14:solidFill>
                          <w14:schemeClr w14:val="tx1"/>
                        </w14:solidFill>
                      </w14:textFill>
                    </w:rPr>
                    <w:t>地表水</w:t>
                  </w:r>
                </w:p>
              </w:tc>
              <w:tc>
                <w:tcPr>
                  <w:tcW w:w="849" w:type="pct"/>
                  <w:vAlign w:val="center"/>
                </w:tcPr>
                <w:p>
                  <w:pPr>
                    <w:keepNext w:val="0"/>
                    <w:keepLines w:val="0"/>
                    <w:widowControl/>
                    <w:suppressLineNumbers w:val="0"/>
                    <w:jc w:val="center"/>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ascii="宋体" w:hAnsi="宋体" w:cs="宋体"/>
                      <w:color w:val="000000"/>
                      <w:kern w:val="0"/>
                      <w:sz w:val="21"/>
                      <w:szCs w:val="21"/>
                      <w:lang w:val="en-US" w:eastAsia="zh-CN" w:bidi="ar"/>
                    </w:rPr>
                    <w:t>桃林</w:t>
                  </w:r>
                  <w:r>
                    <w:rPr>
                      <w:rFonts w:hint="eastAsia" w:ascii="宋体" w:hAnsi="宋体" w:eastAsia="宋体" w:cs="宋体"/>
                      <w:color w:val="000000"/>
                      <w:kern w:val="0"/>
                      <w:sz w:val="21"/>
                      <w:szCs w:val="21"/>
                      <w:lang w:val="en-US" w:eastAsia="zh-CN" w:bidi="ar"/>
                    </w:rPr>
                    <w:t>河</w:t>
                  </w:r>
                  <w:r>
                    <w:rPr>
                      <w:rFonts w:hint="eastAsia" w:ascii="宋体" w:hAnsi="宋体" w:cs="宋体"/>
                      <w:color w:val="auto"/>
                      <w:kern w:val="0"/>
                      <w:sz w:val="21"/>
                      <w:szCs w:val="21"/>
                      <w:lang w:val="en-US" w:eastAsia="zh-CN" w:bidi="ar"/>
                    </w:rPr>
                    <w:t>（游港河）</w:t>
                  </w:r>
                </w:p>
              </w:tc>
              <w:tc>
                <w:tcPr>
                  <w:tcW w:w="895" w:type="pct"/>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cs="Times New Roman"/>
                      <w:color w:val="000000" w:themeColor="text1"/>
                      <w:kern w:val="0"/>
                      <w:sz w:val="21"/>
                      <w:szCs w:val="21"/>
                      <w:u w:val="none"/>
                      <w:lang w:val="en-US" w:eastAsia="zh-CN" w:bidi="ar-SA"/>
                      <w14:textFill>
                        <w14:solidFill>
                          <w14:schemeClr w14:val="tx1"/>
                        </w14:solidFill>
                      </w14:textFill>
                    </w:rPr>
                    <w:t>S，218m</w:t>
                  </w:r>
                </w:p>
              </w:tc>
              <w:tc>
                <w:tcPr>
                  <w:tcW w:w="738" w:type="pct"/>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cs="Times New Roman"/>
                      <w:color w:val="000000" w:themeColor="text1"/>
                      <w:kern w:val="0"/>
                      <w:sz w:val="21"/>
                      <w:szCs w:val="21"/>
                      <w:u w:val="none"/>
                      <w:lang w:val="en-US" w:eastAsia="zh-CN" w:bidi="ar-SA"/>
                      <w14:textFill>
                        <w14:solidFill>
                          <w14:schemeClr w14:val="tx1"/>
                        </w14:solidFill>
                      </w14:textFill>
                    </w:rPr>
                    <w:t>/</w:t>
                  </w:r>
                </w:p>
              </w:tc>
              <w:tc>
                <w:tcPr>
                  <w:tcW w:w="1519" w:type="pct"/>
                  <w:vAlign w:val="center"/>
                </w:tcPr>
                <w:p>
                  <w:pPr>
                    <w:keepNext w:val="0"/>
                    <w:keepLines w:val="0"/>
                    <w:widowControl/>
                    <w:suppressLineNumbers w:val="0"/>
                    <w:jc w:val="center"/>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ascii="宋体" w:hAnsi="宋体" w:eastAsia="宋体" w:cs="宋体"/>
                      <w:color w:val="000000"/>
                      <w:kern w:val="0"/>
                      <w:sz w:val="21"/>
                      <w:szCs w:val="21"/>
                      <w:lang w:val="en-US" w:eastAsia="zh-CN" w:bidi="ar"/>
                    </w:rPr>
                    <w:t>《地表水环境质量标准》（</w:t>
                  </w:r>
                  <w:r>
                    <w:rPr>
                      <w:rFonts w:hint="default" w:ascii="Times New Roman" w:hAnsi="Times New Roman" w:eastAsia="宋体" w:cs="Times New Roman"/>
                      <w:color w:val="000000"/>
                      <w:kern w:val="0"/>
                      <w:sz w:val="21"/>
                      <w:szCs w:val="21"/>
                      <w:lang w:val="en-US" w:eastAsia="zh-CN" w:bidi="ar"/>
                    </w:rPr>
                    <w:t>GB3838-2002</w:t>
                  </w:r>
                  <w:r>
                    <w:rPr>
                      <w:rFonts w:hint="eastAsia" w:ascii="宋体" w:hAnsi="宋体" w:eastAsia="宋体" w:cs="宋体"/>
                      <w:color w:val="000000"/>
                      <w:kern w:val="0"/>
                      <w:sz w:val="21"/>
                      <w:szCs w:val="21"/>
                      <w:lang w:val="en-US" w:eastAsia="zh-CN" w:bidi="ar"/>
                    </w:rPr>
                    <w:t>）中</w:t>
                  </w:r>
                  <w:r>
                    <w:rPr>
                      <w:rFonts w:hint="default" w:ascii="Times New Roman" w:hAnsi="Times New Roman" w:eastAsia="宋体" w:cs="Times New Roman"/>
                      <w:color w:val="000000"/>
                      <w:kern w:val="0"/>
                      <w:sz w:val="21"/>
                      <w:szCs w:val="21"/>
                      <w:lang w:val="en-US" w:eastAsia="zh-CN" w:bidi="ar"/>
                    </w:rPr>
                    <w:t>Ⅲ</w:t>
                  </w:r>
                  <w:r>
                    <w:rPr>
                      <w:rFonts w:hint="eastAsia" w:ascii="宋体" w:hAnsi="宋体" w:eastAsia="宋体" w:cs="宋体"/>
                      <w:color w:val="000000"/>
                      <w:kern w:val="0"/>
                      <w:sz w:val="21"/>
                      <w:szCs w:val="21"/>
                      <w:lang w:val="en-US" w:eastAsia="zh-CN" w:bidi="ar"/>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Times New Roman"/>
                      <w:color w:val="000000" w:themeColor="text1"/>
                      <w:kern w:val="0"/>
                      <w:sz w:val="21"/>
                      <w:szCs w:val="21"/>
                      <w:u w:val="none"/>
                      <w:lang w:val="en-US" w:eastAsia="zh-CN" w:bidi="ar-SA"/>
                      <w14:textFill>
                        <w14:solidFill>
                          <w14:schemeClr w14:val="tx1"/>
                        </w14:solidFill>
                      </w14:textFill>
                    </w:rPr>
                  </w:pPr>
                  <w:r>
                    <w:rPr>
                      <w:rFonts w:hint="eastAsia" w:cs="Times New Roman"/>
                      <w:color w:val="000000" w:themeColor="text1"/>
                      <w:kern w:val="0"/>
                      <w:sz w:val="21"/>
                      <w:szCs w:val="21"/>
                      <w:u w:val="none"/>
                      <w:lang w:val="en-US" w:eastAsia="zh-CN" w:bidi="ar-SA"/>
                      <w14:textFill>
                        <w14:solidFill>
                          <w14:schemeClr w14:val="tx1"/>
                        </w14:solidFill>
                      </w14:textFill>
                    </w:rPr>
                    <w:t>声环境</w:t>
                  </w:r>
                </w:p>
              </w:tc>
              <w:tc>
                <w:tcPr>
                  <w:tcW w:w="849" w:type="pct"/>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s="Times New Roman"/>
                      <w:color w:val="000000" w:themeColor="text1"/>
                      <w:kern w:val="0"/>
                      <w:sz w:val="21"/>
                      <w:szCs w:val="21"/>
                      <w:u w:val="none"/>
                      <w:lang w:val="en-US" w:eastAsia="zh-CN" w:bidi="ar-SA"/>
                      <w14:textFill>
                        <w14:solidFill>
                          <w14:schemeClr w14:val="tx1"/>
                        </w14:solidFill>
                      </w14:textFill>
                    </w:rPr>
                  </w:pPr>
                  <w:r>
                    <w:rPr>
                      <w:rFonts w:hint="eastAsia" w:cs="Times New Roman"/>
                      <w:color w:val="000000" w:themeColor="text1"/>
                      <w:kern w:val="0"/>
                      <w:sz w:val="21"/>
                      <w:szCs w:val="21"/>
                      <w:u w:val="none"/>
                      <w:lang w:val="en-US" w:eastAsia="zh-CN" w:bidi="ar-SA"/>
                      <w14:textFill>
                        <w14:solidFill>
                          <w14:schemeClr w14:val="tx1"/>
                        </w14:solidFill>
                      </w14:textFill>
                    </w:rPr>
                    <w:t>桃林镇居民点</w:t>
                  </w:r>
                </w:p>
              </w:tc>
              <w:tc>
                <w:tcPr>
                  <w:tcW w:w="895" w:type="pct"/>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Times New Roman"/>
                      <w:color w:val="000000" w:themeColor="text1"/>
                      <w:kern w:val="0"/>
                      <w:sz w:val="21"/>
                      <w:szCs w:val="21"/>
                      <w:u w:val="none"/>
                      <w:lang w:val="en-US" w:eastAsia="zh-CN" w:bidi="ar-SA"/>
                      <w14:textFill>
                        <w14:solidFill>
                          <w14:schemeClr w14:val="tx1"/>
                        </w14:solidFill>
                      </w14:textFill>
                    </w:rPr>
                  </w:pPr>
                  <w:r>
                    <w:rPr>
                      <w:rFonts w:hint="eastAsia" w:cs="Times New Roman"/>
                      <w:color w:val="000000" w:themeColor="text1"/>
                      <w:kern w:val="0"/>
                      <w:sz w:val="21"/>
                      <w:szCs w:val="21"/>
                      <w:u w:val="none"/>
                      <w:lang w:val="en-US" w:eastAsia="zh-CN" w:bidi="ar-SA"/>
                      <w14:textFill>
                        <w14:solidFill>
                          <w14:schemeClr w14:val="tx1"/>
                        </w14:solidFill>
                      </w14:textFill>
                    </w:rPr>
                    <w:t>S.W、E</w:t>
                  </w:r>
                </w:p>
              </w:tc>
              <w:tc>
                <w:tcPr>
                  <w:tcW w:w="738" w:type="pct"/>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Times New Roman"/>
                      <w:color w:val="000000" w:themeColor="text1"/>
                      <w:kern w:val="0"/>
                      <w:sz w:val="21"/>
                      <w:szCs w:val="21"/>
                      <w:u w:val="none"/>
                      <w:lang w:val="en-US" w:eastAsia="zh-CN" w:bidi="ar-SA"/>
                      <w14:textFill>
                        <w14:solidFill>
                          <w14:schemeClr w14:val="tx1"/>
                        </w14:solidFill>
                      </w14:textFill>
                    </w:rPr>
                  </w:pPr>
                  <w:r>
                    <w:rPr>
                      <w:rFonts w:hint="eastAsia" w:cs="Times New Roman"/>
                      <w:color w:val="000000" w:themeColor="text1"/>
                      <w:kern w:val="0"/>
                      <w:sz w:val="21"/>
                      <w:szCs w:val="21"/>
                      <w:u w:val="none"/>
                      <w:lang w:val="en-US" w:eastAsia="zh-CN" w:bidi="ar-SA"/>
                      <w14:textFill>
                        <w14:solidFill>
                          <w14:schemeClr w14:val="tx1"/>
                        </w14:solidFill>
                      </w14:textFill>
                    </w:rPr>
                    <w:t>居民区</w:t>
                  </w:r>
                </w:p>
              </w:tc>
              <w:tc>
                <w:tcPr>
                  <w:tcW w:w="1519" w:type="pct"/>
                  <w:vAlign w:val="center"/>
                </w:tcPr>
                <w:p>
                  <w:pPr>
                    <w:keepNext w:val="0"/>
                    <w:keepLines w:val="0"/>
                    <w:widowControl/>
                    <w:suppressLineNumbers w:val="0"/>
                    <w:jc w:val="center"/>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ascii="宋体" w:hAnsi="宋体" w:eastAsia="宋体" w:cs="宋体"/>
                      <w:color w:val="000000"/>
                      <w:kern w:val="0"/>
                      <w:sz w:val="20"/>
                      <w:szCs w:val="20"/>
                      <w:lang w:val="en-US" w:eastAsia="zh-CN" w:bidi="ar"/>
                    </w:rPr>
                    <w:t>《声环境质量标准》（</w:t>
                  </w:r>
                  <w:r>
                    <w:rPr>
                      <w:rFonts w:hint="default" w:ascii="Times New Roman" w:hAnsi="Times New Roman" w:eastAsia="宋体" w:cs="Times New Roman"/>
                      <w:color w:val="000000"/>
                      <w:kern w:val="0"/>
                      <w:sz w:val="21"/>
                      <w:szCs w:val="21"/>
                      <w:lang w:val="en-US" w:eastAsia="zh-CN" w:bidi="ar"/>
                    </w:rPr>
                    <w:t>GB3096-2008</w:t>
                  </w:r>
                  <w:r>
                    <w:rPr>
                      <w:rFonts w:hint="eastAsia" w:ascii="宋体" w:hAnsi="宋体" w:eastAsia="宋体" w:cs="宋体"/>
                      <w:color w:val="000000"/>
                      <w:kern w:val="0"/>
                      <w:sz w:val="20"/>
                      <w:szCs w:val="20"/>
                      <w:lang w:val="en-US" w:eastAsia="zh-CN" w:bidi="ar"/>
                    </w:rPr>
                    <w:t>）</w:t>
                  </w:r>
                  <w:r>
                    <w:rPr>
                      <w:rFonts w:hint="default"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cs="Times New Roman"/>
                      <w:color w:val="000000" w:themeColor="text1"/>
                      <w:kern w:val="0"/>
                      <w:sz w:val="21"/>
                      <w:szCs w:val="21"/>
                      <w:u w:val="none"/>
                      <w:lang w:val="en-US" w:eastAsia="zh-CN" w:bidi="ar-SA"/>
                      <w14:textFill>
                        <w14:solidFill>
                          <w14:schemeClr w14:val="tx1"/>
                        </w14:solidFill>
                      </w14:textFill>
                    </w:rPr>
                    <w:t>生态环境</w:t>
                  </w:r>
                </w:p>
              </w:tc>
              <w:tc>
                <w:tcPr>
                  <w:tcW w:w="2482" w:type="pct"/>
                  <w:gridSpan w:val="3"/>
                  <w:vAlign w:val="center"/>
                </w:tcPr>
                <w:p>
                  <w:pPr>
                    <w:keepNext w:val="0"/>
                    <w:keepLines w:val="0"/>
                    <w:widowControl/>
                    <w:suppressLineNumbers w:val="0"/>
                    <w:jc w:val="center"/>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ascii="宋体" w:hAnsi="宋体" w:eastAsia="宋体" w:cs="宋体"/>
                      <w:color w:val="000000"/>
                      <w:kern w:val="0"/>
                      <w:sz w:val="21"/>
                      <w:szCs w:val="21"/>
                      <w:lang w:val="en-US" w:eastAsia="zh-CN" w:bidi="ar"/>
                    </w:rPr>
                    <w:t>不新增用地，不涉及</w:t>
                  </w:r>
                </w:p>
              </w:tc>
              <w:tc>
                <w:tcPr>
                  <w:tcW w:w="1519" w:type="pct"/>
                  <w:vAlign w:val="center"/>
                </w:tcPr>
                <w:p>
                  <w:pPr>
                    <w:keepNext w:val="0"/>
                    <w:keepLines w:val="0"/>
                    <w:widowControl/>
                    <w:suppressLineNumbers w:val="0"/>
                    <w:jc w:val="center"/>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ascii="宋体" w:hAnsi="宋体" w:eastAsia="宋体" w:cs="宋体"/>
                      <w:color w:val="000000"/>
                      <w:kern w:val="0"/>
                      <w:sz w:val="21"/>
                      <w:szCs w:val="21"/>
                      <w:lang w:val="en-US" w:eastAsia="zh-CN" w:bidi="ar"/>
                    </w:rPr>
                    <w:t>不造成新的水土流失、土壤侵蚀及生态破坏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s="Times New Roman"/>
                      <w:color w:val="000000" w:themeColor="text1"/>
                      <w:kern w:val="0"/>
                      <w:sz w:val="21"/>
                      <w:szCs w:val="21"/>
                      <w:u w:val="none"/>
                      <w:lang w:val="en-US" w:eastAsia="zh-CN" w:bidi="ar-SA"/>
                      <w14:textFill>
                        <w14:solidFill>
                          <w14:schemeClr w14:val="tx1"/>
                        </w14:solidFill>
                      </w14:textFill>
                    </w:rPr>
                  </w:pPr>
                  <w:r>
                    <w:rPr>
                      <w:rFonts w:hint="eastAsia" w:cs="Times New Roman"/>
                      <w:color w:val="000000" w:themeColor="text1"/>
                      <w:kern w:val="0"/>
                      <w:sz w:val="21"/>
                      <w:szCs w:val="21"/>
                      <w:u w:val="none"/>
                      <w:lang w:val="en-US" w:eastAsia="zh-CN" w:bidi="ar-SA"/>
                      <w14:textFill>
                        <w14:solidFill>
                          <w14:schemeClr w14:val="tx1"/>
                        </w14:solidFill>
                      </w14:textFill>
                    </w:rPr>
                    <w:t>地下水环境</w:t>
                  </w:r>
                </w:p>
              </w:tc>
              <w:tc>
                <w:tcPr>
                  <w:tcW w:w="6366" w:type="dxa"/>
                  <w:gridSpan w:val="4"/>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周边500m范围内无地下水集中式饮用水水源和热水、矿泉水、温泉等特殊地下水资源</w:t>
                  </w:r>
                </w:p>
              </w:tc>
            </w:tr>
          </w:tbl>
          <w:p>
            <w:pPr>
              <w:jc w:val="both"/>
              <w:rPr>
                <w:color w:val="000000" w:themeColor="text1"/>
                <w:szCs w:val="32"/>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dxa"/>
            <w:noWrap/>
            <w:tcMar>
              <w:left w:w="28" w:type="dxa"/>
              <w:right w:w="28" w:type="dxa"/>
            </w:tcMar>
            <w:vAlign w:val="center"/>
          </w:tcPr>
          <w:p>
            <w:pPr>
              <w:adjustRightInd w:val="0"/>
              <w:snapToGrid w:val="0"/>
              <w:jc w:val="center"/>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污染</w:t>
            </w:r>
          </w:p>
          <w:p>
            <w:pPr>
              <w:adjustRightInd w:val="0"/>
              <w:snapToGrid w:val="0"/>
              <w:jc w:val="center"/>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物排</w:t>
            </w:r>
          </w:p>
          <w:p>
            <w:pPr>
              <w:adjustRightInd w:val="0"/>
              <w:snapToGrid w:val="0"/>
              <w:jc w:val="center"/>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放控</w:t>
            </w:r>
          </w:p>
          <w:p>
            <w:pPr>
              <w:adjustRightInd w:val="0"/>
              <w:snapToGrid w:val="0"/>
              <w:jc w:val="center"/>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制标</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14:textFill>
                  <w14:solidFill>
                    <w14:schemeClr w14:val="tx1"/>
                  </w14:solidFill>
                </w14:textFill>
              </w:rPr>
              <w:t>准</w:t>
            </w:r>
          </w:p>
        </w:tc>
        <w:tc>
          <w:tcPr>
            <w:tcW w:w="8185" w:type="dxa"/>
            <w:noWrap/>
            <w:vAlign w:val="center"/>
          </w:tcPr>
          <w:p>
            <w:pPr>
              <w:pStyle w:val="7"/>
              <w:ind w:firstLine="480"/>
              <w:rPr>
                <w:rFonts w:hint="eastAsia"/>
                <w:b/>
                <w:bCs/>
                <w:color w:val="4472C4" w:themeColor="accent5"/>
                <w:lang w:eastAsia="zh-CN"/>
                <w14:textFill>
                  <w14:solidFill>
                    <w14:schemeClr w14:val="accent5"/>
                  </w14:solidFill>
                </w14:textFill>
              </w:rPr>
            </w:pPr>
            <w:r>
              <w:rPr>
                <w:b/>
                <w:bCs/>
                <w:color w:val="000000" w:themeColor="text1"/>
                <w14:textFill>
                  <w14:solidFill>
                    <w14:schemeClr w14:val="tx1"/>
                  </w14:solidFill>
                </w14:textFill>
              </w:rPr>
              <w:t>1、废水污染物排放标准</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color w:val="000000" w:themeColor="text1"/>
                <w14:textFill>
                  <w14:solidFill>
                    <w14:schemeClr w14:val="tx1"/>
                  </w14:solidFill>
                </w14:textFill>
              </w:rPr>
            </w:pPr>
            <w:r>
              <w:rPr>
                <w:rFonts w:hint="eastAsia" w:ascii="宋体" w:hAnsi="宋体" w:eastAsia="宋体" w:cs="宋体"/>
                <w:color w:val="000000"/>
                <w:kern w:val="0"/>
                <w:sz w:val="24"/>
                <w:szCs w:val="24"/>
                <w:lang w:val="en-US" w:eastAsia="zh-CN" w:bidi="ar"/>
              </w:rPr>
              <w:t>项目废水执行《医疗机构水污染物排放标准》（</w:t>
            </w:r>
            <w:r>
              <w:rPr>
                <w:rFonts w:hint="default" w:ascii="Times New Roman" w:hAnsi="Times New Roman" w:eastAsia="宋体" w:cs="Times New Roman"/>
                <w:color w:val="000000"/>
                <w:kern w:val="0"/>
                <w:sz w:val="24"/>
                <w:szCs w:val="24"/>
                <w:lang w:val="en-US" w:eastAsia="zh-CN" w:bidi="ar"/>
              </w:rPr>
              <w:t>GB18466-2005</w:t>
            </w:r>
            <w:r>
              <w:rPr>
                <w:rFonts w:hint="eastAsia" w:ascii="宋体" w:hAnsi="宋体" w:eastAsia="宋体" w:cs="宋体"/>
                <w:color w:val="000000"/>
                <w:kern w:val="0"/>
                <w:sz w:val="24"/>
                <w:szCs w:val="24"/>
                <w:lang w:val="en-US" w:eastAsia="zh-CN" w:bidi="ar"/>
              </w:rPr>
              <w:t>）中表2中预处理标准</w:t>
            </w:r>
            <w:r>
              <w:rPr>
                <w:rFonts w:hint="eastAsia"/>
                <w:color w:val="000000" w:themeColor="text1"/>
                <w:u w:val="none"/>
                <w:lang w:val="en-US" w:eastAsia="zh-CN"/>
                <w14:textFill>
                  <w14:solidFill>
                    <w14:schemeClr w14:val="tx1"/>
                  </w14:solidFill>
                </w14:textFill>
              </w:rPr>
              <w:t>和桃林镇污水处理厂进水水质要求，处理</w:t>
            </w:r>
            <w:r>
              <w:rPr>
                <w:rFonts w:hint="eastAsia" w:ascii="宋体" w:hAnsi="宋体" w:eastAsia="宋体" w:cs="宋体"/>
                <w:color w:val="000000"/>
                <w:kern w:val="0"/>
                <w:sz w:val="24"/>
                <w:szCs w:val="24"/>
                <w:lang w:val="en-US" w:eastAsia="zh-CN" w:bidi="ar"/>
              </w:rPr>
              <w:t>后经市政管道，进入桃林镇处理厂进行处理。桃林镇污水处理厂尾水排放执行《城镇污水处理厂污染物排放标准》（</w:t>
            </w:r>
            <w:r>
              <w:rPr>
                <w:rFonts w:hint="default" w:ascii="Times New Roman" w:hAnsi="Times New Roman" w:eastAsia="宋体" w:cs="Times New Roman"/>
                <w:color w:val="000000"/>
                <w:kern w:val="0"/>
                <w:sz w:val="24"/>
                <w:szCs w:val="24"/>
                <w:lang w:val="en-US" w:eastAsia="zh-CN" w:bidi="ar"/>
              </w:rPr>
              <w:t>GB18918-2002</w:t>
            </w:r>
            <w:r>
              <w:rPr>
                <w:rFonts w:hint="eastAsia" w:ascii="宋体" w:hAnsi="宋体" w:eastAsia="宋体" w:cs="宋体"/>
                <w:color w:val="000000"/>
                <w:kern w:val="0"/>
                <w:sz w:val="24"/>
                <w:szCs w:val="24"/>
                <w:lang w:val="en-US" w:eastAsia="zh-CN" w:bidi="ar"/>
              </w:rPr>
              <w:t xml:space="preserve">）一级 </w:t>
            </w:r>
            <w:r>
              <w:rPr>
                <w:rFonts w:hint="default" w:ascii="Times New Roman" w:hAnsi="Times New Roman" w:eastAsia="宋体" w:cs="Times New Roman"/>
                <w:color w:val="000000"/>
                <w:kern w:val="0"/>
                <w:sz w:val="24"/>
                <w:szCs w:val="24"/>
                <w:lang w:val="en-US" w:eastAsia="zh-CN" w:bidi="ar"/>
              </w:rPr>
              <w:t xml:space="preserve">A </w:t>
            </w:r>
            <w:r>
              <w:rPr>
                <w:rFonts w:hint="eastAsia" w:ascii="宋体" w:hAnsi="宋体" w:eastAsia="宋体" w:cs="宋体"/>
                <w:color w:val="000000"/>
                <w:kern w:val="0"/>
                <w:sz w:val="24"/>
                <w:szCs w:val="24"/>
                <w:lang w:val="en-US" w:eastAsia="zh-CN" w:bidi="ar"/>
              </w:rPr>
              <w:t>类标准后排入游港河。</w:t>
            </w:r>
          </w:p>
          <w:p>
            <w:pPr>
              <w:pStyle w:val="49"/>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表3.3-1</w:t>
            </w:r>
            <w:r>
              <w:rPr>
                <w:color w:val="000000" w:themeColor="text1"/>
                <w:u w:val="single"/>
                <w14:textFill>
                  <w14:solidFill>
                    <w14:schemeClr w14:val="tx1"/>
                  </w14:solidFill>
                </w14:textFill>
              </w:rPr>
              <w:t>医疗机构水污染物排放标准</w:t>
            </w:r>
            <w:r>
              <w:rPr>
                <w:u w:val="single"/>
                <w:shd w:val="clear"/>
              </w:rPr>
              <w:t>mg/L</w:t>
            </w:r>
            <w:r>
              <w:rPr>
                <w:rFonts w:hint="eastAsia"/>
                <w:u w:val="single"/>
                <w:shd w:val="clear"/>
              </w:rPr>
              <w:t>(pH除外)</w:t>
            </w:r>
          </w:p>
          <w:tbl>
            <w:tblPr>
              <w:tblStyle w:val="31"/>
              <w:tblW w:w="4998"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895"/>
              <w:gridCol w:w="1851"/>
              <w:gridCol w:w="1666"/>
              <w:gridCol w:w="1737"/>
              <w:gridCol w:w="1683"/>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9"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序号</w:t>
                  </w:r>
                </w:p>
              </w:tc>
              <w:tc>
                <w:tcPr>
                  <w:tcW w:w="1208"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项目类别</w:t>
                  </w:r>
                </w:p>
              </w:tc>
              <w:tc>
                <w:tcPr>
                  <w:tcW w:w="1090" w:type="pct"/>
                  <w:tcBorders>
                    <w:tl2br w:val="nil"/>
                    <w:tr2bl w:val="nil"/>
                  </w:tcBorders>
                  <w:vAlign w:val="center"/>
                </w:tcPr>
                <w:p>
                  <w:pPr>
                    <w:pStyle w:val="4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桃林镇污水处理厂进水水质要求</w:t>
                  </w:r>
                </w:p>
              </w:tc>
              <w:tc>
                <w:tcPr>
                  <w:tcW w:w="1090"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14:textFill>
                        <w14:solidFill>
                          <w14:schemeClr w14:val="tx1"/>
                        </w14:solidFill>
                      </w14:textFill>
                    </w:rPr>
                    <w:t>《医疗机构水污染物排放标准》（GB18466-2005）</w:t>
                  </w:r>
                </w:p>
              </w:tc>
              <w:tc>
                <w:tcPr>
                  <w:tcW w:w="1009" w:type="pct"/>
                  <w:tcBorders>
                    <w:tl2br w:val="nil"/>
                    <w:tr2bl w:val="nil"/>
                  </w:tcBorders>
                  <w:vAlign w:val="center"/>
                </w:tcPr>
                <w:p>
                  <w:pPr>
                    <w:pStyle w:val="68"/>
                    <w:spacing w:before="59" w:line="215" w:lineRule="auto"/>
                    <w:ind w:left="99" w:right="17" w:hanging="54"/>
                    <w:jc w:val="both"/>
                    <w:rPr>
                      <w:sz w:val="22"/>
                      <w:szCs w:val="22"/>
                    </w:rPr>
                  </w:pPr>
                  <w:r>
                    <w:rPr>
                      <w:spacing w:val="-2"/>
                      <w:sz w:val="23"/>
                      <w:szCs w:val="23"/>
                    </w:rPr>
                    <w:t>《城镇污水处理</w:t>
                  </w:r>
                  <w:r>
                    <w:rPr>
                      <w:rFonts w:hint="eastAsia"/>
                      <w:spacing w:val="-2"/>
                      <w:sz w:val="23"/>
                      <w:szCs w:val="23"/>
                      <w:lang w:val="en-US" w:eastAsia="zh-CN"/>
                    </w:rPr>
                    <w:t>厂</w:t>
                  </w:r>
                  <w:r>
                    <w:rPr>
                      <w:spacing w:val="-3"/>
                      <w:sz w:val="23"/>
                      <w:szCs w:val="23"/>
                    </w:rPr>
                    <w:t>污染物排放标准》</w:t>
                  </w:r>
                  <w:r>
                    <w:rPr>
                      <w:spacing w:val="3"/>
                      <w:sz w:val="23"/>
                      <w:szCs w:val="23"/>
                    </w:rPr>
                    <w:t xml:space="preserve"> </w:t>
                  </w:r>
                  <w:r>
                    <w:rPr>
                      <w:spacing w:val="1"/>
                      <w:sz w:val="22"/>
                      <w:szCs w:val="22"/>
                    </w:rPr>
                    <w:t>(</w:t>
                  </w:r>
                  <w:r>
                    <w:rPr>
                      <w:sz w:val="22"/>
                      <w:szCs w:val="22"/>
                    </w:rPr>
                    <w:t>GB</w:t>
                  </w:r>
                  <w:r>
                    <w:rPr>
                      <w:spacing w:val="1"/>
                      <w:sz w:val="22"/>
                      <w:szCs w:val="22"/>
                    </w:rPr>
                    <w:t>18918-2002)</w:t>
                  </w:r>
                </w:p>
                <w:p>
                  <w:pPr>
                    <w:pStyle w:val="48"/>
                    <w:rPr>
                      <w:bCs/>
                      <w:color w:val="000000" w:themeColor="text1"/>
                      <w:u w:val="single"/>
                      <w14:textFill>
                        <w14:solidFill>
                          <w14:schemeClr w14:val="tx1"/>
                        </w14:solidFill>
                      </w14:textFill>
                    </w:rPr>
                  </w:pPr>
                  <w:r>
                    <w:rPr>
                      <w:spacing w:val="10"/>
                      <w:sz w:val="22"/>
                      <w:szCs w:val="22"/>
                    </w:rPr>
                    <w:t>一级A类标准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9"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1</w:t>
                  </w:r>
                </w:p>
              </w:tc>
              <w:tc>
                <w:tcPr>
                  <w:tcW w:w="1208"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pH</w:t>
                  </w:r>
                </w:p>
              </w:tc>
              <w:tc>
                <w:tcPr>
                  <w:tcW w:w="1090" w:type="pct"/>
                  <w:tcBorders>
                    <w:tl2br w:val="nil"/>
                    <w:tr2bl w:val="nil"/>
                  </w:tcBorders>
                  <w:vAlign w:val="center"/>
                </w:tcPr>
                <w:p>
                  <w:pPr>
                    <w:pStyle w:val="48"/>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6</w:t>
                  </w:r>
                  <w:r>
                    <w:rPr>
                      <w:color w:val="000000" w:themeColor="text1"/>
                      <w:u w:val="single"/>
                      <w14:textFill>
                        <w14:solidFill>
                          <w14:schemeClr w14:val="tx1"/>
                        </w14:solidFill>
                      </w14:textFill>
                    </w:rPr>
                    <w:t>~</w:t>
                  </w:r>
                  <w:r>
                    <w:rPr>
                      <w:rFonts w:hint="eastAsia"/>
                      <w:color w:val="000000" w:themeColor="text1"/>
                      <w:u w:val="single"/>
                      <w14:textFill>
                        <w14:solidFill>
                          <w14:schemeClr w14:val="tx1"/>
                        </w14:solidFill>
                      </w14:textFill>
                    </w:rPr>
                    <w:t>9</w:t>
                  </w:r>
                </w:p>
              </w:tc>
              <w:tc>
                <w:tcPr>
                  <w:tcW w:w="1090"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6</w:t>
                  </w:r>
                  <w:r>
                    <w:rPr>
                      <w:color w:val="000000" w:themeColor="text1"/>
                      <w:u w:val="single"/>
                      <w14:textFill>
                        <w14:solidFill>
                          <w14:schemeClr w14:val="tx1"/>
                        </w14:solidFill>
                      </w14:textFill>
                    </w:rPr>
                    <w:t>~</w:t>
                  </w:r>
                  <w:r>
                    <w:rPr>
                      <w:rFonts w:hint="eastAsia"/>
                      <w:color w:val="000000" w:themeColor="text1"/>
                      <w:u w:val="single"/>
                      <w14:textFill>
                        <w14:solidFill>
                          <w14:schemeClr w14:val="tx1"/>
                        </w14:solidFill>
                      </w14:textFill>
                    </w:rPr>
                    <w:t>9</w:t>
                  </w:r>
                </w:p>
              </w:tc>
              <w:tc>
                <w:tcPr>
                  <w:tcW w:w="1009" w:type="pct"/>
                  <w:tcBorders>
                    <w:tl2br w:val="nil"/>
                    <w:tr2bl w:val="nil"/>
                  </w:tcBorders>
                  <w:vAlign w:val="center"/>
                </w:tcPr>
                <w:p>
                  <w:pPr>
                    <w:pStyle w:val="48"/>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6~9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9"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2</w:t>
                  </w:r>
                </w:p>
              </w:tc>
              <w:tc>
                <w:tcPr>
                  <w:tcW w:w="1208"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COD</w:t>
                  </w:r>
                  <w:r>
                    <w:rPr>
                      <w:rFonts w:hint="eastAsia" w:ascii="宋体" w:hAnsi="宋体" w:cs="宋体"/>
                      <w:color w:val="000000" w:themeColor="text1"/>
                      <w:u w:val="single"/>
                      <w14:textFill>
                        <w14:solidFill>
                          <w14:schemeClr w14:val="tx1"/>
                        </w14:solidFill>
                      </w14:textFill>
                    </w:rPr>
                    <w:t>cr</w:t>
                  </w:r>
                </w:p>
              </w:tc>
              <w:tc>
                <w:tcPr>
                  <w:tcW w:w="1090" w:type="pct"/>
                  <w:tcBorders>
                    <w:tl2br w:val="nil"/>
                    <w:tr2bl w:val="nil"/>
                  </w:tcBorders>
                  <w:vAlign w:val="center"/>
                </w:tcPr>
                <w:p>
                  <w:pPr>
                    <w:pStyle w:val="48"/>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500</w:t>
                  </w:r>
                </w:p>
              </w:tc>
              <w:tc>
                <w:tcPr>
                  <w:tcW w:w="1090"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250</w:t>
                  </w:r>
                </w:p>
              </w:tc>
              <w:tc>
                <w:tcPr>
                  <w:tcW w:w="1009" w:type="pct"/>
                  <w:tcBorders>
                    <w:tl2br w:val="nil"/>
                    <w:tr2bl w:val="nil"/>
                  </w:tcBorders>
                  <w:vAlign w:val="center"/>
                </w:tcPr>
                <w:p>
                  <w:pPr>
                    <w:pStyle w:val="48"/>
                    <w:rPr>
                      <w:rFonts w:hint="eastAsia"/>
                      <w:color w:val="000000" w:themeColor="text1"/>
                      <w:u w:val="single"/>
                      <w:lang w:val="en-US" w:eastAsia="zh-CN"/>
                      <w14:textFill>
                        <w14:solidFill>
                          <w14:schemeClr w14:val="tx1"/>
                        </w14:solidFill>
                      </w14:textFill>
                    </w:rPr>
                  </w:pPr>
                  <w:r>
                    <w:rPr>
                      <w:rFonts w:hint="default"/>
                      <w:color w:val="000000" w:themeColor="text1"/>
                      <w:u w:val="single"/>
                      <w:lang w:val="en-US" w:eastAsia="zh-CN"/>
                      <w14:textFill>
                        <w14:solidFill>
                          <w14:schemeClr w14:val="tx1"/>
                        </w14:solidFill>
                      </w14:textFill>
                    </w:rPr>
                    <w:t>50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9"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3</w:t>
                  </w:r>
                </w:p>
              </w:tc>
              <w:tc>
                <w:tcPr>
                  <w:tcW w:w="1208"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BOD</w:t>
                  </w:r>
                  <w:r>
                    <w:rPr>
                      <w:color w:val="000000" w:themeColor="text1"/>
                      <w:u w:val="single"/>
                      <w:vertAlign w:val="subscript"/>
                      <w14:textFill>
                        <w14:solidFill>
                          <w14:schemeClr w14:val="tx1"/>
                        </w14:solidFill>
                      </w14:textFill>
                    </w:rPr>
                    <w:t>5</w:t>
                  </w:r>
                </w:p>
              </w:tc>
              <w:tc>
                <w:tcPr>
                  <w:tcW w:w="1090" w:type="pct"/>
                  <w:tcBorders>
                    <w:tl2br w:val="nil"/>
                    <w:tr2bl w:val="nil"/>
                  </w:tcBorders>
                  <w:vAlign w:val="center"/>
                </w:tcPr>
                <w:p>
                  <w:pPr>
                    <w:pStyle w:val="48"/>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300</w:t>
                  </w:r>
                </w:p>
              </w:tc>
              <w:tc>
                <w:tcPr>
                  <w:tcW w:w="1090"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100</w:t>
                  </w:r>
                </w:p>
              </w:tc>
              <w:tc>
                <w:tcPr>
                  <w:tcW w:w="1009" w:type="pct"/>
                  <w:tcBorders>
                    <w:tl2br w:val="nil"/>
                    <w:tr2bl w:val="nil"/>
                  </w:tcBorders>
                  <w:vAlign w:val="center"/>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10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9"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4</w:t>
                  </w:r>
                </w:p>
              </w:tc>
              <w:tc>
                <w:tcPr>
                  <w:tcW w:w="1208"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SS</w:t>
                  </w:r>
                </w:p>
              </w:tc>
              <w:tc>
                <w:tcPr>
                  <w:tcW w:w="1090" w:type="pct"/>
                  <w:tcBorders>
                    <w:tl2br w:val="nil"/>
                    <w:tr2bl w:val="nil"/>
                  </w:tcBorders>
                  <w:vAlign w:val="center"/>
                </w:tcPr>
                <w:p>
                  <w:pPr>
                    <w:pStyle w:val="48"/>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400</w:t>
                  </w:r>
                </w:p>
              </w:tc>
              <w:tc>
                <w:tcPr>
                  <w:tcW w:w="1090"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60</w:t>
                  </w:r>
                </w:p>
              </w:tc>
              <w:tc>
                <w:tcPr>
                  <w:tcW w:w="1009" w:type="pct"/>
                  <w:tcBorders>
                    <w:tl2br w:val="nil"/>
                    <w:tr2bl w:val="nil"/>
                  </w:tcBorders>
                  <w:vAlign w:val="center"/>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10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9"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5</w:t>
                  </w:r>
                </w:p>
              </w:tc>
              <w:tc>
                <w:tcPr>
                  <w:tcW w:w="1208"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氨氮</w:t>
                  </w:r>
                </w:p>
              </w:tc>
              <w:tc>
                <w:tcPr>
                  <w:tcW w:w="1090" w:type="pct"/>
                  <w:tcBorders>
                    <w:tl2br w:val="nil"/>
                    <w:tr2bl w:val="nil"/>
                  </w:tcBorders>
                  <w:vAlign w:val="center"/>
                </w:tcPr>
                <w:p>
                  <w:pPr>
                    <w:jc w:val="center"/>
                    <w:rPr>
                      <w:rFonts w:hint="default"/>
                      <w:lang w:val="en-US" w:eastAsia="zh-CN"/>
                    </w:rPr>
                  </w:pPr>
                  <w:r>
                    <w:rPr>
                      <w:rFonts w:hint="eastAsia"/>
                      <w:color w:val="000000" w:themeColor="text1"/>
                      <w:u w:val="single"/>
                      <w:lang w:val="en-US" w:eastAsia="zh-CN"/>
                      <w14:textFill>
                        <w14:solidFill>
                          <w14:schemeClr w14:val="tx1"/>
                        </w14:solidFill>
                      </w14:textFill>
                    </w:rPr>
                    <w:t>/</w:t>
                  </w:r>
                </w:p>
              </w:tc>
              <w:tc>
                <w:tcPr>
                  <w:tcW w:w="1090" w:type="pct"/>
                  <w:tcBorders>
                    <w:tl2br w:val="nil"/>
                    <w:tr2bl w:val="nil"/>
                  </w:tcBorders>
                  <w:vAlign w:val="center"/>
                </w:tcPr>
                <w:p>
                  <w:pPr>
                    <w:pStyle w:val="48"/>
                    <w:jc w:val="center"/>
                    <w:rPr>
                      <w:rFonts w:hint="default"/>
                      <w:color w:val="000000" w:themeColor="text1"/>
                      <w:u w:val="single"/>
                      <w:lang w:val="en-US"/>
                      <w14:textFill>
                        <w14:solidFill>
                          <w14:schemeClr w14:val="tx1"/>
                        </w14:solidFill>
                      </w14:textFill>
                    </w:rPr>
                  </w:pPr>
                  <w:r>
                    <w:rPr>
                      <w:rFonts w:hint="eastAsia"/>
                      <w:color w:val="000000" w:themeColor="text1"/>
                      <w:u w:val="single"/>
                      <w:lang w:val="en-US" w:eastAsia="zh-CN"/>
                      <w14:textFill>
                        <w14:solidFill>
                          <w14:schemeClr w14:val="tx1"/>
                        </w14:solidFill>
                      </w14:textFill>
                    </w:rPr>
                    <w:t>40</w:t>
                  </w:r>
                </w:p>
              </w:tc>
              <w:tc>
                <w:tcPr>
                  <w:tcW w:w="1009" w:type="pct"/>
                  <w:tcBorders>
                    <w:tl2br w:val="nil"/>
                    <w:tr2bl w:val="nil"/>
                  </w:tcBorders>
                  <w:vAlign w:val="center"/>
                </w:tcPr>
                <w:p>
                  <w:pPr>
                    <w:pStyle w:val="48"/>
                    <w:jc w:val="center"/>
                    <w:rPr>
                      <w:rFonts w:hint="eastAsia"/>
                      <w:color w:val="000000" w:themeColor="text1"/>
                      <w:u w:val="single"/>
                      <w:lang w:val="en-US" w:eastAsia="zh-CN"/>
                      <w14:textFill>
                        <w14:solidFill>
                          <w14:schemeClr w14:val="tx1"/>
                        </w14:solidFill>
                      </w14:textFill>
                    </w:rPr>
                  </w:pPr>
                  <w:r>
                    <w:rPr>
                      <w:rFonts w:hint="default"/>
                      <w:color w:val="000000" w:themeColor="text1"/>
                      <w:u w:val="single"/>
                      <w:lang w:val="en-US" w:eastAsia="zh-CN"/>
                      <w14:textFill>
                        <w14:solidFill>
                          <w14:schemeClr w14:val="tx1"/>
                        </w14:solidFill>
                      </w14:textFill>
                    </w:rPr>
                    <w:t>5</w:t>
                  </w:r>
                  <w:r>
                    <w:rPr>
                      <w:rFonts w:hint="eastAsia"/>
                      <w:color w:val="000000" w:themeColor="text1"/>
                      <w:u w:val="single"/>
                      <w:lang w:val="en-US" w:eastAsia="zh-CN"/>
                      <w14:textFill>
                        <w14:solidFill>
                          <w14:schemeClr w14:val="tx1"/>
                        </w14:solidFill>
                      </w14:textFill>
                    </w:rPr>
                    <w:t>（</w:t>
                  </w:r>
                  <w:r>
                    <w:rPr>
                      <w:rFonts w:hint="default"/>
                      <w:color w:val="000000" w:themeColor="text1"/>
                      <w:u w:val="single"/>
                      <w:lang w:val="en-US" w:eastAsia="zh-CN"/>
                      <w14:textFill>
                        <w14:solidFill>
                          <w14:schemeClr w14:val="tx1"/>
                        </w14:solidFill>
                      </w14:textFill>
                    </w:rPr>
                    <w:t>8</w:t>
                  </w:r>
                  <w:r>
                    <w:rPr>
                      <w:rFonts w:hint="eastAsia"/>
                      <w:color w:val="000000" w:themeColor="text1"/>
                      <w:u w:val="single"/>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9"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6</w:t>
                  </w:r>
                </w:p>
              </w:tc>
              <w:tc>
                <w:tcPr>
                  <w:tcW w:w="1208"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粪大肠菌群数</w:t>
                  </w:r>
                </w:p>
              </w:tc>
              <w:tc>
                <w:tcPr>
                  <w:tcW w:w="1090" w:type="pct"/>
                  <w:tcBorders>
                    <w:tl2br w:val="nil"/>
                    <w:tr2bl w:val="nil"/>
                  </w:tcBorders>
                  <w:vAlign w:val="center"/>
                </w:tcPr>
                <w:p>
                  <w:pPr>
                    <w:pStyle w:val="48"/>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5000</w:t>
                  </w:r>
                  <w:r>
                    <w:rPr>
                      <w:rFonts w:hint="eastAsia"/>
                      <w:color w:val="000000" w:themeColor="text1"/>
                      <w:u w:val="single"/>
                      <w:lang w:val="en-US" w:eastAsia="zh-CN"/>
                      <w14:textFill>
                        <w14:solidFill>
                          <w14:schemeClr w14:val="tx1"/>
                        </w14:solidFill>
                      </w14:textFill>
                    </w:rPr>
                    <w:t>（MPN/L）</w:t>
                  </w:r>
                </w:p>
              </w:tc>
              <w:tc>
                <w:tcPr>
                  <w:tcW w:w="1090"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5000</w:t>
                  </w:r>
                  <w:r>
                    <w:rPr>
                      <w:rFonts w:hint="eastAsia"/>
                      <w:color w:val="000000" w:themeColor="text1"/>
                      <w:u w:val="single"/>
                      <w:lang w:val="en-US" w:eastAsia="zh-CN"/>
                      <w14:textFill>
                        <w14:solidFill>
                          <w14:schemeClr w14:val="tx1"/>
                        </w14:solidFill>
                      </w14:textFill>
                    </w:rPr>
                    <w:t>（MPN/L）</w:t>
                  </w:r>
                </w:p>
              </w:tc>
              <w:tc>
                <w:tcPr>
                  <w:tcW w:w="1009" w:type="pct"/>
                  <w:tcBorders>
                    <w:tl2br w:val="nil"/>
                    <w:tr2bl w:val="nil"/>
                  </w:tcBorders>
                  <w:vAlign w:val="center"/>
                </w:tcPr>
                <w:p>
                  <w:pPr>
                    <w:pStyle w:val="48"/>
                    <w:rPr>
                      <w:rFonts w:hint="eastAsia"/>
                      <w:color w:val="000000" w:themeColor="text1"/>
                      <w:u w:val="single"/>
                      <w:lang w:val="en-US" w:eastAsia="zh-CN"/>
                      <w14:textFill>
                        <w14:solidFill>
                          <w14:schemeClr w14:val="tx1"/>
                        </w14:solidFill>
                      </w14:textFill>
                    </w:rPr>
                  </w:pPr>
                  <w:r>
                    <w:rPr>
                      <w:rFonts w:hint="default"/>
                      <w:color w:val="000000" w:themeColor="text1"/>
                      <w:u w:val="single"/>
                      <w:lang w:val="en-US" w:eastAsia="zh-CN"/>
                      <w14:textFill>
                        <w14:solidFill>
                          <w14:schemeClr w14:val="tx1"/>
                        </w14:solidFill>
                      </w14:textFill>
                    </w:rPr>
                    <w:t>1000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9"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7</w:t>
                  </w:r>
                </w:p>
              </w:tc>
              <w:tc>
                <w:tcPr>
                  <w:tcW w:w="1208"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动植物油</w:t>
                  </w:r>
                </w:p>
              </w:tc>
              <w:tc>
                <w:tcPr>
                  <w:tcW w:w="1090" w:type="pct"/>
                  <w:tcBorders>
                    <w:tl2br w:val="nil"/>
                    <w:tr2bl w:val="nil"/>
                  </w:tcBorders>
                  <w:vAlign w:val="center"/>
                </w:tcPr>
                <w:p>
                  <w:pPr>
                    <w:pStyle w:val="48"/>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100</w:t>
                  </w:r>
                </w:p>
              </w:tc>
              <w:tc>
                <w:tcPr>
                  <w:tcW w:w="1090"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20</w:t>
                  </w:r>
                </w:p>
              </w:tc>
              <w:tc>
                <w:tcPr>
                  <w:tcW w:w="1009" w:type="pct"/>
                  <w:tcBorders>
                    <w:tl2br w:val="nil"/>
                    <w:tr2bl w:val="nil"/>
                  </w:tcBorders>
                  <w:vAlign w:val="center"/>
                </w:tcPr>
                <w:p>
                  <w:pPr>
                    <w:pStyle w:val="48"/>
                    <w:rPr>
                      <w:rFonts w:hint="eastAsia"/>
                      <w:color w:val="000000" w:themeColor="text1"/>
                      <w:u w:val="single"/>
                      <w:lang w:val="en-US" w:eastAsia="zh-CN"/>
                      <w14:textFill>
                        <w14:solidFill>
                          <w14:schemeClr w14:val="tx1"/>
                        </w14:solidFill>
                      </w14:textFill>
                    </w:rPr>
                  </w:pPr>
                  <w:r>
                    <w:rPr>
                      <w:rFonts w:hint="default"/>
                      <w:color w:val="000000" w:themeColor="text1"/>
                      <w:u w:val="single"/>
                      <w:lang w:val="en-US" w:eastAsia="zh-CN"/>
                      <w14:textFill>
                        <w14:solidFill>
                          <w14:schemeClr w14:val="tx1"/>
                        </w14:solidFill>
                      </w14:textFill>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9"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8</w:t>
                  </w:r>
                </w:p>
              </w:tc>
              <w:tc>
                <w:tcPr>
                  <w:tcW w:w="1208"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阴离子表面活性剂</w:t>
                  </w:r>
                </w:p>
              </w:tc>
              <w:tc>
                <w:tcPr>
                  <w:tcW w:w="1090" w:type="pct"/>
                  <w:tcBorders>
                    <w:tl2br w:val="nil"/>
                    <w:tr2bl w:val="nil"/>
                  </w:tcBorders>
                  <w:vAlign w:val="center"/>
                </w:tcPr>
                <w:p>
                  <w:pPr>
                    <w:pStyle w:val="48"/>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20</w:t>
                  </w:r>
                </w:p>
              </w:tc>
              <w:tc>
                <w:tcPr>
                  <w:tcW w:w="1090"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10</w:t>
                  </w:r>
                </w:p>
              </w:tc>
              <w:tc>
                <w:tcPr>
                  <w:tcW w:w="1009" w:type="pct"/>
                  <w:tcBorders>
                    <w:tl2br w:val="nil"/>
                    <w:tr2bl w:val="nil"/>
                  </w:tcBorders>
                  <w:vAlign w:val="center"/>
                </w:tcPr>
                <w:p>
                  <w:pPr>
                    <w:pStyle w:val="48"/>
                    <w:rPr>
                      <w:rFonts w:hint="eastAsia"/>
                      <w:color w:val="000000" w:themeColor="text1"/>
                      <w:u w:val="single"/>
                      <w:lang w:val="en-US" w:eastAsia="zh-CN"/>
                      <w14:textFill>
                        <w14:solidFill>
                          <w14:schemeClr w14:val="tx1"/>
                        </w14:solidFill>
                      </w14:textFill>
                    </w:rPr>
                  </w:pPr>
                  <w:r>
                    <w:rPr>
                      <w:rFonts w:hint="default"/>
                      <w:color w:val="000000" w:themeColor="text1"/>
                      <w:u w:val="single"/>
                      <w:lang w:val="en-US" w:eastAsia="zh-CN"/>
                      <w14:textFill>
                        <w14:solidFill>
                          <w14:schemeClr w14:val="tx1"/>
                        </w14:solidFill>
                      </w14:textFill>
                    </w:rPr>
                    <w:t>0.5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9"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9</w:t>
                  </w:r>
                </w:p>
              </w:tc>
              <w:tc>
                <w:tcPr>
                  <w:tcW w:w="1208"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总余氯</w:t>
                  </w:r>
                </w:p>
              </w:tc>
              <w:tc>
                <w:tcPr>
                  <w:tcW w:w="1090" w:type="pct"/>
                  <w:tcBorders>
                    <w:tl2br w:val="nil"/>
                    <w:tr2bl w:val="nil"/>
                  </w:tcBorders>
                  <w:vAlign w:val="center"/>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＞2</w:t>
                  </w:r>
                </w:p>
              </w:tc>
              <w:tc>
                <w:tcPr>
                  <w:tcW w:w="1090" w:type="pct"/>
                  <w:tcBorders>
                    <w:tl2br w:val="nil"/>
                    <w:tr2bl w:val="nil"/>
                  </w:tcBorders>
                  <w:vAlign w:val="center"/>
                </w:tcPr>
                <w:p>
                  <w:pPr>
                    <w:pStyle w:val="48"/>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2~8</w:t>
                  </w:r>
                </w:p>
              </w:tc>
              <w:tc>
                <w:tcPr>
                  <w:tcW w:w="1009" w:type="pct"/>
                  <w:tcBorders>
                    <w:tl2br w:val="nil"/>
                    <w:tr2bl w:val="nil"/>
                  </w:tcBorders>
                  <w:vAlign w:val="center"/>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9" w:type="pct"/>
                  <w:tcBorders>
                    <w:tl2br w:val="nil"/>
                    <w:tr2bl w:val="nil"/>
                  </w:tcBorders>
                  <w:vAlign w:val="center"/>
                </w:tcPr>
                <w:p>
                  <w:pPr>
                    <w:pStyle w:val="48"/>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10</w:t>
                  </w:r>
                </w:p>
              </w:tc>
              <w:tc>
                <w:tcPr>
                  <w:tcW w:w="1208" w:type="pct"/>
                  <w:tcBorders>
                    <w:tl2br w:val="nil"/>
                    <w:tr2bl w:val="nil"/>
                  </w:tcBorders>
                  <w:vAlign w:val="center"/>
                </w:tcPr>
                <w:p>
                  <w:pPr>
                    <w:pStyle w:val="48"/>
                    <w:rPr>
                      <w:rFonts w:hint="eastAsia"/>
                      <w:color w:val="000000" w:themeColor="text1"/>
                      <w:u w:val="single"/>
                      <w14:textFill>
                        <w14:solidFill>
                          <w14:schemeClr w14:val="tx1"/>
                        </w14:solidFill>
                      </w14:textFill>
                    </w:rPr>
                  </w:pPr>
                  <w:r>
                    <w:rPr>
                      <w:rFonts w:hint="eastAsia" w:asciiTheme="minorEastAsia" w:hAnsiTheme="minorEastAsia" w:eastAsiaTheme="minorEastAsia" w:cstheme="minorEastAsia"/>
                      <w:bCs/>
                      <w:color w:val="auto"/>
                      <w:sz w:val="21"/>
                      <w:szCs w:val="21"/>
                      <w:u w:val="single"/>
                      <w:lang w:val="en-US" w:eastAsia="zh-CN"/>
                    </w:rPr>
                    <w:t>总氰化物</w:t>
                  </w:r>
                </w:p>
              </w:tc>
              <w:tc>
                <w:tcPr>
                  <w:tcW w:w="1090" w:type="pct"/>
                  <w:tcBorders>
                    <w:tl2br w:val="nil"/>
                    <w:tr2bl w:val="nil"/>
                  </w:tcBorders>
                  <w:vAlign w:val="center"/>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1.0</w:t>
                  </w:r>
                </w:p>
              </w:tc>
              <w:tc>
                <w:tcPr>
                  <w:tcW w:w="1090" w:type="pct"/>
                  <w:tcBorders>
                    <w:tl2br w:val="nil"/>
                    <w:tr2bl w:val="nil"/>
                  </w:tcBorders>
                  <w:vAlign w:val="center"/>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0.5</w:t>
                  </w:r>
                </w:p>
              </w:tc>
              <w:tc>
                <w:tcPr>
                  <w:tcW w:w="1009" w:type="pct"/>
                  <w:tcBorders>
                    <w:tl2br w:val="nil"/>
                    <w:tr2bl w:val="nil"/>
                  </w:tcBorders>
                  <w:vAlign w:val="center"/>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9" w:type="pct"/>
                  <w:tcBorders>
                    <w:tl2br w:val="nil"/>
                    <w:tr2bl w:val="nil"/>
                  </w:tcBorders>
                  <w:vAlign w:val="center"/>
                </w:tcPr>
                <w:p>
                  <w:pPr>
                    <w:pStyle w:val="48"/>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11</w:t>
                  </w:r>
                </w:p>
              </w:tc>
              <w:tc>
                <w:tcPr>
                  <w:tcW w:w="1208" w:type="pct"/>
                  <w:tcBorders>
                    <w:tl2br w:val="nil"/>
                    <w:tr2bl w:val="nil"/>
                  </w:tcBorders>
                  <w:vAlign w:val="center"/>
                </w:tcPr>
                <w:p>
                  <w:pPr>
                    <w:pStyle w:val="48"/>
                    <w:rPr>
                      <w:rFonts w:hint="eastAsia" w:asciiTheme="minorEastAsia" w:hAnsiTheme="minorEastAsia" w:eastAsiaTheme="minorEastAsia" w:cstheme="minorEastAsia"/>
                      <w:bCs/>
                      <w:color w:val="auto"/>
                      <w:sz w:val="21"/>
                      <w:szCs w:val="21"/>
                      <w:u w:val="single"/>
                      <w:lang w:val="en-US" w:eastAsia="zh-CN"/>
                    </w:rPr>
                  </w:pPr>
                  <w:r>
                    <w:rPr>
                      <w:rFonts w:hint="eastAsia" w:asciiTheme="minorEastAsia" w:hAnsiTheme="minorEastAsia" w:eastAsiaTheme="minorEastAsia" w:cstheme="minorEastAsia"/>
                      <w:bCs/>
                      <w:color w:val="auto"/>
                      <w:sz w:val="21"/>
                      <w:szCs w:val="21"/>
                      <w:u w:val="single"/>
                      <w:lang w:val="en-US" w:eastAsia="zh-CN"/>
                    </w:rPr>
                    <w:t>挥发酚</w:t>
                  </w:r>
                </w:p>
              </w:tc>
              <w:tc>
                <w:tcPr>
                  <w:tcW w:w="1090" w:type="pct"/>
                  <w:tcBorders>
                    <w:tl2br w:val="nil"/>
                    <w:tr2bl w:val="nil"/>
                  </w:tcBorders>
                  <w:vAlign w:val="center"/>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2.0</w:t>
                  </w:r>
                </w:p>
              </w:tc>
              <w:tc>
                <w:tcPr>
                  <w:tcW w:w="1090" w:type="pct"/>
                  <w:tcBorders>
                    <w:tl2br w:val="nil"/>
                    <w:tr2bl w:val="nil"/>
                  </w:tcBorders>
                  <w:vAlign w:val="center"/>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1.0</w:t>
                  </w:r>
                </w:p>
              </w:tc>
              <w:tc>
                <w:tcPr>
                  <w:tcW w:w="1009" w:type="pct"/>
                  <w:tcBorders>
                    <w:tl2br w:val="nil"/>
                    <w:tr2bl w:val="nil"/>
                  </w:tcBorders>
                  <w:vAlign w:val="center"/>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599" w:type="pct"/>
                  <w:tcBorders>
                    <w:tl2br w:val="nil"/>
                    <w:tr2bl w:val="nil"/>
                  </w:tcBorders>
                  <w:vAlign w:val="center"/>
                </w:tcPr>
                <w:p>
                  <w:pPr>
                    <w:pStyle w:val="48"/>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12</w:t>
                  </w:r>
                </w:p>
              </w:tc>
              <w:tc>
                <w:tcPr>
                  <w:tcW w:w="1208" w:type="pct"/>
                  <w:tcBorders>
                    <w:tl2br w:val="nil"/>
                    <w:tr2bl w:val="nil"/>
                  </w:tcBorders>
                  <w:vAlign w:val="center"/>
                </w:tcPr>
                <w:p>
                  <w:pPr>
                    <w:pStyle w:val="48"/>
                    <w:rPr>
                      <w:rFonts w:hint="default" w:asciiTheme="minorEastAsia" w:hAnsiTheme="minorEastAsia" w:eastAsiaTheme="minorEastAsia" w:cstheme="minorEastAsia"/>
                      <w:bCs/>
                      <w:color w:val="auto"/>
                      <w:sz w:val="21"/>
                      <w:szCs w:val="21"/>
                      <w:u w:val="single"/>
                      <w:lang w:val="en-US" w:eastAsia="zh-CN"/>
                    </w:rPr>
                  </w:pPr>
                  <w:r>
                    <w:rPr>
                      <w:rFonts w:hint="eastAsia" w:asciiTheme="minorEastAsia" w:hAnsiTheme="minorEastAsia" w:eastAsiaTheme="minorEastAsia" w:cstheme="minorEastAsia"/>
                      <w:bCs/>
                      <w:color w:val="auto"/>
                      <w:sz w:val="21"/>
                      <w:szCs w:val="21"/>
                      <w:u w:val="single"/>
                      <w:lang w:val="en-US" w:eastAsia="zh-CN"/>
                    </w:rPr>
                    <w:t>石油类</w:t>
                  </w:r>
                </w:p>
              </w:tc>
              <w:tc>
                <w:tcPr>
                  <w:tcW w:w="1090" w:type="pct"/>
                  <w:tcBorders>
                    <w:tl2br w:val="nil"/>
                    <w:tr2bl w:val="nil"/>
                  </w:tcBorders>
                  <w:vAlign w:val="center"/>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20</w:t>
                  </w:r>
                </w:p>
              </w:tc>
              <w:tc>
                <w:tcPr>
                  <w:tcW w:w="1090" w:type="pct"/>
                  <w:tcBorders>
                    <w:tl2br w:val="nil"/>
                    <w:tr2bl w:val="nil"/>
                  </w:tcBorders>
                  <w:vAlign w:val="center"/>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20</w:t>
                  </w:r>
                </w:p>
              </w:tc>
              <w:tc>
                <w:tcPr>
                  <w:tcW w:w="1009" w:type="pct"/>
                  <w:tcBorders>
                    <w:tl2br w:val="nil"/>
                    <w:tr2bl w:val="nil"/>
                  </w:tcBorders>
                  <w:vAlign w:val="center"/>
                </w:tcPr>
                <w:p>
                  <w:pPr>
                    <w:pStyle w:val="48"/>
                    <w:rPr>
                      <w:rFonts w:hint="eastAsia"/>
                      <w:color w:val="000000" w:themeColor="text1"/>
                      <w:u w:val="single"/>
                      <w:lang w:val="en-US" w:eastAsia="zh-CN"/>
                      <w14:textFill>
                        <w14:solidFill>
                          <w14:schemeClr w14:val="tx1"/>
                        </w14:solidFill>
                      </w14:textFill>
                    </w:rPr>
                  </w:pPr>
                  <w:r>
                    <w:rPr>
                      <w:rFonts w:hint="default"/>
                      <w:color w:val="000000" w:themeColor="text1"/>
                      <w:u w:val="single"/>
                      <w:lang w:val="en-US" w:eastAsia="zh-CN"/>
                      <w14:textFill>
                        <w14:solidFill>
                          <w14:schemeClr w14:val="tx1"/>
                        </w14:solidFill>
                      </w14:textFill>
                    </w:rPr>
                    <w:t>1</w:t>
                  </w:r>
                </w:p>
              </w:tc>
            </w:tr>
          </w:tbl>
          <w:p>
            <w:pPr>
              <w:pStyle w:val="7"/>
              <w:keepNext w:val="0"/>
              <w:keepLines w:val="0"/>
              <w:pageBreakBefore w:val="0"/>
              <w:widowControl w:val="0"/>
              <w:kinsoku/>
              <w:wordWrap/>
              <w:overflowPunct/>
              <w:topLinePunct w:val="0"/>
              <w:autoSpaceDE/>
              <w:autoSpaceDN/>
              <w:bidi w:val="0"/>
              <w:adjustRightInd/>
              <w:snapToGrid/>
              <w:spacing w:before="313" w:beforeLines="100"/>
              <w:ind w:firstLine="480"/>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b/>
                <w:bCs/>
                <w:color w:val="000000" w:themeColor="text1"/>
                <w14:textFill>
                  <w14:solidFill>
                    <w14:schemeClr w14:val="tx1"/>
                  </w14:solidFill>
                </w14:textFill>
              </w:rPr>
              <w:t>废气污染物排放标准</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pPr>
            <w:r>
              <w:rPr>
                <w:color w:val="000000" w:themeColor="text1"/>
                <w14:textFill>
                  <w14:solidFill>
                    <w14:schemeClr w14:val="tx1"/>
                  </w14:solidFill>
                </w14:textFill>
              </w:rPr>
              <w:t>医院污水处理站臭气无组织排放执行《医疗机构水污染物排放标准》（GB18466-2005）表3中标准</w:t>
            </w:r>
            <w:r>
              <w:rPr>
                <w:rFonts w:hint="eastAsia"/>
                <w:color w:val="000000" w:themeColor="text1"/>
                <w14:textFill>
                  <w14:solidFill>
                    <w14:schemeClr w14:val="tx1"/>
                  </w14:solidFill>
                </w14:textFill>
              </w:rPr>
              <w:t>。具体详见下表。</w:t>
            </w:r>
            <w:r>
              <w:rPr>
                <w:rFonts w:hint="eastAsia" w:ascii="宋体" w:hAnsi="宋体" w:eastAsia="宋体" w:cs="宋体"/>
                <w:color w:val="000000"/>
                <w:kern w:val="0"/>
                <w:sz w:val="24"/>
                <w:szCs w:val="24"/>
                <w:lang w:val="en-US" w:eastAsia="zh-CN" w:bidi="ar"/>
              </w:rPr>
              <w:t>柴油发电机烟气执行《大气污染物综合排放标准》（</w:t>
            </w:r>
            <w:r>
              <w:rPr>
                <w:rFonts w:hint="default" w:ascii="Times New Roman" w:hAnsi="Times New Roman" w:eastAsia="宋体" w:cs="Times New Roman"/>
                <w:color w:val="000000"/>
                <w:kern w:val="0"/>
                <w:sz w:val="24"/>
                <w:szCs w:val="24"/>
                <w:lang w:val="en-US" w:eastAsia="zh-CN" w:bidi="ar"/>
              </w:rPr>
              <w:t>GB16297-1996</w:t>
            </w:r>
            <w:r>
              <w:rPr>
                <w:rFonts w:hint="eastAsia" w:ascii="宋体" w:hAnsi="宋体" w:eastAsia="宋体" w:cs="宋体"/>
                <w:color w:val="000000"/>
                <w:kern w:val="0"/>
                <w:sz w:val="24"/>
                <w:szCs w:val="24"/>
                <w:lang w:val="en-US" w:eastAsia="zh-CN" w:bidi="ar"/>
              </w:rPr>
              <w:t>），详见下表。</w:t>
            </w:r>
          </w:p>
          <w:p>
            <w:pPr>
              <w:pStyle w:val="4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表3.3-2 </w:t>
            </w:r>
            <w:r>
              <w:rPr>
                <w:color w:val="000000" w:themeColor="text1"/>
                <w14:textFill>
                  <w14:solidFill>
                    <w14:schemeClr w14:val="tx1"/>
                  </w14:solidFill>
                </w14:textFill>
              </w:rPr>
              <w:t>污水处理站周边大气污染物排放最高允许浓度</w:t>
            </w:r>
          </w:p>
          <w:tbl>
            <w:tblPr>
              <w:tblStyle w:val="32"/>
              <w:tblW w:w="7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156"/>
              <w:gridCol w:w="1785"/>
              <w:gridCol w:w="1755"/>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156"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污染物</w:t>
                  </w:r>
                </w:p>
              </w:tc>
              <w:tc>
                <w:tcPr>
                  <w:tcW w:w="1785"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p>
              </w:tc>
              <w:tc>
                <w:tcPr>
                  <w:tcW w:w="1755"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二级新扩改建</w:t>
                  </w:r>
                </w:p>
              </w:tc>
              <w:tc>
                <w:tcPr>
                  <w:tcW w:w="2551"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标准名称及级（类）别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156"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p>
              </w:tc>
              <w:tc>
                <w:tcPr>
                  <w:tcW w:w="1785"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mg/m</w:t>
                  </w:r>
                  <w:r>
                    <w:rPr>
                      <w:color w:val="000000" w:themeColor="text1"/>
                      <w14:textFill>
                        <w14:solidFill>
                          <w14:schemeClr w14:val="tx1"/>
                        </w14:solidFill>
                      </w14:textFill>
                    </w:rPr>
                    <w:t>³</w:t>
                  </w:r>
                </w:p>
              </w:tc>
              <w:tc>
                <w:tcPr>
                  <w:tcW w:w="1755"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0.03</w:t>
                  </w:r>
                </w:p>
              </w:tc>
              <w:tc>
                <w:tcPr>
                  <w:tcW w:w="2551" w:type="dxa"/>
                  <w:vMerge w:val="restart"/>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《医疗机构水污染物排放标准》（GB18466-2005）表3中标准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12"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156"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NH</w:t>
                  </w:r>
                  <w:r>
                    <w:rPr>
                      <w:rFonts w:hint="eastAsia"/>
                      <w:color w:val="000000" w:themeColor="text1"/>
                      <w:vertAlign w:val="subscript"/>
                      <w14:textFill>
                        <w14:solidFill>
                          <w14:schemeClr w14:val="tx1"/>
                        </w14:solidFill>
                      </w14:textFill>
                    </w:rPr>
                    <w:t>3</w:t>
                  </w:r>
                </w:p>
              </w:tc>
              <w:tc>
                <w:tcPr>
                  <w:tcW w:w="1785"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mg/m</w:t>
                  </w:r>
                  <w:r>
                    <w:rPr>
                      <w:color w:val="000000" w:themeColor="text1"/>
                      <w14:textFill>
                        <w14:solidFill>
                          <w14:schemeClr w14:val="tx1"/>
                        </w14:solidFill>
                      </w14:textFill>
                    </w:rPr>
                    <w:t>³</w:t>
                  </w:r>
                </w:p>
              </w:tc>
              <w:tc>
                <w:tcPr>
                  <w:tcW w:w="1755"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2551" w:type="dxa"/>
                  <w:vMerge w:val="continue"/>
                  <w:vAlign w:val="center"/>
                </w:tcPr>
                <w:p>
                  <w:pPr>
                    <w:pStyle w:val="48"/>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156"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氯气</w:t>
                  </w:r>
                </w:p>
              </w:tc>
              <w:tc>
                <w:tcPr>
                  <w:tcW w:w="1785"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mg/m</w:t>
                  </w:r>
                  <w:r>
                    <w:rPr>
                      <w:color w:val="000000" w:themeColor="text1"/>
                      <w14:textFill>
                        <w14:solidFill>
                          <w14:schemeClr w14:val="tx1"/>
                        </w14:solidFill>
                      </w14:textFill>
                    </w:rPr>
                    <w:t>³</w:t>
                  </w:r>
                </w:p>
              </w:tc>
              <w:tc>
                <w:tcPr>
                  <w:tcW w:w="1755"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0.1</w:t>
                  </w:r>
                </w:p>
              </w:tc>
              <w:tc>
                <w:tcPr>
                  <w:tcW w:w="2551" w:type="dxa"/>
                  <w:vMerge w:val="continue"/>
                  <w:vAlign w:val="center"/>
                </w:tcPr>
                <w:p>
                  <w:pPr>
                    <w:pStyle w:val="48"/>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12"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156"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臭气浓度</w:t>
                  </w:r>
                </w:p>
              </w:tc>
              <w:tc>
                <w:tcPr>
                  <w:tcW w:w="1785"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无量纲</w:t>
                  </w:r>
                </w:p>
              </w:tc>
              <w:tc>
                <w:tcPr>
                  <w:tcW w:w="1755"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2551" w:type="dxa"/>
                  <w:vMerge w:val="continue"/>
                  <w:vAlign w:val="center"/>
                </w:tcPr>
                <w:p>
                  <w:pPr>
                    <w:pStyle w:val="48"/>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dxa"/>
                  <w:vAlign w:val="center"/>
                </w:tcPr>
                <w:p>
                  <w:pPr>
                    <w:pStyle w:val="48"/>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1156" w:type="dxa"/>
                  <w:vAlign w:val="center"/>
                </w:tcPr>
                <w:p>
                  <w:pPr>
                    <w:pStyle w:val="48"/>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甲烷</w:t>
                  </w:r>
                </w:p>
              </w:tc>
              <w:tc>
                <w:tcPr>
                  <w:tcW w:w="1785" w:type="dxa"/>
                  <w:vAlign w:val="center"/>
                </w:tcPr>
                <w:p>
                  <w:pPr>
                    <w:pStyle w:val="4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指处理站内最高体积百分数/%</w:t>
                  </w:r>
                </w:p>
              </w:tc>
              <w:tc>
                <w:tcPr>
                  <w:tcW w:w="1755" w:type="dxa"/>
                  <w:vAlign w:val="center"/>
                </w:tcPr>
                <w:p>
                  <w:pPr>
                    <w:pStyle w:val="48"/>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2551" w:type="dxa"/>
                  <w:vMerge w:val="continue"/>
                  <w:vAlign w:val="center"/>
                </w:tcPr>
                <w:p>
                  <w:pPr>
                    <w:pStyle w:val="48"/>
                    <w:rPr>
                      <w:color w:val="000000" w:themeColor="text1"/>
                      <w14:textFill>
                        <w14:solidFill>
                          <w14:schemeClr w14:val="tx1"/>
                        </w14:solidFill>
                      </w14:textFill>
                    </w:rPr>
                  </w:pPr>
                </w:p>
              </w:tc>
            </w:tr>
          </w:tbl>
          <w:p>
            <w:pPr>
              <w:keepNext w:val="0"/>
              <w:keepLines w:val="0"/>
              <w:pageBreakBefore w:val="0"/>
              <w:widowControl/>
              <w:suppressLineNumbers w:val="0"/>
              <w:kinsoku/>
              <w:wordWrap/>
              <w:overflowPunct/>
              <w:topLinePunct w:val="0"/>
              <w:autoSpaceDE/>
              <w:autoSpaceDN/>
              <w:bidi w:val="0"/>
              <w:adjustRightInd/>
              <w:snapToGrid/>
              <w:spacing w:before="313" w:beforeLines="100" w:line="240" w:lineRule="auto"/>
              <w:jc w:val="center"/>
              <w:textAlignment w:val="auto"/>
              <w:rPr>
                <w:rFonts w:ascii="Times New Roman" w:hAnsi="Times New Roman" w:eastAsia="宋体" w:cs="Times New Roman"/>
                <w:b/>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0"/>
                <w:sz w:val="21"/>
                <w:szCs w:val="21"/>
                <w:lang w:val="en-US" w:eastAsia="zh-CN" w:bidi="ar-SA"/>
                <w14:textFill>
                  <w14:solidFill>
                    <w14:schemeClr w14:val="tx1"/>
                  </w14:solidFill>
                </w14:textFill>
              </w:rPr>
              <w:t>表3.3-</w:t>
            </w:r>
            <w:r>
              <w:rPr>
                <w:rFonts w:hint="eastAsia" w:cs="Times New Roman"/>
                <w:b/>
                <w:color w:val="000000" w:themeColor="text1"/>
                <w:kern w:val="0"/>
                <w:sz w:val="21"/>
                <w:szCs w:val="21"/>
                <w:lang w:val="en-US" w:eastAsia="zh-CN" w:bidi="ar-SA"/>
                <w14:textFill>
                  <w14:solidFill>
                    <w14:schemeClr w14:val="tx1"/>
                  </w14:solidFill>
                </w14:textFill>
              </w:rPr>
              <w:t xml:space="preserve">3 </w:t>
            </w:r>
            <w:r>
              <w:rPr>
                <w:rFonts w:hint="eastAsia" w:ascii="Times New Roman" w:hAnsi="Times New Roman" w:eastAsia="宋体" w:cs="Times New Roman"/>
                <w:b/>
                <w:color w:val="000000" w:themeColor="text1"/>
                <w:kern w:val="0"/>
                <w:sz w:val="21"/>
                <w:szCs w:val="21"/>
                <w:lang w:val="en-US" w:eastAsia="zh-CN" w:bidi="ar-SA"/>
                <w14:textFill>
                  <w14:solidFill>
                    <w14:schemeClr w14:val="tx1"/>
                  </w14:solidFill>
                </w14:textFill>
              </w:rPr>
              <w:t>《大气污染物综合排放标准》（</w:t>
            </w:r>
            <w:r>
              <w:rPr>
                <w:rFonts w:hint="default" w:ascii="Times New Roman" w:hAnsi="Times New Roman" w:eastAsia="宋体" w:cs="Times New Roman"/>
                <w:b/>
                <w:color w:val="000000" w:themeColor="text1"/>
                <w:kern w:val="0"/>
                <w:sz w:val="21"/>
                <w:szCs w:val="21"/>
                <w:lang w:val="en-US" w:eastAsia="zh-CN" w:bidi="ar-SA"/>
                <w14:textFill>
                  <w14:solidFill>
                    <w14:schemeClr w14:val="tx1"/>
                  </w14:solidFill>
                </w14:textFill>
              </w:rPr>
              <w:t>GB16297-1996</w:t>
            </w:r>
            <w:r>
              <w:rPr>
                <w:rFonts w:hint="eastAsia" w:ascii="Times New Roman" w:hAnsi="Times New Roman" w:eastAsia="宋体" w:cs="Times New Roman"/>
                <w:b/>
                <w:color w:val="000000" w:themeColor="text1"/>
                <w:kern w:val="0"/>
                <w:sz w:val="21"/>
                <w:szCs w:val="21"/>
                <w:lang w:val="en-US" w:eastAsia="zh-CN" w:bidi="ar-SA"/>
                <w14:textFill>
                  <w14:solidFill>
                    <w14:schemeClr w14:val="tx1"/>
                  </w14:solidFill>
                </w14:textFill>
              </w:rPr>
              <w:t>）单位</w:t>
            </w:r>
            <w:r>
              <w:rPr>
                <w:rFonts w:hint="default" w:ascii="Times New Roman" w:hAnsi="Times New Roman" w:eastAsia="宋体" w:cs="Times New Roman"/>
                <w:b/>
                <w:color w:val="000000" w:themeColor="text1"/>
                <w:kern w:val="0"/>
                <w:sz w:val="21"/>
                <w:szCs w:val="21"/>
                <w:lang w:val="en-US" w:eastAsia="zh-CN" w:bidi="ar-SA"/>
                <w14:textFill>
                  <w14:solidFill>
                    <w14:schemeClr w14:val="tx1"/>
                  </w14:solidFill>
                </w14:textFill>
              </w:rPr>
              <w:t>mg/m</w:t>
            </w:r>
            <w:r>
              <w:rPr>
                <w:rFonts w:hint="default" w:ascii="Times New Roman" w:hAnsi="Times New Roman" w:eastAsia="宋体" w:cs="Times New Roman"/>
                <w:b/>
                <w:color w:val="000000" w:themeColor="text1"/>
                <w:kern w:val="0"/>
                <w:sz w:val="21"/>
                <w:szCs w:val="21"/>
                <w:vertAlign w:val="superscript"/>
                <w:lang w:val="en-US" w:eastAsia="zh-CN" w:bidi="ar-SA"/>
                <w14:textFill>
                  <w14:solidFill>
                    <w14:schemeClr w14:val="tx1"/>
                  </w14:solidFill>
                </w14:textFill>
              </w:rPr>
              <w:t>3</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9"/>
              <w:gridCol w:w="1962"/>
              <w:gridCol w:w="1963"/>
              <w:gridCol w:w="1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14:textFill>
                        <w14:solidFill>
                          <w14:schemeClr w14:val="tx1"/>
                        </w14:solidFill>
                      </w14:textFill>
                    </w:rPr>
                  </w:pPr>
                  <w:r>
                    <w:rPr>
                      <w:rFonts w:hint="eastAsia" w:ascii="宋体" w:hAnsi="宋体" w:eastAsia="宋体" w:cs="宋体"/>
                      <w:color w:val="000000"/>
                      <w:kern w:val="0"/>
                      <w:sz w:val="20"/>
                      <w:szCs w:val="20"/>
                      <w:lang w:val="en-US" w:eastAsia="zh-CN" w:bidi="ar"/>
                    </w:rPr>
                    <w:t>污染物名称</w:t>
                  </w:r>
                </w:p>
              </w:tc>
              <w:tc>
                <w:tcPr>
                  <w:tcW w:w="1992"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14:textFill>
                        <w14:solidFill>
                          <w14:schemeClr w14:val="tx1"/>
                        </w14:solidFill>
                      </w14:textFill>
                    </w:rPr>
                  </w:pPr>
                  <w:r>
                    <w:rPr>
                      <w:rFonts w:hint="default" w:ascii="Times New Roman" w:hAnsi="Times New Roman" w:eastAsia="宋体" w:cs="Times New Roman"/>
                      <w:color w:val="000000"/>
                      <w:kern w:val="0"/>
                      <w:sz w:val="20"/>
                      <w:szCs w:val="20"/>
                      <w:lang w:val="en-US" w:eastAsia="zh-CN" w:bidi="ar"/>
                    </w:rPr>
                    <w:t>SO</w:t>
                  </w:r>
                  <w:r>
                    <w:rPr>
                      <w:rFonts w:hint="default" w:ascii="Times New Roman" w:hAnsi="Times New Roman" w:eastAsia="宋体" w:cs="Times New Roman"/>
                      <w:color w:val="000000"/>
                      <w:kern w:val="0"/>
                      <w:sz w:val="13"/>
                      <w:szCs w:val="13"/>
                      <w:lang w:val="en-US" w:eastAsia="zh-CN" w:bidi="ar"/>
                    </w:rPr>
                    <w:t>2</w:t>
                  </w:r>
                </w:p>
              </w:tc>
              <w:tc>
                <w:tcPr>
                  <w:tcW w:w="1992"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14:textFill>
                        <w14:solidFill>
                          <w14:schemeClr w14:val="tx1"/>
                        </w14:solidFill>
                      </w14:textFill>
                    </w:rPr>
                  </w:pPr>
                  <w:r>
                    <w:rPr>
                      <w:rFonts w:hint="default" w:ascii="Times New Roman" w:hAnsi="Times New Roman" w:eastAsia="宋体" w:cs="Times New Roman"/>
                      <w:color w:val="000000"/>
                      <w:kern w:val="0"/>
                      <w:sz w:val="20"/>
                      <w:szCs w:val="20"/>
                      <w:lang w:val="en-US" w:eastAsia="zh-CN" w:bidi="ar"/>
                    </w:rPr>
                    <w:t>NOx</w:t>
                  </w:r>
                </w:p>
              </w:tc>
              <w:tc>
                <w:tcPr>
                  <w:tcW w:w="1993"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14:textFill>
                        <w14:solidFill>
                          <w14:schemeClr w14:val="tx1"/>
                        </w14:solidFill>
                      </w14:textFill>
                    </w:rPr>
                  </w:pPr>
                  <w:r>
                    <w:rPr>
                      <w:rFonts w:hint="eastAsia" w:ascii="宋体" w:hAnsi="宋体" w:eastAsia="宋体" w:cs="宋体"/>
                      <w:color w:val="000000"/>
                      <w:kern w:val="0"/>
                      <w:sz w:val="20"/>
                      <w:szCs w:val="20"/>
                      <w:lang w:val="en-US" w:eastAsia="zh-CN" w:bidi="ar"/>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14:textFill>
                        <w14:solidFill>
                          <w14:schemeClr w14:val="tx1"/>
                        </w14:solidFill>
                      </w14:textFill>
                    </w:rPr>
                  </w:pPr>
                  <w:r>
                    <w:rPr>
                      <w:rFonts w:hint="eastAsia" w:ascii="宋体" w:hAnsi="宋体" w:eastAsia="宋体" w:cs="宋体"/>
                      <w:color w:val="000000"/>
                      <w:kern w:val="0"/>
                      <w:sz w:val="20"/>
                      <w:szCs w:val="20"/>
                      <w:lang w:val="en-US" w:eastAsia="zh-CN" w:bidi="ar"/>
                    </w:rPr>
                    <w:t>执行标</w:t>
                  </w:r>
                </w:p>
              </w:tc>
              <w:tc>
                <w:tcPr>
                  <w:tcW w:w="1992"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14:textFill>
                        <w14:solidFill>
                          <w14:schemeClr w14:val="tx1"/>
                        </w14:solidFill>
                      </w14:textFill>
                    </w:rPr>
                  </w:pPr>
                  <w:r>
                    <w:rPr>
                      <w:rFonts w:hint="default" w:ascii="Times New Roman" w:hAnsi="Times New Roman" w:eastAsia="宋体" w:cs="Times New Roman"/>
                      <w:color w:val="000000"/>
                      <w:kern w:val="0"/>
                      <w:sz w:val="20"/>
                      <w:szCs w:val="20"/>
                      <w:lang w:val="en-US" w:eastAsia="zh-CN" w:bidi="ar"/>
                    </w:rPr>
                    <w:t>0.4</w:t>
                  </w:r>
                </w:p>
              </w:tc>
              <w:tc>
                <w:tcPr>
                  <w:tcW w:w="1992"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14:textFill>
                        <w14:solidFill>
                          <w14:schemeClr w14:val="tx1"/>
                        </w14:solidFill>
                      </w14:textFill>
                    </w:rPr>
                  </w:pPr>
                  <w:r>
                    <w:rPr>
                      <w:rFonts w:hint="default" w:ascii="Times New Roman" w:hAnsi="Times New Roman" w:eastAsia="宋体" w:cs="Times New Roman"/>
                      <w:color w:val="000000"/>
                      <w:kern w:val="0"/>
                      <w:sz w:val="20"/>
                      <w:szCs w:val="20"/>
                      <w:lang w:val="en-US" w:eastAsia="zh-CN" w:bidi="ar"/>
                    </w:rPr>
                    <w:t>0.12</w:t>
                  </w:r>
                </w:p>
              </w:tc>
              <w:tc>
                <w:tcPr>
                  <w:tcW w:w="1993"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vertAlign w:val="baseline"/>
                      <w14:textFill>
                        <w14:solidFill>
                          <w14:schemeClr w14:val="tx1"/>
                        </w14:solidFill>
                      </w14:textFill>
                    </w:rPr>
                  </w:pPr>
                  <w:r>
                    <w:rPr>
                      <w:rFonts w:hint="default" w:ascii="Times New Roman" w:hAnsi="Times New Roman" w:eastAsia="宋体" w:cs="Times New Roman"/>
                      <w:color w:val="000000"/>
                      <w:kern w:val="0"/>
                      <w:sz w:val="20"/>
                      <w:szCs w:val="20"/>
                      <w:lang w:val="en-US" w:eastAsia="zh-CN" w:bidi="ar"/>
                    </w:rPr>
                    <w:t>1.0</w:t>
                  </w:r>
                </w:p>
              </w:tc>
            </w:tr>
          </w:tbl>
          <w:p>
            <w:pPr>
              <w:pStyle w:val="7"/>
              <w:keepNext w:val="0"/>
              <w:keepLines w:val="0"/>
              <w:pageBreakBefore w:val="0"/>
              <w:widowControl w:val="0"/>
              <w:kinsoku/>
              <w:wordWrap/>
              <w:overflowPunct/>
              <w:topLinePunct w:val="0"/>
              <w:autoSpaceDE/>
              <w:autoSpaceDN/>
              <w:bidi w:val="0"/>
              <w:adjustRightInd/>
              <w:snapToGrid/>
              <w:spacing w:before="313" w:beforeLines="100"/>
              <w:ind w:firstLine="480"/>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w:t>
            </w:r>
            <w:r>
              <w:rPr>
                <w:b/>
                <w:bCs/>
                <w:color w:val="000000" w:themeColor="text1"/>
                <w14:textFill>
                  <w14:solidFill>
                    <w14:schemeClr w14:val="tx1"/>
                  </w14:solidFill>
                </w14:textFill>
              </w:rPr>
              <w:t>噪声排放标准</w:t>
            </w:r>
          </w:p>
          <w:p>
            <w:pPr>
              <w:pStyle w:val="7"/>
              <w:ind w:firstLine="480"/>
              <w:rPr>
                <w:color w:val="000000" w:themeColor="text1"/>
                <w14:textFill>
                  <w14:solidFill>
                    <w14:schemeClr w14:val="tx1"/>
                  </w14:solidFill>
                </w14:textFill>
              </w:rPr>
            </w:pPr>
            <w:r>
              <w:rPr>
                <w:color w:val="000000" w:themeColor="text1"/>
                <w14:textFill>
                  <w14:solidFill>
                    <w14:schemeClr w14:val="tx1"/>
                  </w14:solidFill>
                </w14:textFill>
              </w:rPr>
              <w:t>项目厂界噪声执行《工业企业厂界环境噪声排放标准》（GB12348-2008）</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类标准。具体标准值见</w:t>
            </w:r>
            <w:r>
              <w:rPr>
                <w:rFonts w:hint="eastAsia"/>
                <w:color w:val="000000" w:themeColor="text1"/>
                <w14:textFill>
                  <w14:solidFill>
                    <w14:schemeClr w14:val="tx1"/>
                  </w14:solidFill>
                </w14:textFill>
              </w:rPr>
              <w:t>下</w:t>
            </w:r>
            <w:r>
              <w:rPr>
                <w:color w:val="000000" w:themeColor="text1"/>
                <w14:textFill>
                  <w14:solidFill>
                    <w14:schemeClr w14:val="tx1"/>
                  </w14:solidFill>
                </w14:textFill>
              </w:rPr>
              <w:t>表。</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3.3-</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噪声排放标准值表</w:t>
            </w:r>
          </w:p>
          <w:tbl>
            <w:tblPr>
              <w:tblStyle w:val="31"/>
              <w:tblW w:w="7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1660"/>
              <w:gridCol w:w="1618"/>
              <w:gridCol w:w="1753"/>
              <w:gridCol w:w="1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315" w:type="dxa"/>
                  <w:noWrap/>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标准名称</w:t>
                  </w:r>
                </w:p>
              </w:tc>
              <w:tc>
                <w:tcPr>
                  <w:tcW w:w="1684" w:type="dxa"/>
                  <w:noWrap/>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级别</w:t>
                  </w:r>
                </w:p>
              </w:tc>
              <w:tc>
                <w:tcPr>
                  <w:tcW w:w="4957" w:type="dxa"/>
                  <w:gridSpan w:val="3"/>
                  <w:noWrap/>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排放标准值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5" w:type="dxa"/>
                  <w:vMerge w:val="restart"/>
                  <w:noWrap/>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营运期</w:t>
                  </w:r>
                </w:p>
              </w:tc>
              <w:tc>
                <w:tcPr>
                  <w:tcW w:w="1684" w:type="dxa"/>
                  <w:vMerge w:val="restart"/>
                  <w:noWrap/>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GB12348-2008</w:t>
                  </w:r>
                </w:p>
              </w:tc>
              <w:tc>
                <w:tcPr>
                  <w:tcW w:w="1641" w:type="dxa"/>
                  <w:noWrap/>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类别</w:t>
                  </w:r>
                </w:p>
              </w:tc>
              <w:tc>
                <w:tcPr>
                  <w:tcW w:w="1778" w:type="dxa"/>
                  <w:noWrap/>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1538" w:type="dxa"/>
                  <w:noWrap/>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5" w:type="dxa"/>
                  <w:vMerge w:val="continue"/>
                  <w:noWrap/>
                  <w:vAlign w:val="center"/>
                </w:tcPr>
                <w:p>
                  <w:pPr>
                    <w:pStyle w:val="48"/>
                    <w:rPr>
                      <w:color w:val="000000" w:themeColor="text1"/>
                      <w14:textFill>
                        <w14:solidFill>
                          <w14:schemeClr w14:val="tx1"/>
                        </w14:solidFill>
                      </w14:textFill>
                    </w:rPr>
                  </w:pPr>
                </w:p>
              </w:tc>
              <w:tc>
                <w:tcPr>
                  <w:tcW w:w="1684" w:type="dxa"/>
                  <w:vMerge w:val="continue"/>
                  <w:noWrap/>
                  <w:vAlign w:val="center"/>
                </w:tcPr>
                <w:p>
                  <w:pPr>
                    <w:pStyle w:val="48"/>
                    <w:rPr>
                      <w:color w:val="000000" w:themeColor="text1"/>
                      <w14:textFill>
                        <w14:solidFill>
                          <w14:schemeClr w14:val="tx1"/>
                        </w14:solidFill>
                      </w14:textFill>
                    </w:rPr>
                  </w:pPr>
                </w:p>
              </w:tc>
              <w:tc>
                <w:tcPr>
                  <w:tcW w:w="1641"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类</w:t>
                  </w:r>
                </w:p>
              </w:tc>
              <w:tc>
                <w:tcPr>
                  <w:tcW w:w="1778" w:type="dxa"/>
                  <w:noWrap/>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0</w:t>
                  </w:r>
                </w:p>
              </w:tc>
              <w:tc>
                <w:tcPr>
                  <w:tcW w:w="1538" w:type="dxa"/>
                  <w:noWrap/>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14:textFill>
                        <w14:solidFill>
                          <w14:schemeClr w14:val="tx1"/>
                        </w14:solidFill>
                      </w14:textFill>
                    </w:rPr>
                    <w:t>0</w:t>
                  </w:r>
                </w:p>
              </w:tc>
            </w:tr>
          </w:tbl>
          <w:p>
            <w:pPr>
              <w:pStyle w:val="7"/>
              <w:keepNext w:val="0"/>
              <w:keepLines w:val="0"/>
              <w:pageBreakBefore w:val="0"/>
              <w:widowControl w:val="0"/>
              <w:kinsoku/>
              <w:wordWrap/>
              <w:overflowPunct/>
              <w:topLinePunct w:val="0"/>
              <w:autoSpaceDE/>
              <w:autoSpaceDN/>
              <w:bidi w:val="0"/>
              <w:adjustRightInd/>
              <w:snapToGrid/>
              <w:spacing w:before="313" w:beforeLines="100"/>
              <w:ind w:firstLine="480"/>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w:t>
            </w:r>
            <w:r>
              <w:rPr>
                <w:b/>
                <w:bCs/>
                <w:color w:val="000000" w:themeColor="text1"/>
                <w14:textFill>
                  <w14:solidFill>
                    <w14:schemeClr w14:val="tx1"/>
                  </w14:solidFill>
                </w14:textFill>
              </w:rPr>
              <w:t>固体废物</w:t>
            </w:r>
          </w:p>
          <w:p>
            <w:pPr>
              <w:pStyle w:val="7"/>
              <w:ind w:firstLine="480"/>
              <w:jc w:val="both"/>
              <w:rPr>
                <w:rFonts w:hint="eastAsia" w:eastAsia="宋体"/>
                <w:color w:val="4472C4" w:themeColor="accent5"/>
                <w:lang w:eastAsia="zh-CN"/>
                <w14:textFill>
                  <w14:solidFill>
                    <w14:schemeClr w14:val="accent5"/>
                  </w14:solidFill>
                </w14:textFill>
              </w:rPr>
            </w:pPr>
            <w:r>
              <w:rPr>
                <w:color w:val="000000" w:themeColor="text1"/>
                <w14:textFill>
                  <w14:solidFill>
                    <w14:schemeClr w14:val="tx1"/>
                  </w14:solidFill>
                </w14:textFill>
              </w:rPr>
              <w:t>生活垃圾、未污染的一次性塑料输液瓶</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袋</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、一般包装材料</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药品外包装）；按照国家卫生健康委会同生态环境部等10部门联合印发的《医疗机构废弃物综合治理工作方案》（国卫医发〔2020〕3号）做好医疗机构内部废弃物分类和管理，本项目生活垃圾收集后存放于垃圾收集点交由环卫部门统一清运处理；未污染的一次性塑料输液瓶</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袋</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委托</w:t>
            </w:r>
            <w:r>
              <w:rPr>
                <w:rFonts w:hint="eastAsia"/>
                <w:color w:val="000000" w:themeColor="text1"/>
                <w14:textFill>
                  <w14:solidFill>
                    <w14:schemeClr w14:val="tx1"/>
                  </w14:solidFill>
                </w14:textFill>
              </w:rPr>
              <w:t>专门单位</w:t>
            </w:r>
            <w:r>
              <w:rPr>
                <w:color w:val="000000" w:themeColor="text1"/>
                <w14:textFill>
                  <w14:solidFill>
                    <w14:schemeClr w14:val="tx1"/>
                  </w14:solidFill>
                </w14:textFill>
              </w:rPr>
              <w:t>回收处置。一般包装材料</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药品外包装</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作为一般资源回收处置</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医疗废物收集、暂存与处置执行</w:t>
            </w:r>
            <w:r>
              <w:rPr>
                <w:color w:val="000000" w:themeColor="text1"/>
                <w14:textFill>
                  <w14:solidFill>
                    <w14:schemeClr w14:val="tx1"/>
                  </w14:solidFill>
                </w14:textFill>
              </w:rPr>
              <w:t>《危险废物贮存污染控制标准》（</w:t>
            </w:r>
            <w:r>
              <w:rPr>
                <w:rFonts w:hint="eastAsia"/>
                <w:color w:val="000000" w:themeColor="text1"/>
                <w14:textFill>
                  <w14:solidFill>
                    <w14:schemeClr w14:val="tx1"/>
                  </w14:solidFill>
                </w14:textFill>
              </w:rPr>
              <w:t>GB18597-2023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；污水处理站产生的污泥处理执行《医疗机构水污染物排放标准》（</w:t>
            </w:r>
            <w:r>
              <w:rPr>
                <w:color w:val="000000" w:themeColor="text1"/>
                <w14:textFill>
                  <w14:solidFill>
                    <w14:schemeClr w14:val="tx1"/>
                  </w14:solidFill>
                </w14:textFill>
              </w:rPr>
              <w:t>GB18466-2005</w:t>
            </w:r>
            <w:r>
              <w:rPr>
                <w:rFonts w:hint="eastAsia"/>
                <w:color w:val="000000" w:themeColor="text1"/>
                <w14:textFill>
                  <w14:solidFill>
                    <w14:schemeClr w14:val="tx1"/>
                  </w14:solidFill>
                </w14:textFill>
              </w:rPr>
              <w:t>）中的医疗机构污泥控制标准</w:t>
            </w:r>
            <w:r>
              <w:rPr>
                <w:color w:val="000000" w:themeColor="text1"/>
                <w14:textFill>
                  <w14:solidFill>
                    <w14:schemeClr w14:val="tx1"/>
                  </w14:solidFill>
                </w14:textFill>
              </w:rPr>
              <w:t>。</w:t>
            </w:r>
          </w:p>
          <w:p>
            <w:pPr>
              <w:pStyle w:val="49"/>
              <w:rPr>
                <w:color w:val="000000" w:themeColor="text1"/>
                <w:u w:val="none"/>
                <w14:textFill>
                  <w14:solidFill>
                    <w14:schemeClr w14:val="tx1"/>
                  </w14:solidFill>
                </w14:textFill>
              </w:rPr>
            </w:pPr>
            <w:r>
              <w:rPr>
                <w:color w:val="000000" w:themeColor="text1"/>
                <w:u w:val="none"/>
                <w14:textFill>
                  <w14:solidFill>
                    <w14:schemeClr w14:val="tx1"/>
                  </w14:solidFill>
                </w14:textFill>
              </w:rPr>
              <w:t>表</w:t>
            </w:r>
            <w:r>
              <w:rPr>
                <w:rFonts w:hint="eastAsia"/>
                <w:color w:val="000000" w:themeColor="text1"/>
                <w:u w:val="none"/>
                <w14:textFill>
                  <w14:solidFill>
                    <w14:schemeClr w14:val="tx1"/>
                  </w14:solidFill>
                </w14:textFill>
              </w:rPr>
              <w:t>3.3-</w:t>
            </w:r>
            <w:r>
              <w:rPr>
                <w:rFonts w:hint="eastAsia"/>
                <w:color w:val="000000" w:themeColor="text1"/>
                <w:u w:val="none"/>
                <w:lang w:val="en-US" w:eastAsia="zh-CN"/>
                <w14:textFill>
                  <w14:solidFill>
                    <w14:schemeClr w14:val="tx1"/>
                  </w14:solidFill>
                </w14:textFill>
              </w:rPr>
              <w:t>5</w:t>
            </w:r>
            <w:r>
              <w:rPr>
                <w:color w:val="000000" w:themeColor="text1"/>
                <w:u w:val="none"/>
                <w14:textFill>
                  <w14:solidFill>
                    <w14:schemeClr w14:val="tx1"/>
                  </w14:solidFill>
                </w14:textFill>
              </w:rPr>
              <w:t xml:space="preserve"> 医疗机构污泥控制标准</w:t>
            </w:r>
          </w:p>
          <w:tbl>
            <w:tblPr>
              <w:tblStyle w:val="31"/>
              <w:tblW w:w="7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1769"/>
              <w:gridCol w:w="952"/>
              <w:gridCol w:w="820"/>
              <w:gridCol w:w="820"/>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3" w:type="dxa"/>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医疗机构类别</w:t>
                  </w:r>
                </w:p>
              </w:tc>
              <w:tc>
                <w:tcPr>
                  <w:tcW w:w="1769" w:type="dxa"/>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粪大肠菌群数</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MPN/g</w:t>
                  </w:r>
                  <w:r>
                    <w:rPr>
                      <w:rFonts w:hint="eastAsia"/>
                      <w:color w:val="000000" w:themeColor="text1"/>
                      <w:u w:val="none"/>
                      <w:lang w:eastAsia="zh-CN"/>
                      <w14:textFill>
                        <w14:solidFill>
                          <w14:schemeClr w14:val="tx1"/>
                        </w14:solidFill>
                      </w14:textFill>
                    </w:rPr>
                    <w:t>）</w:t>
                  </w:r>
                </w:p>
              </w:tc>
              <w:tc>
                <w:tcPr>
                  <w:tcW w:w="952" w:type="dxa"/>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肠道致病菌</w:t>
                  </w:r>
                </w:p>
              </w:tc>
              <w:tc>
                <w:tcPr>
                  <w:tcW w:w="820" w:type="dxa"/>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肠道病毒</w:t>
                  </w:r>
                </w:p>
              </w:tc>
              <w:tc>
                <w:tcPr>
                  <w:tcW w:w="820" w:type="dxa"/>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结核杆菌</w:t>
                  </w:r>
                </w:p>
              </w:tc>
              <w:tc>
                <w:tcPr>
                  <w:tcW w:w="1602" w:type="dxa"/>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蛔虫卵死亡率（%）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3" w:type="dxa"/>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综合医疗机构和其它医疗机构</w:t>
                  </w:r>
                </w:p>
              </w:tc>
              <w:tc>
                <w:tcPr>
                  <w:tcW w:w="1769" w:type="dxa"/>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≤100</w:t>
                  </w:r>
                </w:p>
              </w:tc>
              <w:tc>
                <w:tcPr>
                  <w:tcW w:w="952" w:type="dxa"/>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w:t>
                  </w:r>
                </w:p>
              </w:tc>
              <w:tc>
                <w:tcPr>
                  <w:tcW w:w="820" w:type="dxa"/>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w:t>
                  </w:r>
                </w:p>
              </w:tc>
              <w:tc>
                <w:tcPr>
                  <w:tcW w:w="820" w:type="dxa"/>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w:t>
                  </w:r>
                </w:p>
              </w:tc>
              <w:tc>
                <w:tcPr>
                  <w:tcW w:w="1602" w:type="dxa"/>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&gt;95</w:t>
                  </w:r>
                </w:p>
              </w:tc>
            </w:tr>
          </w:tbl>
          <w:p>
            <w:pPr>
              <w:pStyle w:val="8"/>
              <w:ind w:left="480"/>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dxa"/>
            <w:noWrap/>
            <w:vAlign w:val="center"/>
          </w:tcPr>
          <w:p>
            <w:pPr>
              <w:adjustRightInd w:val="0"/>
              <w:snapToGrid w:val="0"/>
              <w:jc w:val="center"/>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总量</w:t>
            </w:r>
          </w:p>
          <w:p>
            <w:pPr>
              <w:adjustRightInd w:val="0"/>
              <w:snapToGrid w:val="0"/>
              <w:jc w:val="center"/>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控制</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14:textFill>
                  <w14:solidFill>
                    <w14:schemeClr w14:val="tx1"/>
                  </w14:solidFill>
                </w14:textFill>
              </w:rPr>
              <w:t>指标</w:t>
            </w:r>
          </w:p>
        </w:tc>
        <w:tc>
          <w:tcPr>
            <w:tcW w:w="8185" w:type="dxa"/>
            <w:noWrap/>
            <w:vAlign w:val="center"/>
          </w:tcPr>
          <w:p>
            <w:pPr>
              <w:pStyle w:val="7"/>
              <w:keepNext w:val="0"/>
              <w:keepLines w:val="0"/>
              <w:pageBreakBefore w:val="0"/>
              <w:kinsoku/>
              <w:wordWrap/>
              <w:overflowPunct/>
              <w:topLinePunct w:val="0"/>
              <w:autoSpaceDE/>
              <w:autoSpaceDN/>
              <w:bidi w:val="0"/>
              <w:adjustRightInd/>
              <w:snapToGrid/>
              <w:ind w:firstLine="480" w:firstLineChars="200"/>
              <w:jc w:val="both"/>
              <w:textAlignment w:val="auto"/>
              <w:rPr>
                <w:color w:val="auto"/>
                <w:u w:val="none"/>
              </w:rPr>
            </w:pPr>
            <w:r>
              <w:rPr>
                <w:color w:val="auto"/>
                <w:u w:val="none"/>
              </w:rPr>
              <w:t>根据国家</w:t>
            </w:r>
            <w:r>
              <w:rPr>
                <w:rFonts w:hint="eastAsia"/>
                <w:color w:val="auto"/>
                <w:u w:val="none"/>
              </w:rPr>
              <w:t>生态环境部</w:t>
            </w:r>
            <w:r>
              <w:rPr>
                <w:color w:val="auto"/>
                <w:u w:val="none"/>
              </w:rPr>
              <w:t>关于总量控制的有关要求，并结合项目污染物排放及周围环境状况，确定本项目评价中污染物的总量控制因子为：CODcr、氨氮。</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pPr>
            <w:r>
              <w:rPr>
                <w:color w:val="auto"/>
                <w:u w:val="none"/>
              </w:rPr>
              <w:t>该项目污水排放总量为</w:t>
            </w:r>
            <w:r>
              <w:rPr>
                <w:rFonts w:hint="eastAsia"/>
                <w:color w:val="auto"/>
                <w:u w:val="single"/>
                <w:lang w:val="en-US" w:eastAsia="zh-CN"/>
              </w:rPr>
              <w:t>3489.4</w:t>
            </w:r>
            <w:r>
              <w:rPr>
                <w:color w:val="auto"/>
                <w:u w:val="single"/>
              </w:rPr>
              <w:t>m³/a</w:t>
            </w:r>
            <w:r>
              <w:rPr>
                <w:color w:val="auto"/>
                <w:u w:val="none"/>
              </w:rPr>
              <w:t>，</w:t>
            </w:r>
            <w:r>
              <w:rPr>
                <w:rFonts w:hint="eastAsia"/>
                <w:color w:val="auto"/>
                <w:u w:val="none"/>
                <w:lang w:val="en-US" w:eastAsia="zh-CN"/>
              </w:rPr>
              <w:t>污水处理</w:t>
            </w:r>
            <w:r>
              <w:rPr>
                <w:color w:val="auto"/>
                <w:u w:val="none"/>
              </w:rPr>
              <w:t>工艺采用“</w:t>
            </w:r>
            <w:r>
              <w:rPr>
                <w:rFonts w:hint="eastAsia"/>
                <w:color w:val="auto"/>
                <w:u w:val="none"/>
                <w:lang w:val="en-US" w:eastAsia="zh-CN"/>
              </w:rPr>
              <w:t>化粪池+格栅井+调节池+AO工艺+沉淀池+消毒</w:t>
            </w:r>
            <w:r>
              <w:rPr>
                <w:color w:val="auto"/>
                <w:u w:val="none"/>
              </w:rPr>
              <w:t>”工艺，尾水排放达到《城镇污水处理厂污染物排放标准》（GB18918-2002）一级</w:t>
            </w:r>
            <w:r>
              <w:rPr>
                <w:rFonts w:hint="eastAsia"/>
                <w:color w:val="auto"/>
                <w:u w:val="none"/>
              </w:rPr>
              <w:t>A</w:t>
            </w:r>
            <w:r>
              <w:rPr>
                <w:color w:val="auto"/>
                <w:u w:val="none"/>
              </w:rPr>
              <w:t>标准。</w:t>
            </w:r>
            <w:r>
              <w:rPr>
                <w:rFonts w:hint="eastAsia"/>
                <w:color w:val="auto"/>
                <w:u w:val="none"/>
              </w:rPr>
              <w:t>依此计算</w:t>
            </w:r>
            <w:r>
              <w:rPr>
                <w:color w:val="auto"/>
                <w:u w:val="none"/>
              </w:rPr>
              <w:t>预计排放总量应控制在</w:t>
            </w:r>
            <w:r>
              <w:rPr>
                <w:color w:val="auto"/>
                <w:u w:val="single"/>
              </w:rPr>
              <w:t>CODcr为</w:t>
            </w:r>
            <w:r>
              <w:rPr>
                <w:rFonts w:hint="eastAsia"/>
                <w:color w:val="auto"/>
                <w:u w:val="single"/>
              </w:rPr>
              <w:t>0.</w:t>
            </w:r>
            <w:r>
              <w:rPr>
                <w:rFonts w:hint="eastAsia"/>
                <w:color w:val="auto"/>
                <w:u w:val="single"/>
                <w:lang w:val="en-US" w:eastAsia="zh-CN"/>
              </w:rPr>
              <w:t>17</w:t>
            </w:r>
            <w:r>
              <w:rPr>
                <w:color w:val="auto"/>
                <w:u w:val="single"/>
              </w:rPr>
              <w:t>t/a，NH</w:t>
            </w:r>
            <w:r>
              <w:rPr>
                <w:color w:val="auto"/>
                <w:u w:val="single"/>
                <w:vertAlign w:val="subscript"/>
              </w:rPr>
              <w:t>3</w:t>
            </w:r>
            <w:r>
              <w:rPr>
                <w:color w:val="auto"/>
                <w:u w:val="single"/>
              </w:rPr>
              <w:t>-N为</w:t>
            </w:r>
            <w:r>
              <w:rPr>
                <w:rFonts w:hint="eastAsia"/>
                <w:color w:val="auto"/>
                <w:u w:val="single"/>
              </w:rPr>
              <w:t>0.</w:t>
            </w:r>
            <w:r>
              <w:rPr>
                <w:rFonts w:hint="eastAsia"/>
                <w:color w:val="auto"/>
                <w:u w:val="single"/>
                <w:lang w:val="en-US" w:eastAsia="zh-CN"/>
              </w:rPr>
              <w:t>017</w:t>
            </w:r>
            <w:r>
              <w:rPr>
                <w:color w:val="auto"/>
                <w:u w:val="single"/>
              </w:rPr>
              <w:t>t/a</w:t>
            </w:r>
            <w:r>
              <w:rPr>
                <w:rFonts w:hint="eastAsia"/>
                <w:color w:val="auto"/>
                <w:u w:val="none"/>
              </w:rPr>
              <w:t>，</w:t>
            </w:r>
            <w:r>
              <w:rPr>
                <w:rFonts w:hint="eastAsia" w:ascii="宋体" w:hAnsi="宋体" w:eastAsia="宋体" w:cs="宋体"/>
                <w:color w:val="000000"/>
                <w:kern w:val="0"/>
                <w:sz w:val="24"/>
                <w:szCs w:val="24"/>
                <w:lang w:val="en-US" w:eastAsia="zh-CN" w:bidi="ar"/>
              </w:rPr>
              <w:t>本项目为医院建设项目，为社会公益类项目，</w:t>
            </w:r>
            <w:r>
              <w:rPr>
                <w:rFonts w:hint="eastAsia" w:ascii="宋体" w:hAnsi="宋体" w:cs="宋体"/>
                <w:color w:val="auto"/>
                <w:kern w:val="0"/>
                <w:sz w:val="24"/>
                <w:szCs w:val="24"/>
                <w:lang w:val="en-US" w:eastAsia="zh-CN" w:bidi="ar"/>
              </w:rPr>
              <w:t>总量计入桃林镇污水处理厂排放总量，</w:t>
            </w:r>
            <w:r>
              <w:rPr>
                <w:rFonts w:hint="eastAsia" w:ascii="宋体" w:hAnsi="宋体" w:eastAsia="宋体" w:cs="宋体"/>
                <w:color w:val="auto"/>
                <w:kern w:val="0"/>
                <w:sz w:val="24"/>
                <w:szCs w:val="24"/>
                <w:lang w:val="en-US" w:eastAsia="zh-CN" w:bidi="ar"/>
              </w:rPr>
              <w:t>无</w:t>
            </w:r>
            <w:r>
              <w:rPr>
                <w:rFonts w:hint="eastAsia" w:ascii="宋体" w:hAnsi="宋体" w:eastAsia="宋体" w:cs="宋体"/>
                <w:color w:val="000000"/>
                <w:kern w:val="0"/>
                <w:sz w:val="24"/>
                <w:szCs w:val="24"/>
                <w:lang w:val="en-US" w:eastAsia="zh-CN" w:bidi="ar"/>
              </w:rPr>
              <w:t>需申请总量控制指标。</w:t>
            </w:r>
          </w:p>
        </w:tc>
      </w:tr>
    </w:tbl>
    <w:p>
      <w:pPr>
        <w:sectPr>
          <w:pgSz w:w="11907" w:h="16840"/>
          <w:pgMar w:top="1440" w:right="1800" w:bottom="1440" w:left="1800" w:header="851" w:footer="851" w:gutter="0"/>
          <w:pgNumType w:fmt="decimal"/>
          <w:cols w:space="720" w:num="1"/>
          <w:docGrid w:linePitch="312" w:charSpace="0"/>
        </w:sectPr>
      </w:pPr>
    </w:p>
    <w:p>
      <w:pPr>
        <w:pStyle w:val="2"/>
        <w:rPr>
          <w:color w:val="000000" w:themeColor="text1"/>
          <w14:textFill>
            <w14:solidFill>
              <w14:schemeClr w14:val="tx1"/>
            </w14:solidFill>
          </w14:textFill>
        </w:rPr>
      </w:pPr>
      <w:bookmarkStart w:id="54" w:name="_Toc5279"/>
      <w:r>
        <w:rPr>
          <w:rFonts w:hint="eastAsia"/>
          <w:color w:val="000000" w:themeColor="text1"/>
          <w14:textFill>
            <w14:solidFill>
              <w14:schemeClr w14:val="tx1"/>
            </w14:solidFill>
          </w14:textFill>
        </w:rPr>
        <w:t>四、主要环境影响和保护措施</w:t>
      </w:r>
      <w:bookmarkEnd w:id="54"/>
    </w:p>
    <w:tbl>
      <w:tblPr>
        <w:tblStyle w:val="31"/>
        <w:tblW w:w="844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7"/>
        <w:gridCol w:w="81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dxa"/>
            <w:noWrap/>
            <w:tcMar>
              <w:left w:w="28" w:type="dxa"/>
              <w:right w:w="28" w:type="dxa"/>
            </w:tcMar>
            <w:vAlign w:val="center"/>
          </w:tcPr>
          <w:p>
            <w:pPr>
              <w:pStyle w:val="27"/>
              <w:adjustRightInd w:val="0"/>
              <w:snapToGrid w:val="0"/>
              <w:spacing w:before="0" w:beforeAutospacing="0" w:after="0" w:afterAutospacing="0"/>
              <w:jc w:val="center"/>
              <w:rPr>
                <w:rFonts w:cs="宋体"/>
                <w:color w:val="000000" w:themeColor="text1"/>
                <w:kern w:val="2"/>
                <w:szCs w:val="24"/>
                <w14:textFill>
                  <w14:solidFill>
                    <w14:schemeClr w14:val="tx1"/>
                  </w14:solidFill>
                </w14:textFill>
              </w:rPr>
            </w:pPr>
            <w:r>
              <w:rPr>
                <w:rFonts w:hint="eastAsia" w:cs="宋体"/>
                <w:color w:val="000000" w:themeColor="text1"/>
                <w:kern w:val="2"/>
                <w:szCs w:val="24"/>
                <w14:textFill>
                  <w14:solidFill>
                    <w14:schemeClr w14:val="tx1"/>
                  </w14:solidFill>
                </w14:textFill>
              </w:rPr>
              <w:t>施工</w:t>
            </w:r>
          </w:p>
          <w:p>
            <w:pPr>
              <w:pStyle w:val="27"/>
              <w:adjustRightInd w:val="0"/>
              <w:snapToGrid w:val="0"/>
              <w:spacing w:before="0" w:beforeAutospacing="0" w:after="0" w:afterAutospacing="0"/>
              <w:jc w:val="center"/>
              <w:rPr>
                <w:rFonts w:cs="宋体"/>
                <w:color w:val="000000" w:themeColor="text1"/>
                <w:kern w:val="2"/>
                <w:szCs w:val="24"/>
                <w14:textFill>
                  <w14:solidFill>
                    <w14:schemeClr w14:val="tx1"/>
                  </w14:solidFill>
                </w14:textFill>
              </w:rPr>
            </w:pPr>
            <w:r>
              <w:rPr>
                <w:rFonts w:hint="eastAsia" w:cs="宋体"/>
                <w:color w:val="000000" w:themeColor="text1"/>
                <w:kern w:val="2"/>
                <w:szCs w:val="24"/>
                <w14:textFill>
                  <w14:solidFill>
                    <w14:schemeClr w14:val="tx1"/>
                  </w14:solidFill>
                </w14:textFill>
              </w:rPr>
              <w:t>期环</w:t>
            </w:r>
          </w:p>
          <w:p>
            <w:pPr>
              <w:pStyle w:val="27"/>
              <w:adjustRightInd w:val="0"/>
              <w:snapToGrid w:val="0"/>
              <w:spacing w:before="0" w:beforeAutospacing="0" w:after="0" w:afterAutospacing="0"/>
              <w:jc w:val="center"/>
              <w:rPr>
                <w:rFonts w:cs="宋体"/>
                <w:color w:val="000000" w:themeColor="text1"/>
                <w:kern w:val="2"/>
                <w:szCs w:val="24"/>
                <w14:textFill>
                  <w14:solidFill>
                    <w14:schemeClr w14:val="tx1"/>
                  </w14:solidFill>
                </w14:textFill>
              </w:rPr>
            </w:pPr>
            <w:r>
              <w:rPr>
                <w:rFonts w:hint="eastAsia" w:cs="宋体"/>
                <w:color w:val="000000" w:themeColor="text1"/>
                <w:kern w:val="2"/>
                <w:szCs w:val="24"/>
                <w14:textFill>
                  <w14:solidFill>
                    <w14:schemeClr w14:val="tx1"/>
                  </w14:solidFill>
                </w14:textFill>
              </w:rPr>
              <w:t>境保</w:t>
            </w:r>
          </w:p>
          <w:p>
            <w:pPr>
              <w:pStyle w:val="27"/>
              <w:adjustRightInd w:val="0"/>
              <w:snapToGrid w:val="0"/>
              <w:spacing w:before="0" w:beforeAutospacing="0" w:after="0" w:afterAutospacing="0"/>
              <w:jc w:val="center"/>
              <w:rPr>
                <w:rFonts w:cs="宋体"/>
                <w:color w:val="000000" w:themeColor="text1"/>
                <w:kern w:val="2"/>
                <w:szCs w:val="24"/>
                <w14:textFill>
                  <w14:solidFill>
                    <w14:schemeClr w14:val="tx1"/>
                  </w14:solidFill>
                </w14:textFill>
              </w:rPr>
            </w:pPr>
            <w:r>
              <w:rPr>
                <w:rFonts w:hint="eastAsia" w:cs="宋体"/>
                <w:color w:val="000000" w:themeColor="text1"/>
                <w:kern w:val="2"/>
                <w:szCs w:val="24"/>
                <w14:textFill>
                  <w14:solidFill>
                    <w14:schemeClr w14:val="tx1"/>
                  </w14:solidFill>
                </w14:textFill>
              </w:rPr>
              <w:t>护措</w:t>
            </w:r>
          </w:p>
          <w:p>
            <w:pPr>
              <w:pStyle w:val="27"/>
              <w:adjustRightInd w:val="0"/>
              <w:snapToGrid w:val="0"/>
              <w:spacing w:before="0" w:beforeAutospacing="0" w:after="0" w:afterAutospacing="0"/>
              <w:jc w:val="center"/>
              <w:rPr>
                <w:rFonts w:cs="宋体"/>
                <w:bCs/>
                <w:color w:val="000000" w:themeColor="text1"/>
                <w:kern w:val="2"/>
                <w:sz w:val="21"/>
                <w:szCs w:val="21"/>
                <w14:textFill>
                  <w14:solidFill>
                    <w14:schemeClr w14:val="tx1"/>
                  </w14:solidFill>
                </w14:textFill>
              </w:rPr>
            </w:pPr>
            <w:r>
              <w:rPr>
                <w:rFonts w:hint="eastAsia" w:cs="宋体"/>
                <w:color w:val="000000" w:themeColor="text1"/>
                <w:kern w:val="2"/>
                <w:szCs w:val="24"/>
                <w14:textFill>
                  <w14:solidFill>
                    <w14:schemeClr w14:val="tx1"/>
                  </w14:solidFill>
                </w14:textFill>
              </w:rPr>
              <w:t>施</w:t>
            </w:r>
          </w:p>
        </w:tc>
        <w:tc>
          <w:tcPr>
            <w:tcW w:w="8145" w:type="dxa"/>
            <w:noWrap/>
            <w:vAlign w:val="center"/>
          </w:tcPr>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ascii="宋体" w:hAnsi="宋体" w:cs="宋体"/>
                <w:bCs/>
                <w:color w:val="000000" w:themeColor="text1"/>
                <w:spacing w:val="-10"/>
                <w:szCs w:val="21"/>
                <w14:textFill>
                  <w14:solidFill>
                    <w14:schemeClr w14:val="tx1"/>
                  </w14:solidFill>
                </w14:textFill>
              </w:rPr>
            </w:pPr>
            <w:r>
              <w:rPr>
                <w:rFonts w:hint="eastAsia" w:ascii="宋体" w:hAnsi="宋体" w:eastAsia="宋体" w:cs="宋体"/>
                <w:color w:val="000000"/>
                <w:kern w:val="0"/>
                <w:sz w:val="24"/>
                <w:szCs w:val="24"/>
                <w:lang w:val="en-US" w:eastAsia="zh-CN" w:bidi="ar"/>
              </w:rPr>
              <w:t>本项目已建成，施工期环境影响已随施工期结束而结束。同时根据现场踏勘，项目现场未见施工期遗留污染，项目建成投产至今，也未收到与本项目施工建设相关的环境污染投诉和举报。因此本次评价重点分析营运期环境保护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8" w:type="dxa"/>
            <w:noWrap/>
            <w:tcMar>
              <w:left w:w="28" w:type="dxa"/>
              <w:right w:w="28" w:type="dxa"/>
            </w:tcMar>
            <w:vAlign w:val="center"/>
          </w:tcPr>
          <w:p>
            <w:pPr>
              <w:adjustRightInd w:val="0"/>
              <w:snapToGrid w:val="0"/>
              <w:jc w:val="center"/>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运营</w:t>
            </w:r>
          </w:p>
          <w:p>
            <w:pPr>
              <w:adjustRightInd w:val="0"/>
              <w:snapToGrid w:val="0"/>
              <w:jc w:val="center"/>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期环</w:t>
            </w:r>
          </w:p>
          <w:p>
            <w:pPr>
              <w:adjustRightInd w:val="0"/>
              <w:snapToGrid w:val="0"/>
              <w:jc w:val="center"/>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境影</w:t>
            </w:r>
          </w:p>
          <w:p>
            <w:pPr>
              <w:adjustRightInd w:val="0"/>
              <w:snapToGrid w:val="0"/>
              <w:jc w:val="center"/>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响和</w:t>
            </w:r>
          </w:p>
          <w:p>
            <w:pPr>
              <w:adjustRightInd w:val="0"/>
              <w:snapToGrid w:val="0"/>
              <w:jc w:val="center"/>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保护</w:t>
            </w:r>
          </w:p>
          <w:p>
            <w:pPr>
              <w:adjustRightInd w:val="0"/>
              <w:snapToGrid w:val="0"/>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14:textFill>
                  <w14:solidFill>
                    <w14:schemeClr w14:val="tx1"/>
                  </w14:solidFill>
                </w14:textFill>
              </w:rPr>
              <w:t>措施</w:t>
            </w:r>
          </w:p>
        </w:tc>
        <w:tc>
          <w:tcPr>
            <w:tcW w:w="8145" w:type="dxa"/>
            <w:noWrap/>
            <w:vAlign w:val="center"/>
          </w:tcPr>
          <w:p>
            <w:pPr>
              <w:pStyle w:val="7"/>
              <w:numPr>
                <w:ilvl w:val="0"/>
                <w:numId w:val="0"/>
              </w:numPr>
              <w:ind w:firstLine="482" w:firstLineChars="200"/>
              <w:rPr>
                <w:rFonts w:hint="eastAsia"/>
                <w:b/>
                <w:bCs/>
                <w:color w:val="auto"/>
                <w:lang w:val="en-US" w:eastAsia="zh-CN"/>
              </w:rPr>
            </w:pPr>
            <w:r>
              <w:rPr>
                <w:rFonts w:hint="eastAsia" w:ascii="Times New Roman" w:hAnsi="Times New Roman" w:eastAsia="宋体" w:cs="Times New Roman"/>
                <w:b/>
                <w:bCs/>
                <w:color w:val="auto"/>
                <w:kern w:val="2"/>
                <w:sz w:val="24"/>
                <w:szCs w:val="24"/>
                <w:lang w:val="en-US" w:eastAsia="zh-CN" w:bidi="ar-SA"/>
              </w:rPr>
              <w:t>一、</w:t>
            </w:r>
            <w:r>
              <w:rPr>
                <w:rFonts w:hint="eastAsia"/>
                <w:b/>
                <w:bCs/>
                <w:color w:val="auto"/>
                <w:lang w:val="en-US" w:eastAsia="zh-CN"/>
              </w:rPr>
              <w:t>废气</w:t>
            </w:r>
          </w:p>
          <w:p>
            <w:pPr>
              <w:pStyle w:val="8"/>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jc w:val="both"/>
              <w:textAlignment w:val="auto"/>
              <w:rPr>
                <w:rFonts w:hint="eastAsia"/>
                <w:b/>
                <w:bCs/>
                <w:color w:val="auto"/>
                <w:u w:val="single"/>
                <w:lang w:val="en-US" w:eastAsia="zh-CN"/>
              </w:rPr>
            </w:pPr>
            <w:r>
              <w:rPr>
                <w:rFonts w:hint="eastAsia" w:ascii="Times New Roman" w:hAnsi="Times New Roman" w:eastAsia="宋体" w:cs="Times New Roman"/>
                <w:b/>
                <w:bCs/>
                <w:color w:val="auto"/>
                <w:kern w:val="2"/>
                <w:sz w:val="24"/>
                <w:szCs w:val="24"/>
                <w:u w:val="single"/>
                <w:lang w:val="en-US" w:eastAsia="zh-CN" w:bidi="ar-SA"/>
              </w:rPr>
              <w:t>1</w:t>
            </w:r>
            <w:r>
              <w:rPr>
                <w:rFonts w:hint="eastAsia" w:cs="Times New Roman"/>
                <w:b/>
                <w:bCs/>
                <w:color w:val="auto"/>
                <w:kern w:val="2"/>
                <w:sz w:val="24"/>
                <w:szCs w:val="24"/>
                <w:u w:val="single"/>
                <w:lang w:val="en-US" w:eastAsia="zh-CN" w:bidi="ar-SA"/>
              </w:rPr>
              <w:t>、</w:t>
            </w:r>
            <w:r>
              <w:rPr>
                <w:rFonts w:hint="eastAsia"/>
                <w:b/>
                <w:bCs/>
                <w:color w:val="auto"/>
                <w:u w:val="single"/>
                <w:lang w:val="en-US" w:eastAsia="zh-CN"/>
              </w:rPr>
              <w:t>废气污染源情况</w:t>
            </w:r>
          </w:p>
          <w:tbl>
            <w:tblPr>
              <w:tblStyle w:val="32"/>
              <w:tblW w:w="79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605"/>
              <w:gridCol w:w="1051"/>
              <w:gridCol w:w="592"/>
              <w:gridCol w:w="811"/>
              <w:gridCol w:w="426"/>
              <w:gridCol w:w="1051"/>
              <w:gridCol w:w="991"/>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pStyle w:val="48"/>
                    <w:jc w:val="center"/>
                    <w:rPr>
                      <w:rFonts w:hint="default"/>
                      <w:color w:val="auto"/>
                      <w:u w:val="single"/>
                      <w:lang w:val="en-US" w:eastAsia="zh-CN"/>
                    </w:rPr>
                  </w:pPr>
                  <w:r>
                    <w:rPr>
                      <w:rFonts w:hint="eastAsia"/>
                      <w:color w:val="auto"/>
                      <w:u w:val="single"/>
                      <w:lang w:val="en-US" w:eastAsia="zh-CN"/>
                    </w:rPr>
                    <w:t>产排污环节</w:t>
                  </w:r>
                </w:p>
              </w:tc>
              <w:tc>
                <w:tcPr>
                  <w:tcW w:w="426" w:type="dxa"/>
                  <w:vAlign w:val="center"/>
                </w:tcPr>
                <w:p>
                  <w:pPr>
                    <w:pStyle w:val="48"/>
                    <w:jc w:val="center"/>
                    <w:rPr>
                      <w:rFonts w:hint="default"/>
                      <w:color w:val="auto"/>
                      <w:u w:val="single"/>
                      <w:lang w:val="en-US" w:eastAsia="zh-CN"/>
                    </w:rPr>
                  </w:pPr>
                  <w:r>
                    <w:rPr>
                      <w:rFonts w:hint="eastAsia"/>
                      <w:color w:val="auto"/>
                      <w:u w:val="single"/>
                      <w:lang w:val="en-US" w:eastAsia="zh-CN"/>
                    </w:rPr>
                    <w:t>排放形式</w:t>
                  </w:r>
                </w:p>
              </w:tc>
              <w:tc>
                <w:tcPr>
                  <w:tcW w:w="605" w:type="dxa"/>
                  <w:vAlign w:val="center"/>
                </w:tcPr>
                <w:p>
                  <w:pPr>
                    <w:pStyle w:val="48"/>
                    <w:jc w:val="center"/>
                    <w:rPr>
                      <w:rFonts w:hint="default"/>
                      <w:color w:val="auto"/>
                      <w:u w:val="single"/>
                      <w:lang w:val="en-US" w:eastAsia="zh-CN"/>
                    </w:rPr>
                  </w:pPr>
                  <w:r>
                    <w:rPr>
                      <w:rFonts w:hint="eastAsia"/>
                      <w:color w:val="auto"/>
                      <w:u w:val="single"/>
                      <w:lang w:val="en-US" w:eastAsia="zh-CN"/>
                    </w:rPr>
                    <w:t>污染物种类</w:t>
                  </w:r>
                </w:p>
              </w:tc>
              <w:tc>
                <w:tcPr>
                  <w:tcW w:w="1051" w:type="dxa"/>
                  <w:vAlign w:val="center"/>
                </w:tcPr>
                <w:p>
                  <w:pPr>
                    <w:pStyle w:val="48"/>
                    <w:jc w:val="center"/>
                    <w:rPr>
                      <w:rFonts w:hint="default"/>
                      <w:color w:val="auto"/>
                      <w:u w:val="single"/>
                      <w:lang w:val="en-US" w:eastAsia="zh-CN"/>
                    </w:rPr>
                  </w:pPr>
                  <w:r>
                    <w:rPr>
                      <w:rFonts w:hint="eastAsia"/>
                      <w:color w:val="auto"/>
                      <w:u w:val="single"/>
                      <w:lang w:val="en-US" w:eastAsia="zh-CN"/>
                    </w:rPr>
                    <w:t>污染物产生量</w:t>
                  </w:r>
                </w:p>
              </w:tc>
              <w:tc>
                <w:tcPr>
                  <w:tcW w:w="638" w:type="dxa"/>
                  <w:vAlign w:val="center"/>
                </w:tcPr>
                <w:p>
                  <w:pPr>
                    <w:pStyle w:val="48"/>
                    <w:jc w:val="center"/>
                    <w:rPr>
                      <w:rFonts w:hint="default"/>
                      <w:color w:val="auto"/>
                      <w:u w:val="single"/>
                      <w:lang w:val="en-US" w:eastAsia="zh-CN"/>
                    </w:rPr>
                  </w:pPr>
                  <w:r>
                    <w:rPr>
                      <w:rFonts w:hint="eastAsia"/>
                      <w:color w:val="auto"/>
                      <w:u w:val="single"/>
                      <w:lang w:val="en-US" w:eastAsia="zh-CN"/>
                    </w:rPr>
                    <w:t>处理工艺</w:t>
                  </w:r>
                </w:p>
              </w:tc>
              <w:tc>
                <w:tcPr>
                  <w:tcW w:w="711" w:type="dxa"/>
                  <w:vAlign w:val="center"/>
                </w:tcPr>
                <w:p>
                  <w:pPr>
                    <w:pStyle w:val="48"/>
                    <w:jc w:val="center"/>
                    <w:rPr>
                      <w:rFonts w:hint="default"/>
                      <w:color w:val="auto"/>
                      <w:u w:val="single"/>
                      <w:lang w:val="en-US" w:eastAsia="zh-CN"/>
                    </w:rPr>
                  </w:pPr>
                  <w:r>
                    <w:rPr>
                      <w:rFonts w:hint="eastAsia"/>
                      <w:color w:val="auto"/>
                      <w:u w:val="single"/>
                      <w:lang w:val="en-US" w:eastAsia="zh-CN"/>
                    </w:rPr>
                    <w:t>去除效率（%）</w:t>
                  </w:r>
                </w:p>
              </w:tc>
              <w:tc>
                <w:tcPr>
                  <w:tcW w:w="426" w:type="dxa"/>
                  <w:vAlign w:val="center"/>
                </w:tcPr>
                <w:p>
                  <w:pPr>
                    <w:pStyle w:val="48"/>
                    <w:jc w:val="center"/>
                    <w:rPr>
                      <w:rFonts w:hint="default"/>
                      <w:color w:val="auto"/>
                      <w:u w:val="single"/>
                      <w:lang w:val="en-US" w:eastAsia="zh-CN"/>
                    </w:rPr>
                  </w:pPr>
                  <w:r>
                    <w:rPr>
                      <w:rFonts w:hint="eastAsia"/>
                      <w:color w:val="auto"/>
                      <w:u w:val="single"/>
                      <w:lang w:val="en-US" w:eastAsia="zh-CN"/>
                    </w:rPr>
                    <w:t>是否可行技术</w:t>
                  </w:r>
                </w:p>
              </w:tc>
              <w:tc>
                <w:tcPr>
                  <w:tcW w:w="1051" w:type="dxa"/>
                  <w:vAlign w:val="center"/>
                </w:tcPr>
                <w:p>
                  <w:pPr>
                    <w:pStyle w:val="48"/>
                    <w:jc w:val="center"/>
                    <w:rPr>
                      <w:rFonts w:hint="default"/>
                      <w:color w:val="auto"/>
                      <w:u w:val="single"/>
                      <w:lang w:val="en-US" w:eastAsia="zh-CN"/>
                    </w:rPr>
                  </w:pPr>
                  <w:r>
                    <w:rPr>
                      <w:rFonts w:hint="eastAsia"/>
                      <w:color w:val="auto"/>
                      <w:u w:val="single"/>
                      <w:lang w:val="en-US" w:eastAsia="zh-CN"/>
                    </w:rPr>
                    <w:t>污染物排放量</w:t>
                  </w:r>
                </w:p>
              </w:tc>
              <w:tc>
                <w:tcPr>
                  <w:tcW w:w="1045" w:type="dxa"/>
                  <w:vAlign w:val="center"/>
                </w:tcPr>
                <w:p>
                  <w:pPr>
                    <w:pStyle w:val="48"/>
                    <w:jc w:val="center"/>
                    <w:rPr>
                      <w:rFonts w:hint="default"/>
                      <w:color w:val="auto"/>
                      <w:u w:val="single"/>
                      <w:lang w:val="en-US" w:eastAsia="zh-CN"/>
                    </w:rPr>
                  </w:pPr>
                  <w:r>
                    <w:rPr>
                      <w:rFonts w:hint="eastAsia"/>
                      <w:color w:val="auto"/>
                      <w:u w:val="single"/>
                      <w:lang w:val="en-US" w:eastAsia="zh-CN"/>
                    </w:rPr>
                    <w:t>排放速率</w:t>
                  </w:r>
                </w:p>
              </w:tc>
              <w:tc>
                <w:tcPr>
                  <w:tcW w:w="775" w:type="dxa"/>
                  <w:vAlign w:val="center"/>
                </w:tcPr>
                <w:p>
                  <w:pPr>
                    <w:pStyle w:val="48"/>
                    <w:jc w:val="center"/>
                    <w:rPr>
                      <w:rFonts w:hint="default"/>
                      <w:color w:val="auto"/>
                      <w:u w:val="single"/>
                      <w:lang w:val="en-US" w:eastAsia="zh-CN"/>
                    </w:rPr>
                  </w:pPr>
                  <w:r>
                    <w:rPr>
                      <w:rFonts w:hint="eastAsia"/>
                      <w:color w:val="auto"/>
                      <w:u w:val="single"/>
                      <w:lang w:val="en-US" w:eastAsia="zh-CN"/>
                    </w:rPr>
                    <w:t>排放浓度</w:t>
                  </w:r>
                  <w:r>
                    <w:rPr>
                      <w:rFonts w:hint="default"/>
                      <w:color w:val="auto"/>
                      <w:u w:val="single"/>
                      <w:lang w:val="en-US" w:eastAsia="zh-CN"/>
                    </w:rPr>
                    <w:t>mg/m</w:t>
                  </w:r>
                  <w:r>
                    <w:rPr>
                      <w:rFonts w:hint="default"/>
                      <w:color w:val="auto"/>
                      <w:u w:val="single"/>
                      <w:vertAlign w:val="superscript"/>
                      <w:lang w:val="en-US" w:eastAsia="zh-CN"/>
                    </w:rPr>
                    <w:t>3</w:t>
                  </w:r>
                </w:p>
              </w:tc>
              <w:tc>
                <w:tcPr>
                  <w:tcW w:w="775" w:type="dxa"/>
                  <w:vAlign w:val="center"/>
                </w:tcPr>
                <w:p>
                  <w:pPr>
                    <w:pStyle w:val="48"/>
                    <w:jc w:val="center"/>
                    <w:rPr>
                      <w:rFonts w:hint="default"/>
                      <w:color w:val="auto"/>
                      <w:u w:val="single"/>
                      <w:lang w:val="en-US" w:eastAsia="zh-CN"/>
                    </w:rPr>
                  </w:pPr>
                  <w:r>
                    <w:rPr>
                      <w:rFonts w:hint="eastAsia"/>
                      <w:color w:val="auto"/>
                      <w:u w:val="single"/>
                      <w:lang w:val="en-US" w:eastAsia="zh-CN"/>
                    </w:rPr>
                    <w:t>排放标准</w:t>
                  </w:r>
                  <w:r>
                    <w:rPr>
                      <w:rFonts w:hint="default"/>
                      <w:color w:val="auto"/>
                      <w:u w:val="single"/>
                      <w:lang w:val="en-US" w:eastAsia="zh-CN"/>
                    </w:rPr>
                    <w:t>mg/m</w:t>
                  </w:r>
                  <w:r>
                    <w:rPr>
                      <w:rFonts w:hint="default"/>
                      <w:color w:val="auto"/>
                      <w:u w:val="singl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pPr>
                    <w:pStyle w:val="48"/>
                    <w:jc w:val="center"/>
                    <w:rPr>
                      <w:rFonts w:hint="default"/>
                      <w:color w:val="auto"/>
                      <w:u w:val="single"/>
                      <w:lang w:val="en-US" w:eastAsia="zh-CN"/>
                    </w:rPr>
                  </w:pPr>
                  <w:r>
                    <w:rPr>
                      <w:rFonts w:hint="eastAsia"/>
                      <w:color w:val="auto"/>
                      <w:u w:val="single"/>
                      <w:lang w:val="en-US" w:eastAsia="zh-CN"/>
                    </w:rPr>
                    <w:t>污水处理站</w:t>
                  </w:r>
                </w:p>
              </w:tc>
              <w:tc>
                <w:tcPr>
                  <w:tcW w:w="426" w:type="dxa"/>
                  <w:vMerge w:val="restart"/>
                  <w:vAlign w:val="center"/>
                </w:tcPr>
                <w:p>
                  <w:pPr>
                    <w:pStyle w:val="48"/>
                    <w:jc w:val="center"/>
                    <w:rPr>
                      <w:rFonts w:hint="default"/>
                      <w:color w:val="auto"/>
                      <w:u w:val="single"/>
                      <w:lang w:val="en-US" w:eastAsia="zh-CN"/>
                    </w:rPr>
                  </w:pPr>
                  <w:r>
                    <w:rPr>
                      <w:rFonts w:hint="eastAsia"/>
                      <w:color w:val="auto"/>
                      <w:u w:val="single"/>
                      <w:lang w:val="en-US" w:eastAsia="zh-CN"/>
                    </w:rPr>
                    <w:t>无组织</w:t>
                  </w:r>
                </w:p>
              </w:tc>
              <w:tc>
                <w:tcPr>
                  <w:tcW w:w="605" w:type="dxa"/>
                  <w:vAlign w:val="center"/>
                </w:tcPr>
                <w:p>
                  <w:pPr>
                    <w:pStyle w:val="48"/>
                    <w:jc w:val="center"/>
                    <w:rPr>
                      <w:rFonts w:hint="default"/>
                      <w:color w:val="auto"/>
                      <w:u w:val="single"/>
                      <w:lang w:val="en-US" w:eastAsia="zh-CN"/>
                    </w:rPr>
                  </w:pPr>
                  <w:r>
                    <w:rPr>
                      <w:rFonts w:hint="eastAsia"/>
                      <w:color w:val="auto"/>
                      <w:u w:val="single"/>
                      <w:lang w:val="en-US" w:eastAsia="zh-CN"/>
                    </w:rPr>
                    <w:t>氨</w:t>
                  </w:r>
                </w:p>
              </w:tc>
              <w:tc>
                <w:tcPr>
                  <w:tcW w:w="1051" w:type="dxa"/>
                  <w:vAlign w:val="center"/>
                </w:tcPr>
                <w:p>
                  <w:pPr>
                    <w:pStyle w:val="48"/>
                    <w:jc w:val="center"/>
                    <w:rPr>
                      <w:rFonts w:hint="default"/>
                      <w:color w:val="auto"/>
                      <w:u w:val="single"/>
                      <w:lang w:val="en-US" w:eastAsia="zh-CN"/>
                    </w:rPr>
                  </w:pPr>
                  <w:r>
                    <w:rPr>
                      <w:rFonts w:hint="default"/>
                      <w:color w:val="auto"/>
                      <w:u w:val="single"/>
                      <w:lang w:val="en-US" w:eastAsia="zh-CN"/>
                    </w:rPr>
                    <w:t>0.00</w:t>
                  </w:r>
                  <w:r>
                    <w:rPr>
                      <w:rFonts w:hint="eastAsia"/>
                      <w:color w:val="auto"/>
                      <w:u w:val="single"/>
                      <w:lang w:val="en-US" w:eastAsia="zh-CN"/>
                    </w:rPr>
                    <w:t>16</w:t>
                  </w:r>
                </w:p>
                <w:p>
                  <w:pPr>
                    <w:pStyle w:val="48"/>
                    <w:jc w:val="center"/>
                    <w:rPr>
                      <w:rFonts w:hint="default"/>
                      <w:u w:val="single"/>
                      <w:lang w:val="en-US" w:eastAsia="zh-CN"/>
                    </w:rPr>
                  </w:pPr>
                  <w:r>
                    <w:rPr>
                      <w:rFonts w:hint="eastAsia"/>
                      <w:color w:val="auto"/>
                      <w:u w:val="single"/>
                      <w:lang w:val="en-US" w:eastAsia="zh-CN"/>
                    </w:rPr>
                    <w:t>t/a</w:t>
                  </w:r>
                </w:p>
              </w:tc>
              <w:tc>
                <w:tcPr>
                  <w:tcW w:w="638" w:type="dxa"/>
                  <w:vMerge w:val="restart"/>
                  <w:vAlign w:val="center"/>
                </w:tcPr>
                <w:p>
                  <w:pPr>
                    <w:pStyle w:val="48"/>
                    <w:jc w:val="center"/>
                    <w:rPr>
                      <w:rFonts w:hint="default"/>
                      <w:color w:val="auto"/>
                      <w:u w:val="single"/>
                      <w:lang w:val="en-US" w:eastAsia="zh-CN"/>
                    </w:rPr>
                  </w:pPr>
                  <w:r>
                    <w:rPr>
                      <w:rFonts w:hint="default"/>
                      <w:color w:val="auto"/>
                      <w:u w:val="single"/>
                      <w:lang w:val="en-US" w:eastAsia="zh-CN"/>
                    </w:rPr>
                    <w:t>污水处理站加盖密闭+除臭装置等</w:t>
                  </w:r>
                </w:p>
              </w:tc>
              <w:tc>
                <w:tcPr>
                  <w:tcW w:w="711" w:type="dxa"/>
                  <w:vMerge w:val="restart"/>
                  <w:vAlign w:val="center"/>
                </w:tcPr>
                <w:p>
                  <w:pPr>
                    <w:pStyle w:val="48"/>
                    <w:jc w:val="center"/>
                    <w:rPr>
                      <w:rFonts w:hint="default"/>
                      <w:color w:val="auto"/>
                      <w:u w:val="single"/>
                      <w:lang w:val="en-US" w:eastAsia="zh-CN"/>
                    </w:rPr>
                  </w:pPr>
                  <w:r>
                    <w:rPr>
                      <w:rFonts w:hint="eastAsia"/>
                      <w:color w:val="auto"/>
                      <w:u w:val="single"/>
                      <w:lang w:val="en-US" w:eastAsia="zh-CN"/>
                    </w:rPr>
                    <w:t>50</w:t>
                  </w:r>
                </w:p>
              </w:tc>
              <w:tc>
                <w:tcPr>
                  <w:tcW w:w="426" w:type="dxa"/>
                  <w:vMerge w:val="restart"/>
                  <w:vAlign w:val="center"/>
                </w:tcPr>
                <w:p>
                  <w:pPr>
                    <w:pStyle w:val="48"/>
                    <w:jc w:val="center"/>
                    <w:rPr>
                      <w:rFonts w:hint="default"/>
                      <w:color w:val="auto"/>
                      <w:u w:val="single"/>
                      <w:lang w:val="en-US" w:eastAsia="zh-CN"/>
                    </w:rPr>
                  </w:pPr>
                  <w:r>
                    <w:rPr>
                      <w:rFonts w:hint="eastAsia"/>
                      <w:color w:val="auto"/>
                      <w:u w:val="single"/>
                      <w:lang w:val="en-US" w:eastAsia="zh-CN"/>
                    </w:rPr>
                    <w:t>是</w:t>
                  </w:r>
                </w:p>
              </w:tc>
              <w:tc>
                <w:tcPr>
                  <w:tcW w:w="1051" w:type="dxa"/>
                  <w:vAlign w:val="center"/>
                </w:tcPr>
                <w:p>
                  <w:pPr>
                    <w:pStyle w:val="48"/>
                    <w:jc w:val="center"/>
                    <w:rPr>
                      <w:rFonts w:hint="default"/>
                      <w:color w:val="auto"/>
                      <w:u w:val="single"/>
                      <w:lang w:val="en-US" w:eastAsia="zh-CN"/>
                    </w:rPr>
                  </w:pPr>
                  <w:r>
                    <w:rPr>
                      <w:rFonts w:hint="eastAsia"/>
                      <w:color w:val="auto"/>
                      <w:u w:val="single"/>
                      <w:lang w:val="en-US" w:eastAsia="zh-CN"/>
                    </w:rPr>
                    <w:t>0.00081</w:t>
                  </w:r>
                </w:p>
              </w:tc>
              <w:tc>
                <w:tcPr>
                  <w:tcW w:w="1045" w:type="dxa"/>
                  <w:vAlign w:val="center"/>
                </w:tcPr>
                <w:p>
                  <w:pPr>
                    <w:jc w:val="center"/>
                    <w:rPr>
                      <w:rFonts w:hint="default"/>
                      <w:color w:val="auto"/>
                      <w:u w:val="single"/>
                      <w:lang w:val="en-US" w:eastAsia="zh-CN"/>
                    </w:rPr>
                  </w:pPr>
                  <w:r>
                    <w:rPr>
                      <w:rFonts w:hint="eastAsia"/>
                      <w:color w:val="auto"/>
                      <w:u w:val="single"/>
                      <w:lang w:val="en-US" w:eastAsia="zh-CN"/>
                    </w:rPr>
                    <w:t>/</w:t>
                  </w:r>
                </w:p>
              </w:tc>
              <w:tc>
                <w:tcPr>
                  <w:tcW w:w="775" w:type="dxa"/>
                  <w:vAlign w:val="center"/>
                </w:tcPr>
                <w:p>
                  <w:pPr>
                    <w:jc w:val="center"/>
                    <w:rPr>
                      <w:rFonts w:hint="default"/>
                      <w:color w:val="auto"/>
                      <w:u w:val="single"/>
                      <w:lang w:val="en-US" w:eastAsia="zh-CN"/>
                    </w:rPr>
                  </w:pPr>
                  <w:r>
                    <w:rPr>
                      <w:rFonts w:hint="eastAsia"/>
                      <w:color w:val="auto"/>
                      <w:u w:val="single"/>
                      <w:lang w:val="en-US" w:eastAsia="zh-CN"/>
                    </w:rPr>
                    <w:t>/</w:t>
                  </w:r>
                </w:p>
              </w:tc>
              <w:tc>
                <w:tcPr>
                  <w:tcW w:w="775" w:type="dxa"/>
                  <w:vAlign w:val="center"/>
                </w:tcPr>
                <w:p>
                  <w:pPr>
                    <w:pStyle w:val="48"/>
                    <w:jc w:val="center"/>
                    <w:rPr>
                      <w:rFonts w:hint="default"/>
                      <w:color w:val="auto"/>
                      <w:u w:val="single"/>
                      <w:lang w:val="en-US" w:eastAsia="zh-CN"/>
                    </w:rPr>
                  </w:pPr>
                  <w:r>
                    <w:rPr>
                      <w:rFonts w:hint="eastAsia"/>
                      <w:color w:val="auto"/>
                      <w:u w:val="singl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48"/>
                    <w:jc w:val="center"/>
                    <w:rPr>
                      <w:rFonts w:hint="default"/>
                      <w:color w:val="auto"/>
                      <w:u w:val="single"/>
                      <w:lang w:val="en-US" w:eastAsia="zh-CN"/>
                    </w:rPr>
                  </w:pPr>
                </w:p>
              </w:tc>
              <w:tc>
                <w:tcPr>
                  <w:tcW w:w="426" w:type="dxa"/>
                  <w:vMerge w:val="continue"/>
                  <w:vAlign w:val="center"/>
                </w:tcPr>
                <w:p>
                  <w:pPr>
                    <w:pStyle w:val="48"/>
                    <w:jc w:val="center"/>
                    <w:rPr>
                      <w:rFonts w:hint="default"/>
                      <w:color w:val="auto"/>
                      <w:u w:val="single"/>
                      <w:lang w:val="en-US" w:eastAsia="zh-CN"/>
                    </w:rPr>
                  </w:pPr>
                </w:p>
              </w:tc>
              <w:tc>
                <w:tcPr>
                  <w:tcW w:w="605" w:type="dxa"/>
                  <w:vAlign w:val="center"/>
                </w:tcPr>
                <w:p>
                  <w:pPr>
                    <w:pStyle w:val="48"/>
                    <w:jc w:val="center"/>
                    <w:rPr>
                      <w:rFonts w:hint="default"/>
                      <w:color w:val="auto"/>
                      <w:u w:val="single"/>
                      <w:lang w:val="en-US" w:eastAsia="zh-CN"/>
                    </w:rPr>
                  </w:pPr>
                  <w:r>
                    <w:rPr>
                      <w:rFonts w:hint="eastAsia"/>
                      <w:color w:val="auto"/>
                      <w:u w:val="single"/>
                      <w:lang w:val="en-US" w:eastAsia="zh-CN"/>
                    </w:rPr>
                    <w:t>硫化氢</w:t>
                  </w:r>
                </w:p>
              </w:tc>
              <w:tc>
                <w:tcPr>
                  <w:tcW w:w="1051" w:type="dxa"/>
                  <w:vAlign w:val="center"/>
                </w:tcPr>
                <w:p>
                  <w:pPr>
                    <w:pStyle w:val="48"/>
                    <w:jc w:val="center"/>
                    <w:rPr>
                      <w:rFonts w:hint="default"/>
                      <w:color w:val="auto"/>
                      <w:u w:val="single"/>
                      <w:lang w:val="en-US" w:eastAsia="zh-CN"/>
                    </w:rPr>
                  </w:pPr>
                  <w:r>
                    <w:rPr>
                      <w:rFonts w:hint="eastAsia"/>
                      <w:color w:val="auto"/>
                      <w:u w:val="single"/>
                    </w:rPr>
                    <w:t>0.0000</w:t>
                  </w:r>
                  <w:r>
                    <w:rPr>
                      <w:rFonts w:hint="eastAsia"/>
                      <w:color w:val="auto"/>
                      <w:u w:val="single"/>
                      <w:lang w:val="en-US" w:eastAsia="zh-CN"/>
                    </w:rPr>
                    <w:t>62</w:t>
                  </w:r>
                </w:p>
                <w:p>
                  <w:pPr>
                    <w:pStyle w:val="48"/>
                    <w:jc w:val="center"/>
                    <w:rPr>
                      <w:rFonts w:hint="default"/>
                      <w:color w:val="auto"/>
                      <w:u w:val="single"/>
                      <w:lang w:val="en-US" w:eastAsia="zh-CN"/>
                    </w:rPr>
                  </w:pPr>
                  <w:r>
                    <w:rPr>
                      <w:rFonts w:hint="eastAsia"/>
                      <w:color w:val="auto"/>
                      <w:u w:val="single"/>
                      <w:lang w:val="en-US" w:eastAsia="zh-CN"/>
                    </w:rPr>
                    <w:t>t/a</w:t>
                  </w:r>
                </w:p>
              </w:tc>
              <w:tc>
                <w:tcPr>
                  <w:tcW w:w="638" w:type="dxa"/>
                  <w:vMerge w:val="continue"/>
                  <w:vAlign w:val="center"/>
                </w:tcPr>
                <w:p>
                  <w:pPr>
                    <w:pStyle w:val="48"/>
                    <w:jc w:val="center"/>
                    <w:rPr>
                      <w:rFonts w:hint="default"/>
                      <w:color w:val="auto"/>
                      <w:u w:val="single"/>
                      <w:lang w:val="en-US" w:eastAsia="zh-CN"/>
                    </w:rPr>
                  </w:pPr>
                </w:p>
              </w:tc>
              <w:tc>
                <w:tcPr>
                  <w:tcW w:w="711" w:type="dxa"/>
                  <w:vMerge w:val="continue"/>
                  <w:vAlign w:val="center"/>
                </w:tcPr>
                <w:p>
                  <w:pPr>
                    <w:pStyle w:val="48"/>
                    <w:jc w:val="center"/>
                    <w:rPr>
                      <w:rFonts w:hint="default"/>
                      <w:color w:val="auto"/>
                      <w:u w:val="single"/>
                      <w:lang w:val="en-US" w:eastAsia="zh-CN"/>
                    </w:rPr>
                  </w:pPr>
                </w:p>
              </w:tc>
              <w:tc>
                <w:tcPr>
                  <w:tcW w:w="426" w:type="dxa"/>
                  <w:vMerge w:val="continue"/>
                  <w:vAlign w:val="center"/>
                </w:tcPr>
                <w:p>
                  <w:pPr>
                    <w:pStyle w:val="48"/>
                    <w:jc w:val="center"/>
                    <w:rPr>
                      <w:rFonts w:hint="default"/>
                      <w:color w:val="auto"/>
                      <w:u w:val="single"/>
                      <w:lang w:val="en-US" w:eastAsia="zh-CN"/>
                    </w:rPr>
                  </w:pPr>
                </w:p>
              </w:tc>
              <w:tc>
                <w:tcPr>
                  <w:tcW w:w="1051" w:type="dxa"/>
                  <w:vAlign w:val="center"/>
                </w:tcPr>
                <w:p>
                  <w:pPr>
                    <w:pStyle w:val="48"/>
                    <w:jc w:val="center"/>
                    <w:rPr>
                      <w:rFonts w:hint="default"/>
                      <w:color w:val="auto"/>
                      <w:u w:val="single"/>
                      <w:lang w:val="en-US" w:eastAsia="zh-CN"/>
                    </w:rPr>
                  </w:pPr>
                  <w:r>
                    <w:rPr>
                      <w:rFonts w:hint="eastAsia"/>
                      <w:color w:val="auto"/>
                      <w:u w:val="single"/>
                      <w:lang w:val="en-US" w:eastAsia="zh-CN"/>
                    </w:rPr>
                    <w:t>0.000031</w:t>
                  </w:r>
                </w:p>
              </w:tc>
              <w:tc>
                <w:tcPr>
                  <w:tcW w:w="1045" w:type="dxa"/>
                  <w:vAlign w:val="center"/>
                </w:tcPr>
                <w:p>
                  <w:pPr>
                    <w:jc w:val="center"/>
                    <w:rPr>
                      <w:rFonts w:hint="default"/>
                      <w:color w:val="auto"/>
                      <w:u w:val="single"/>
                      <w:lang w:val="en-US" w:eastAsia="zh-CN"/>
                    </w:rPr>
                  </w:pPr>
                  <w:r>
                    <w:rPr>
                      <w:rFonts w:hint="eastAsia"/>
                      <w:color w:val="auto"/>
                      <w:u w:val="single"/>
                      <w:lang w:val="en-US" w:eastAsia="zh-CN"/>
                    </w:rPr>
                    <w:t>/</w:t>
                  </w:r>
                </w:p>
              </w:tc>
              <w:tc>
                <w:tcPr>
                  <w:tcW w:w="775" w:type="dxa"/>
                  <w:vAlign w:val="center"/>
                </w:tcPr>
                <w:p>
                  <w:pPr>
                    <w:jc w:val="center"/>
                    <w:rPr>
                      <w:rFonts w:hint="default"/>
                      <w:color w:val="auto"/>
                      <w:u w:val="single"/>
                      <w:lang w:val="en-US" w:eastAsia="zh-CN"/>
                    </w:rPr>
                  </w:pPr>
                  <w:r>
                    <w:rPr>
                      <w:rFonts w:hint="eastAsia"/>
                      <w:color w:val="auto"/>
                      <w:u w:val="single"/>
                      <w:lang w:val="en-US" w:eastAsia="zh-CN"/>
                    </w:rPr>
                    <w:t>/</w:t>
                  </w:r>
                </w:p>
              </w:tc>
              <w:tc>
                <w:tcPr>
                  <w:tcW w:w="775" w:type="dxa"/>
                  <w:vAlign w:val="center"/>
                </w:tcPr>
                <w:p>
                  <w:pPr>
                    <w:pStyle w:val="48"/>
                    <w:jc w:val="center"/>
                    <w:rPr>
                      <w:rFonts w:hint="default"/>
                      <w:color w:val="auto"/>
                      <w:u w:val="single"/>
                      <w:lang w:val="en-US" w:eastAsia="zh-CN"/>
                    </w:rPr>
                  </w:pPr>
                  <w:r>
                    <w:rPr>
                      <w:rFonts w:hint="eastAsia"/>
                      <w:color w:val="auto"/>
                      <w:u w:val="singl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pPr>
                    <w:pStyle w:val="48"/>
                    <w:jc w:val="center"/>
                    <w:rPr>
                      <w:rFonts w:hint="default"/>
                      <w:color w:val="auto"/>
                      <w:u w:val="single"/>
                      <w:lang w:val="en-US" w:eastAsia="zh-CN"/>
                    </w:rPr>
                  </w:pPr>
                  <w:r>
                    <w:rPr>
                      <w:rFonts w:hint="eastAsia"/>
                      <w:color w:val="auto"/>
                      <w:u w:val="single"/>
                      <w:lang w:val="en-US" w:eastAsia="zh-CN"/>
                    </w:rPr>
                    <w:t>柴油发电机</w:t>
                  </w:r>
                </w:p>
              </w:tc>
              <w:tc>
                <w:tcPr>
                  <w:tcW w:w="426" w:type="dxa"/>
                  <w:vMerge w:val="restart"/>
                  <w:vAlign w:val="center"/>
                </w:tcPr>
                <w:p>
                  <w:pPr>
                    <w:pStyle w:val="48"/>
                    <w:jc w:val="center"/>
                    <w:rPr>
                      <w:rFonts w:hint="default"/>
                      <w:color w:val="auto"/>
                      <w:u w:val="single"/>
                      <w:lang w:val="en-US" w:eastAsia="zh-CN"/>
                    </w:rPr>
                  </w:pPr>
                  <w:r>
                    <w:rPr>
                      <w:rFonts w:hint="eastAsia"/>
                      <w:color w:val="auto"/>
                      <w:u w:val="single"/>
                      <w:lang w:val="en-US" w:eastAsia="zh-CN"/>
                    </w:rPr>
                    <w:t>无组织</w:t>
                  </w:r>
                </w:p>
              </w:tc>
              <w:tc>
                <w:tcPr>
                  <w:tcW w:w="605" w:type="dxa"/>
                  <w:vAlign w:val="center"/>
                </w:tcPr>
                <w:p>
                  <w:pPr>
                    <w:pStyle w:val="48"/>
                    <w:jc w:val="center"/>
                    <w:rPr>
                      <w:rFonts w:hint="default"/>
                      <w:color w:val="auto"/>
                      <w:u w:val="single"/>
                      <w:lang w:val="en-US" w:eastAsia="zh-CN"/>
                    </w:rPr>
                  </w:pPr>
                  <w:r>
                    <w:rPr>
                      <w:rFonts w:hint="default"/>
                      <w:color w:val="auto"/>
                      <w:u w:val="single"/>
                      <w:lang w:val="en-US" w:eastAsia="zh-CN"/>
                    </w:rPr>
                    <w:t>SO</w:t>
                  </w:r>
                  <w:r>
                    <w:rPr>
                      <w:rFonts w:hint="default"/>
                      <w:color w:val="auto"/>
                      <w:u w:val="single"/>
                      <w:vertAlign w:val="subscript"/>
                      <w:lang w:val="en-US" w:eastAsia="zh-CN"/>
                    </w:rPr>
                    <w:t>2</w:t>
                  </w:r>
                </w:p>
              </w:tc>
              <w:tc>
                <w:tcPr>
                  <w:tcW w:w="1051" w:type="dxa"/>
                  <w:vAlign w:val="center"/>
                </w:tcPr>
                <w:p>
                  <w:pPr>
                    <w:pStyle w:val="48"/>
                    <w:jc w:val="center"/>
                    <w:rPr>
                      <w:rFonts w:hint="default"/>
                      <w:color w:val="auto"/>
                      <w:u w:val="single"/>
                      <w:lang w:val="en-US" w:eastAsia="zh-CN"/>
                    </w:rPr>
                  </w:pPr>
                  <w:r>
                    <w:rPr>
                      <w:rFonts w:hint="eastAsia"/>
                      <w:color w:val="auto"/>
                      <w:u w:val="single"/>
                      <w:lang w:val="en-US" w:eastAsia="zh-CN"/>
                    </w:rPr>
                    <w:t>0.192kg/a</w:t>
                  </w:r>
                </w:p>
              </w:tc>
              <w:tc>
                <w:tcPr>
                  <w:tcW w:w="638" w:type="dxa"/>
                  <w:vMerge w:val="restart"/>
                  <w:vAlign w:val="center"/>
                </w:tcPr>
                <w:p>
                  <w:pPr>
                    <w:pStyle w:val="48"/>
                    <w:jc w:val="center"/>
                    <w:rPr>
                      <w:rFonts w:hint="default"/>
                      <w:color w:val="auto"/>
                      <w:u w:val="single"/>
                      <w:lang w:val="en-US" w:eastAsia="zh-CN"/>
                    </w:rPr>
                  </w:pPr>
                  <w:r>
                    <w:rPr>
                      <w:rFonts w:hint="eastAsia"/>
                      <w:color w:val="auto"/>
                      <w:u w:val="single"/>
                      <w:lang w:val="en-US" w:eastAsia="zh-CN"/>
                    </w:rPr>
                    <w:t>加强通风</w:t>
                  </w:r>
                </w:p>
              </w:tc>
              <w:tc>
                <w:tcPr>
                  <w:tcW w:w="711" w:type="dxa"/>
                  <w:vAlign w:val="center"/>
                </w:tcPr>
                <w:p>
                  <w:pPr>
                    <w:keepNext w:val="0"/>
                    <w:keepLines w:val="0"/>
                    <w:widowControl/>
                    <w:suppressLineNumbers w:val="0"/>
                    <w:jc w:val="center"/>
                    <w:rPr>
                      <w:rFonts w:hint="default"/>
                      <w:color w:val="auto"/>
                      <w:u w:val="single"/>
                      <w:lang w:val="en-US" w:eastAsia="zh-CN"/>
                    </w:rPr>
                  </w:pPr>
                  <w:r>
                    <w:rPr>
                      <w:rFonts w:hint="default" w:ascii="Times New Roman" w:hAnsi="Times New Roman" w:eastAsia="宋体" w:cs="Times New Roman"/>
                      <w:color w:val="000000"/>
                      <w:kern w:val="0"/>
                      <w:sz w:val="20"/>
                      <w:szCs w:val="20"/>
                      <w:u w:val="single"/>
                      <w:lang w:val="en-US" w:eastAsia="zh-CN" w:bidi="ar"/>
                    </w:rPr>
                    <w:t>/</w:t>
                  </w:r>
                </w:p>
              </w:tc>
              <w:tc>
                <w:tcPr>
                  <w:tcW w:w="426" w:type="dxa"/>
                  <w:vAlign w:val="center"/>
                </w:tcPr>
                <w:p>
                  <w:pPr>
                    <w:keepNext w:val="0"/>
                    <w:keepLines w:val="0"/>
                    <w:widowControl/>
                    <w:suppressLineNumbers w:val="0"/>
                    <w:jc w:val="center"/>
                    <w:rPr>
                      <w:rFonts w:hint="default"/>
                      <w:color w:val="auto"/>
                      <w:u w:val="single"/>
                      <w:lang w:val="en-US" w:eastAsia="zh-CN"/>
                    </w:rPr>
                  </w:pPr>
                  <w:r>
                    <w:rPr>
                      <w:rFonts w:hint="default" w:ascii="Times New Roman" w:hAnsi="Times New Roman" w:eastAsia="宋体" w:cs="Times New Roman"/>
                      <w:color w:val="000000"/>
                      <w:kern w:val="0"/>
                      <w:sz w:val="20"/>
                      <w:szCs w:val="20"/>
                      <w:u w:val="single"/>
                      <w:lang w:val="en-US" w:eastAsia="zh-CN" w:bidi="ar"/>
                    </w:rPr>
                    <w:t>/</w:t>
                  </w:r>
                </w:p>
              </w:tc>
              <w:tc>
                <w:tcPr>
                  <w:tcW w:w="1051" w:type="dxa"/>
                  <w:vAlign w:val="center"/>
                </w:tcPr>
                <w:p>
                  <w:pPr>
                    <w:pStyle w:val="48"/>
                    <w:jc w:val="center"/>
                    <w:rPr>
                      <w:rFonts w:hint="default"/>
                      <w:color w:val="auto"/>
                      <w:u w:val="single"/>
                      <w:lang w:val="en-US" w:eastAsia="zh-CN"/>
                    </w:rPr>
                  </w:pPr>
                  <w:r>
                    <w:rPr>
                      <w:rFonts w:hint="eastAsia"/>
                      <w:color w:val="auto"/>
                      <w:u w:val="single"/>
                      <w:lang w:val="en-US" w:eastAsia="zh-CN"/>
                    </w:rPr>
                    <w:t>0.192kg/a</w:t>
                  </w:r>
                </w:p>
              </w:tc>
              <w:tc>
                <w:tcPr>
                  <w:tcW w:w="1045" w:type="dxa"/>
                  <w:vAlign w:val="center"/>
                </w:tcPr>
                <w:p>
                  <w:pPr>
                    <w:pStyle w:val="48"/>
                    <w:jc w:val="center"/>
                    <w:rPr>
                      <w:rFonts w:hint="default"/>
                      <w:color w:val="auto"/>
                      <w:u w:val="single"/>
                      <w:lang w:val="en-US" w:eastAsia="zh-CN"/>
                    </w:rPr>
                  </w:pPr>
                  <w:r>
                    <w:rPr>
                      <w:rFonts w:hint="eastAsia"/>
                      <w:color w:val="auto"/>
                      <w:u w:val="single"/>
                      <w:lang w:val="en-US" w:eastAsia="zh-CN"/>
                    </w:rPr>
                    <w:t>0.1277</w:t>
                  </w:r>
                </w:p>
              </w:tc>
              <w:tc>
                <w:tcPr>
                  <w:tcW w:w="775" w:type="dxa"/>
                  <w:vAlign w:val="center"/>
                </w:tcPr>
                <w:p>
                  <w:pPr>
                    <w:pStyle w:val="48"/>
                    <w:jc w:val="center"/>
                    <w:rPr>
                      <w:rFonts w:hint="default"/>
                      <w:color w:val="auto"/>
                      <w:u w:val="single"/>
                      <w:lang w:val="en-US" w:eastAsia="zh-CN"/>
                    </w:rPr>
                  </w:pPr>
                </w:p>
              </w:tc>
              <w:tc>
                <w:tcPr>
                  <w:tcW w:w="775" w:type="dxa"/>
                  <w:vAlign w:val="center"/>
                </w:tcPr>
                <w:p>
                  <w:pPr>
                    <w:pStyle w:val="48"/>
                    <w:jc w:val="center"/>
                    <w:rPr>
                      <w:rFonts w:hint="default"/>
                      <w:color w:val="auto"/>
                      <w:u w:val="single"/>
                      <w:lang w:val="en-US" w:eastAsia="zh-CN"/>
                    </w:rPr>
                  </w:pPr>
                  <w:r>
                    <w:rPr>
                      <w:rFonts w:hint="eastAsia"/>
                      <w:color w:val="auto"/>
                      <w:u w:val="single"/>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48"/>
                    <w:jc w:val="center"/>
                    <w:rPr>
                      <w:rFonts w:hint="eastAsia"/>
                      <w:color w:val="auto"/>
                      <w:u w:val="single"/>
                      <w:lang w:val="en-US" w:eastAsia="zh-CN"/>
                    </w:rPr>
                  </w:pPr>
                </w:p>
              </w:tc>
              <w:tc>
                <w:tcPr>
                  <w:tcW w:w="426" w:type="dxa"/>
                  <w:vMerge w:val="continue"/>
                  <w:vAlign w:val="center"/>
                </w:tcPr>
                <w:p>
                  <w:pPr>
                    <w:pStyle w:val="48"/>
                    <w:jc w:val="center"/>
                    <w:rPr>
                      <w:rFonts w:hint="eastAsia"/>
                      <w:color w:val="auto"/>
                      <w:u w:val="single"/>
                      <w:lang w:val="en-US" w:eastAsia="zh-CN"/>
                    </w:rPr>
                  </w:pPr>
                </w:p>
              </w:tc>
              <w:tc>
                <w:tcPr>
                  <w:tcW w:w="605" w:type="dxa"/>
                  <w:vAlign w:val="center"/>
                </w:tcPr>
                <w:p>
                  <w:pPr>
                    <w:keepNext w:val="0"/>
                    <w:keepLines w:val="0"/>
                    <w:widowControl/>
                    <w:suppressLineNumbers w:val="0"/>
                    <w:jc w:val="center"/>
                    <w:rPr>
                      <w:u w:val="single"/>
                    </w:rPr>
                  </w:pPr>
                  <w:r>
                    <w:rPr>
                      <w:rFonts w:hint="default" w:ascii="Times New Roman" w:hAnsi="Times New Roman" w:eastAsia="宋体" w:cs="Times New Roman"/>
                      <w:color w:val="000000"/>
                      <w:kern w:val="0"/>
                      <w:sz w:val="20"/>
                      <w:szCs w:val="20"/>
                      <w:u w:val="single"/>
                      <w:lang w:val="en-US" w:eastAsia="zh-CN" w:bidi="ar"/>
                    </w:rPr>
                    <w:t>NOx</w:t>
                  </w:r>
                </w:p>
                <w:p>
                  <w:pPr>
                    <w:pStyle w:val="48"/>
                    <w:jc w:val="center"/>
                    <w:rPr>
                      <w:rFonts w:hint="default"/>
                      <w:color w:val="auto"/>
                      <w:u w:val="single"/>
                      <w:lang w:val="en-US" w:eastAsia="zh-CN"/>
                    </w:rPr>
                  </w:pPr>
                </w:p>
              </w:tc>
              <w:tc>
                <w:tcPr>
                  <w:tcW w:w="1051" w:type="dxa"/>
                  <w:vAlign w:val="center"/>
                </w:tcPr>
                <w:p>
                  <w:pPr>
                    <w:pStyle w:val="48"/>
                    <w:jc w:val="center"/>
                    <w:rPr>
                      <w:rFonts w:hint="default"/>
                      <w:color w:val="auto"/>
                      <w:u w:val="single"/>
                      <w:lang w:val="en-US" w:eastAsia="zh-CN"/>
                    </w:rPr>
                  </w:pPr>
                  <w:r>
                    <w:rPr>
                      <w:rFonts w:hint="eastAsia"/>
                      <w:color w:val="auto"/>
                      <w:u w:val="single"/>
                      <w:lang w:val="en-US" w:eastAsia="zh-CN"/>
                    </w:rPr>
                    <w:t>0.799kg/a</w:t>
                  </w:r>
                </w:p>
              </w:tc>
              <w:tc>
                <w:tcPr>
                  <w:tcW w:w="638" w:type="dxa"/>
                  <w:vMerge w:val="continue"/>
                  <w:vAlign w:val="center"/>
                </w:tcPr>
                <w:p>
                  <w:pPr>
                    <w:pStyle w:val="48"/>
                    <w:jc w:val="center"/>
                    <w:rPr>
                      <w:rFonts w:hint="default"/>
                      <w:color w:val="auto"/>
                      <w:u w:val="single"/>
                      <w:lang w:val="en-US" w:eastAsia="zh-CN"/>
                    </w:rPr>
                  </w:pPr>
                </w:p>
              </w:tc>
              <w:tc>
                <w:tcPr>
                  <w:tcW w:w="711" w:type="dxa"/>
                  <w:vAlign w:val="center"/>
                </w:tcPr>
                <w:p>
                  <w:pPr>
                    <w:keepNext w:val="0"/>
                    <w:keepLines w:val="0"/>
                    <w:widowControl/>
                    <w:suppressLineNumbers w:val="0"/>
                    <w:jc w:val="center"/>
                    <w:rPr>
                      <w:rFonts w:hint="default"/>
                      <w:color w:val="auto"/>
                      <w:u w:val="single"/>
                      <w:lang w:val="en-US" w:eastAsia="zh-CN"/>
                    </w:rPr>
                  </w:pPr>
                  <w:r>
                    <w:rPr>
                      <w:rFonts w:hint="default" w:ascii="Times New Roman" w:hAnsi="Times New Roman" w:eastAsia="宋体" w:cs="Times New Roman"/>
                      <w:color w:val="000000"/>
                      <w:kern w:val="0"/>
                      <w:sz w:val="20"/>
                      <w:szCs w:val="20"/>
                      <w:u w:val="single"/>
                      <w:lang w:val="en-US" w:eastAsia="zh-CN" w:bidi="ar"/>
                    </w:rPr>
                    <w:t>/</w:t>
                  </w:r>
                </w:p>
              </w:tc>
              <w:tc>
                <w:tcPr>
                  <w:tcW w:w="426" w:type="dxa"/>
                  <w:vAlign w:val="center"/>
                </w:tcPr>
                <w:p>
                  <w:pPr>
                    <w:keepNext w:val="0"/>
                    <w:keepLines w:val="0"/>
                    <w:widowControl/>
                    <w:suppressLineNumbers w:val="0"/>
                    <w:jc w:val="center"/>
                    <w:rPr>
                      <w:rFonts w:hint="default"/>
                      <w:color w:val="auto"/>
                      <w:u w:val="single"/>
                      <w:lang w:val="en-US" w:eastAsia="zh-CN"/>
                    </w:rPr>
                  </w:pPr>
                  <w:r>
                    <w:rPr>
                      <w:rFonts w:hint="default" w:ascii="Times New Roman" w:hAnsi="Times New Roman" w:eastAsia="宋体" w:cs="Times New Roman"/>
                      <w:color w:val="000000"/>
                      <w:kern w:val="0"/>
                      <w:sz w:val="20"/>
                      <w:szCs w:val="20"/>
                      <w:u w:val="single"/>
                      <w:lang w:val="en-US" w:eastAsia="zh-CN" w:bidi="ar"/>
                    </w:rPr>
                    <w:t>/</w:t>
                  </w:r>
                </w:p>
              </w:tc>
              <w:tc>
                <w:tcPr>
                  <w:tcW w:w="1051" w:type="dxa"/>
                  <w:vAlign w:val="center"/>
                </w:tcPr>
                <w:p>
                  <w:pPr>
                    <w:pStyle w:val="48"/>
                    <w:jc w:val="center"/>
                    <w:rPr>
                      <w:rFonts w:hint="default"/>
                      <w:color w:val="auto"/>
                      <w:u w:val="single"/>
                      <w:lang w:val="en-US" w:eastAsia="zh-CN"/>
                    </w:rPr>
                  </w:pPr>
                  <w:r>
                    <w:rPr>
                      <w:rFonts w:hint="eastAsia"/>
                      <w:color w:val="auto"/>
                      <w:u w:val="single"/>
                      <w:lang w:val="en-US" w:eastAsia="zh-CN"/>
                    </w:rPr>
                    <w:t>0.799kg/a</w:t>
                  </w:r>
                </w:p>
              </w:tc>
              <w:tc>
                <w:tcPr>
                  <w:tcW w:w="1045" w:type="dxa"/>
                  <w:vAlign w:val="center"/>
                </w:tcPr>
                <w:p>
                  <w:pPr>
                    <w:pStyle w:val="48"/>
                    <w:jc w:val="center"/>
                    <w:rPr>
                      <w:rFonts w:hint="default"/>
                      <w:color w:val="auto"/>
                      <w:u w:val="single"/>
                      <w:lang w:val="en-US" w:eastAsia="zh-CN"/>
                    </w:rPr>
                  </w:pPr>
                  <w:r>
                    <w:rPr>
                      <w:rFonts w:hint="eastAsia"/>
                      <w:color w:val="auto"/>
                      <w:u w:val="single"/>
                      <w:lang w:val="en-US" w:eastAsia="zh-CN"/>
                    </w:rPr>
                    <w:t>0.5327</w:t>
                  </w:r>
                </w:p>
              </w:tc>
              <w:tc>
                <w:tcPr>
                  <w:tcW w:w="775" w:type="dxa"/>
                  <w:vAlign w:val="center"/>
                </w:tcPr>
                <w:p>
                  <w:pPr>
                    <w:pStyle w:val="48"/>
                    <w:jc w:val="center"/>
                    <w:rPr>
                      <w:rFonts w:hint="default"/>
                      <w:color w:val="auto"/>
                      <w:u w:val="single"/>
                      <w:lang w:val="en-US" w:eastAsia="zh-CN"/>
                    </w:rPr>
                  </w:pPr>
                </w:p>
              </w:tc>
              <w:tc>
                <w:tcPr>
                  <w:tcW w:w="775" w:type="dxa"/>
                  <w:vAlign w:val="center"/>
                </w:tcPr>
                <w:p>
                  <w:pPr>
                    <w:pStyle w:val="48"/>
                    <w:jc w:val="center"/>
                    <w:rPr>
                      <w:rFonts w:hint="default"/>
                      <w:color w:val="auto"/>
                      <w:u w:val="single"/>
                      <w:lang w:val="en-US" w:eastAsia="zh-CN"/>
                    </w:rPr>
                  </w:pPr>
                  <w:r>
                    <w:rPr>
                      <w:rFonts w:hint="eastAsia"/>
                      <w:color w:val="auto"/>
                      <w:u w:val="single"/>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48"/>
                    <w:jc w:val="center"/>
                    <w:rPr>
                      <w:rFonts w:hint="eastAsia"/>
                      <w:color w:val="auto"/>
                      <w:u w:val="single"/>
                      <w:lang w:val="en-US" w:eastAsia="zh-CN"/>
                    </w:rPr>
                  </w:pPr>
                </w:p>
              </w:tc>
              <w:tc>
                <w:tcPr>
                  <w:tcW w:w="426" w:type="dxa"/>
                  <w:vMerge w:val="continue"/>
                  <w:vAlign w:val="center"/>
                </w:tcPr>
                <w:p>
                  <w:pPr>
                    <w:pStyle w:val="48"/>
                    <w:jc w:val="center"/>
                    <w:rPr>
                      <w:rFonts w:hint="eastAsia"/>
                      <w:color w:val="auto"/>
                      <w:u w:val="single"/>
                      <w:lang w:val="en-US" w:eastAsia="zh-CN"/>
                    </w:rPr>
                  </w:pPr>
                </w:p>
              </w:tc>
              <w:tc>
                <w:tcPr>
                  <w:tcW w:w="605" w:type="dxa"/>
                  <w:vAlign w:val="center"/>
                </w:tcPr>
                <w:p>
                  <w:pPr>
                    <w:pStyle w:val="48"/>
                    <w:jc w:val="center"/>
                    <w:rPr>
                      <w:rFonts w:hint="default"/>
                      <w:color w:val="auto"/>
                      <w:u w:val="single"/>
                      <w:lang w:val="en-US" w:eastAsia="zh-CN"/>
                    </w:rPr>
                  </w:pPr>
                  <w:r>
                    <w:rPr>
                      <w:rFonts w:hint="eastAsia"/>
                      <w:color w:val="auto"/>
                      <w:u w:val="single"/>
                      <w:lang w:val="en-US" w:eastAsia="zh-CN"/>
                    </w:rPr>
                    <w:t>颗粒物</w:t>
                  </w:r>
                </w:p>
              </w:tc>
              <w:tc>
                <w:tcPr>
                  <w:tcW w:w="1051" w:type="dxa"/>
                  <w:vAlign w:val="center"/>
                </w:tcPr>
                <w:p>
                  <w:pPr>
                    <w:pStyle w:val="48"/>
                    <w:jc w:val="center"/>
                    <w:rPr>
                      <w:rFonts w:hint="default"/>
                      <w:color w:val="auto"/>
                      <w:u w:val="single"/>
                      <w:lang w:val="en-US" w:eastAsia="zh-CN"/>
                    </w:rPr>
                  </w:pPr>
                  <w:r>
                    <w:rPr>
                      <w:rFonts w:hint="eastAsia"/>
                      <w:color w:val="auto"/>
                      <w:u w:val="single"/>
                      <w:lang w:val="en-US" w:eastAsia="zh-CN"/>
                    </w:rPr>
                    <w:t>0.085kg/a</w:t>
                  </w:r>
                </w:p>
              </w:tc>
              <w:tc>
                <w:tcPr>
                  <w:tcW w:w="638" w:type="dxa"/>
                  <w:vMerge w:val="continue"/>
                  <w:vAlign w:val="center"/>
                </w:tcPr>
                <w:p>
                  <w:pPr>
                    <w:pStyle w:val="48"/>
                    <w:jc w:val="center"/>
                    <w:rPr>
                      <w:rFonts w:hint="default"/>
                      <w:color w:val="auto"/>
                      <w:u w:val="single"/>
                      <w:lang w:val="en-US" w:eastAsia="zh-CN"/>
                    </w:rPr>
                  </w:pPr>
                </w:p>
              </w:tc>
              <w:tc>
                <w:tcPr>
                  <w:tcW w:w="711" w:type="dxa"/>
                  <w:vAlign w:val="center"/>
                </w:tcPr>
                <w:p>
                  <w:pPr>
                    <w:keepNext w:val="0"/>
                    <w:keepLines w:val="0"/>
                    <w:widowControl/>
                    <w:suppressLineNumbers w:val="0"/>
                    <w:jc w:val="center"/>
                    <w:rPr>
                      <w:rFonts w:hint="default"/>
                      <w:color w:val="auto"/>
                      <w:u w:val="single"/>
                      <w:lang w:val="en-US" w:eastAsia="zh-CN"/>
                    </w:rPr>
                  </w:pPr>
                  <w:r>
                    <w:rPr>
                      <w:rFonts w:hint="default" w:ascii="Times New Roman" w:hAnsi="Times New Roman" w:eastAsia="宋体" w:cs="Times New Roman"/>
                      <w:color w:val="000000"/>
                      <w:kern w:val="0"/>
                      <w:sz w:val="20"/>
                      <w:szCs w:val="20"/>
                      <w:u w:val="single"/>
                      <w:lang w:val="en-US" w:eastAsia="zh-CN" w:bidi="ar"/>
                    </w:rPr>
                    <w:t>/</w:t>
                  </w:r>
                </w:p>
              </w:tc>
              <w:tc>
                <w:tcPr>
                  <w:tcW w:w="426" w:type="dxa"/>
                  <w:vAlign w:val="center"/>
                </w:tcPr>
                <w:p>
                  <w:pPr>
                    <w:keepNext w:val="0"/>
                    <w:keepLines w:val="0"/>
                    <w:widowControl/>
                    <w:suppressLineNumbers w:val="0"/>
                    <w:jc w:val="center"/>
                    <w:rPr>
                      <w:rFonts w:hint="default"/>
                      <w:color w:val="auto"/>
                      <w:u w:val="single"/>
                      <w:lang w:val="en-US" w:eastAsia="zh-CN"/>
                    </w:rPr>
                  </w:pPr>
                  <w:r>
                    <w:rPr>
                      <w:rFonts w:hint="default" w:ascii="Times New Roman" w:hAnsi="Times New Roman" w:eastAsia="宋体" w:cs="Times New Roman"/>
                      <w:color w:val="000000"/>
                      <w:kern w:val="0"/>
                      <w:sz w:val="20"/>
                      <w:szCs w:val="20"/>
                      <w:u w:val="single"/>
                      <w:lang w:val="en-US" w:eastAsia="zh-CN" w:bidi="ar"/>
                    </w:rPr>
                    <w:t>/</w:t>
                  </w:r>
                </w:p>
              </w:tc>
              <w:tc>
                <w:tcPr>
                  <w:tcW w:w="1051" w:type="dxa"/>
                  <w:vAlign w:val="center"/>
                </w:tcPr>
                <w:p>
                  <w:pPr>
                    <w:pStyle w:val="48"/>
                    <w:jc w:val="center"/>
                    <w:rPr>
                      <w:rFonts w:hint="default"/>
                      <w:color w:val="auto"/>
                      <w:u w:val="single"/>
                      <w:lang w:val="en-US" w:eastAsia="zh-CN"/>
                    </w:rPr>
                  </w:pPr>
                  <w:r>
                    <w:rPr>
                      <w:rFonts w:hint="eastAsia"/>
                      <w:color w:val="auto"/>
                      <w:u w:val="single"/>
                      <w:lang w:val="en-US" w:eastAsia="zh-CN"/>
                    </w:rPr>
                    <w:t>0.085kg/a</w:t>
                  </w:r>
                </w:p>
              </w:tc>
              <w:tc>
                <w:tcPr>
                  <w:tcW w:w="1045" w:type="dxa"/>
                  <w:vAlign w:val="center"/>
                </w:tcPr>
                <w:p>
                  <w:pPr>
                    <w:pStyle w:val="48"/>
                    <w:jc w:val="center"/>
                    <w:rPr>
                      <w:rFonts w:hint="default"/>
                      <w:color w:val="auto"/>
                      <w:u w:val="single"/>
                      <w:lang w:val="en-US" w:eastAsia="zh-CN"/>
                    </w:rPr>
                  </w:pPr>
                  <w:r>
                    <w:rPr>
                      <w:rFonts w:hint="eastAsia"/>
                      <w:color w:val="auto"/>
                      <w:u w:val="single"/>
                      <w:lang w:val="en-US" w:eastAsia="zh-CN"/>
                    </w:rPr>
                    <w:t>0.0566</w:t>
                  </w:r>
                </w:p>
              </w:tc>
              <w:tc>
                <w:tcPr>
                  <w:tcW w:w="775" w:type="dxa"/>
                  <w:vAlign w:val="center"/>
                </w:tcPr>
                <w:p>
                  <w:pPr>
                    <w:pStyle w:val="48"/>
                    <w:jc w:val="center"/>
                    <w:rPr>
                      <w:rFonts w:hint="default"/>
                      <w:color w:val="auto"/>
                      <w:u w:val="single"/>
                      <w:lang w:val="en-US" w:eastAsia="zh-CN"/>
                    </w:rPr>
                  </w:pPr>
                </w:p>
              </w:tc>
              <w:tc>
                <w:tcPr>
                  <w:tcW w:w="775" w:type="dxa"/>
                  <w:vAlign w:val="center"/>
                </w:tcPr>
                <w:p>
                  <w:pPr>
                    <w:pStyle w:val="48"/>
                    <w:jc w:val="center"/>
                    <w:rPr>
                      <w:rFonts w:hint="default"/>
                      <w:color w:val="auto"/>
                      <w:u w:val="single"/>
                      <w:lang w:val="en-US" w:eastAsia="zh-CN"/>
                    </w:rPr>
                  </w:pPr>
                  <w:r>
                    <w:rPr>
                      <w:rFonts w:hint="eastAsia"/>
                      <w:color w:val="auto"/>
                      <w:u w:val="single"/>
                      <w:lang w:val="en-US" w:eastAsia="zh-CN"/>
                    </w:rPr>
                    <w:t>1.0</w:t>
                  </w:r>
                </w:p>
              </w:tc>
            </w:tr>
          </w:tbl>
          <w:p>
            <w:pPr>
              <w:keepNext w:val="0"/>
              <w:keepLines w:val="0"/>
              <w:pageBreakBefore w:val="0"/>
              <w:widowControl/>
              <w:suppressLineNumbers w:val="0"/>
              <w:kinsoku/>
              <w:wordWrap/>
              <w:overflowPunct/>
              <w:topLinePunct w:val="0"/>
              <w:autoSpaceDE/>
              <w:autoSpaceDN/>
              <w:bidi w:val="0"/>
              <w:adjustRightInd/>
              <w:snapToGrid/>
              <w:ind w:firstLine="482" w:firstLineChars="200"/>
              <w:jc w:val="both"/>
              <w:textAlignment w:val="auto"/>
              <w:rPr>
                <w:rFonts w:hint="default"/>
                <w:lang w:val="en-US" w:eastAsia="zh-CN"/>
              </w:rPr>
            </w:pPr>
            <w:r>
              <w:rPr>
                <w:rFonts w:hint="default" w:ascii="Times New Roman" w:hAnsi="Times New Roman" w:eastAsia="宋体" w:cs="Times New Roman"/>
                <w:b/>
                <w:bCs/>
                <w:color w:val="000000"/>
                <w:kern w:val="0"/>
                <w:sz w:val="24"/>
                <w:szCs w:val="24"/>
                <w:lang w:val="en-US" w:eastAsia="zh-CN" w:bidi="ar"/>
              </w:rPr>
              <w:t>2</w:t>
            </w:r>
            <w:r>
              <w:rPr>
                <w:rFonts w:hint="eastAsia" w:ascii="宋体" w:hAnsi="宋体" w:cs="宋体"/>
                <w:b/>
                <w:bCs/>
                <w:color w:val="000000"/>
                <w:kern w:val="0"/>
                <w:sz w:val="24"/>
                <w:szCs w:val="24"/>
                <w:lang w:val="en-US" w:eastAsia="zh-CN" w:bidi="ar"/>
              </w:rPr>
              <w:t>、</w:t>
            </w:r>
            <w:r>
              <w:rPr>
                <w:rFonts w:hint="eastAsia" w:ascii="宋体" w:hAnsi="宋体" w:eastAsia="宋体" w:cs="宋体"/>
                <w:b/>
                <w:bCs/>
                <w:color w:val="000000"/>
                <w:kern w:val="0"/>
                <w:sz w:val="24"/>
                <w:szCs w:val="24"/>
                <w:lang w:val="en-US" w:eastAsia="zh-CN" w:bidi="ar"/>
              </w:rPr>
              <w:t>污染源强核算过程</w:t>
            </w:r>
          </w:p>
          <w:p>
            <w:pPr>
              <w:pStyle w:val="7"/>
              <w:ind w:firstLine="480"/>
              <w:rPr>
                <w:color w:val="auto"/>
              </w:rPr>
            </w:pPr>
            <w:r>
              <w:rPr>
                <w:rFonts w:hint="eastAsia"/>
                <w:color w:val="auto"/>
              </w:rPr>
              <w:t>（1）</w:t>
            </w:r>
            <w:r>
              <w:rPr>
                <w:color w:val="auto"/>
                <w:spacing w:val="-6"/>
              </w:rPr>
              <w:t>生活垃圾</w:t>
            </w:r>
            <w:r>
              <w:rPr>
                <w:rFonts w:hint="eastAsia"/>
                <w:color w:val="auto"/>
                <w:spacing w:val="-6"/>
              </w:rPr>
              <w:t>及</w:t>
            </w:r>
            <w:r>
              <w:rPr>
                <w:color w:val="auto"/>
                <w:spacing w:val="-6"/>
              </w:rPr>
              <w:t>医疗废物暂存间和</w:t>
            </w:r>
            <w:r>
              <w:rPr>
                <w:rFonts w:hint="eastAsia"/>
                <w:color w:val="auto"/>
              </w:rPr>
              <w:t>污水处理站</w:t>
            </w:r>
            <w:r>
              <w:rPr>
                <w:color w:val="auto"/>
              </w:rPr>
              <w:t>臭气</w:t>
            </w:r>
          </w:p>
          <w:p>
            <w:pPr>
              <w:pStyle w:val="7"/>
              <w:ind w:firstLine="480"/>
              <w:rPr>
                <w:color w:val="auto"/>
              </w:rPr>
            </w:pPr>
            <w:r>
              <w:rPr>
                <w:color w:val="auto"/>
              </w:rPr>
              <w:t>项目营运期生活垃圾收集、医疗废物暂存间和污水处理站若管理不善，废物未及时处置，易产生恶臭气体。</w:t>
            </w:r>
          </w:p>
          <w:p>
            <w:pPr>
              <w:pStyle w:val="7"/>
              <w:ind w:firstLine="480"/>
              <w:rPr>
                <w:color w:val="auto"/>
              </w:rPr>
            </w:pPr>
            <w:r>
              <w:rPr>
                <w:rFonts w:hint="eastAsia"/>
                <w:color w:val="auto"/>
              </w:rPr>
              <w:t>①</w:t>
            </w:r>
            <w:r>
              <w:rPr>
                <w:color w:val="auto"/>
              </w:rPr>
              <w:t>生活垃圾的收集和医疗废物的收集、运转和暂存过程中，部分易腐败的有机垃圾由于分解时会发散恶臭气体，其主要成分为氨、硫化氢和甲硫醇、三甲胺等脂肪族类物质，为无组织排放；对环境的影响主要表现为恶臭。生活垃圾恶臭气体是多组分、低浓度化学物质形成的混合物，成分和含量均较难确定。据资料调查，预测该项目垃圾站恶臭的主要成分为氨、硫化氢和甲硫醇、三甲胺等脂肪族类物质，主要恶臭物质的恶臭特征见下表。</w:t>
            </w:r>
          </w:p>
          <w:p>
            <w:pPr>
              <w:pStyle w:val="49"/>
              <w:rPr>
                <w:color w:val="auto"/>
              </w:rPr>
            </w:pPr>
            <w:r>
              <w:rPr>
                <w:rFonts w:hint="eastAsia"/>
                <w:color w:val="auto"/>
              </w:rPr>
              <w:t>表4.2-1</w:t>
            </w:r>
            <w:r>
              <w:rPr>
                <w:color w:val="auto"/>
              </w:rPr>
              <w:t>主要恶臭物质的臭气特征</w:t>
            </w:r>
          </w:p>
          <w:tbl>
            <w:tblPr>
              <w:tblStyle w:val="31"/>
              <w:tblW w:w="7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9"/>
              <w:gridCol w:w="2053"/>
              <w:gridCol w:w="1975"/>
              <w:gridCol w:w="2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8"/>
                    <w:rPr>
                      <w:color w:val="auto"/>
                    </w:rPr>
                  </w:pPr>
                  <w:r>
                    <w:rPr>
                      <w:color w:val="auto"/>
                    </w:rPr>
                    <w:t>序号</w:t>
                  </w:r>
                </w:p>
              </w:tc>
              <w:tc>
                <w:tcPr>
                  <w:tcW w:w="2053" w:type="dxa"/>
                  <w:vAlign w:val="center"/>
                </w:tcPr>
                <w:p>
                  <w:pPr>
                    <w:pStyle w:val="48"/>
                    <w:rPr>
                      <w:color w:val="auto"/>
                    </w:rPr>
                  </w:pPr>
                  <w:r>
                    <w:rPr>
                      <w:color w:val="auto"/>
                    </w:rPr>
                    <w:t>恶臭物质</w:t>
                  </w:r>
                </w:p>
              </w:tc>
              <w:tc>
                <w:tcPr>
                  <w:tcW w:w="1975" w:type="dxa"/>
                  <w:vAlign w:val="center"/>
                </w:tcPr>
                <w:p>
                  <w:pPr>
                    <w:pStyle w:val="48"/>
                    <w:rPr>
                      <w:color w:val="auto"/>
                    </w:rPr>
                  </w:pPr>
                  <w:r>
                    <w:rPr>
                      <w:color w:val="auto"/>
                    </w:rPr>
                    <w:t>臭气性质</w:t>
                  </w:r>
                </w:p>
              </w:tc>
              <w:tc>
                <w:tcPr>
                  <w:tcW w:w="2019" w:type="dxa"/>
                  <w:vAlign w:val="center"/>
                </w:tcPr>
                <w:p>
                  <w:pPr>
                    <w:pStyle w:val="48"/>
                    <w:rPr>
                      <w:color w:val="auto"/>
                    </w:rPr>
                  </w:pPr>
                  <w:r>
                    <w:rPr>
                      <w:color w:val="auto"/>
                    </w:rPr>
                    <w:t>嗅阈值（ppm）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8"/>
                    <w:rPr>
                      <w:color w:val="auto"/>
                    </w:rPr>
                  </w:pPr>
                  <w:r>
                    <w:rPr>
                      <w:color w:val="auto"/>
                    </w:rPr>
                    <w:t>1</w:t>
                  </w:r>
                </w:p>
              </w:tc>
              <w:tc>
                <w:tcPr>
                  <w:tcW w:w="2053" w:type="dxa"/>
                  <w:vAlign w:val="center"/>
                </w:tcPr>
                <w:p>
                  <w:pPr>
                    <w:pStyle w:val="48"/>
                    <w:rPr>
                      <w:color w:val="auto"/>
                    </w:rPr>
                  </w:pPr>
                  <w:r>
                    <w:rPr>
                      <w:color w:val="auto"/>
                    </w:rPr>
                    <w:t>硫化氢</w:t>
                  </w:r>
                </w:p>
              </w:tc>
              <w:tc>
                <w:tcPr>
                  <w:tcW w:w="1975" w:type="dxa"/>
                  <w:vAlign w:val="center"/>
                </w:tcPr>
                <w:p>
                  <w:pPr>
                    <w:pStyle w:val="48"/>
                    <w:rPr>
                      <w:color w:val="auto"/>
                    </w:rPr>
                  </w:pPr>
                  <w:r>
                    <w:rPr>
                      <w:color w:val="auto"/>
                    </w:rPr>
                    <w:t>腐烂性蛋臭</w:t>
                  </w:r>
                </w:p>
              </w:tc>
              <w:tc>
                <w:tcPr>
                  <w:tcW w:w="2019" w:type="dxa"/>
                  <w:vAlign w:val="center"/>
                </w:tcPr>
                <w:p>
                  <w:pPr>
                    <w:pStyle w:val="48"/>
                    <w:rPr>
                      <w:color w:val="auto"/>
                    </w:rPr>
                  </w:pPr>
                  <w:r>
                    <w:rPr>
                      <w:color w:val="auto"/>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8"/>
                    <w:rPr>
                      <w:color w:val="auto"/>
                    </w:rPr>
                  </w:pPr>
                  <w:r>
                    <w:rPr>
                      <w:color w:val="auto"/>
                    </w:rPr>
                    <w:t>2</w:t>
                  </w:r>
                </w:p>
              </w:tc>
              <w:tc>
                <w:tcPr>
                  <w:tcW w:w="2053" w:type="dxa"/>
                  <w:vAlign w:val="center"/>
                </w:tcPr>
                <w:p>
                  <w:pPr>
                    <w:pStyle w:val="48"/>
                    <w:rPr>
                      <w:color w:val="auto"/>
                    </w:rPr>
                  </w:pPr>
                  <w:r>
                    <w:rPr>
                      <w:color w:val="auto"/>
                    </w:rPr>
                    <w:t>甲硫醇</w:t>
                  </w:r>
                </w:p>
              </w:tc>
              <w:tc>
                <w:tcPr>
                  <w:tcW w:w="1975" w:type="dxa"/>
                  <w:vAlign w:val="center"/>
                </w:tcPr>
                <w:p>
                  <w:pPr>
                    <w:pStyle w:val="48"/>
                    <w:rPr>
                      <w:color w:val="auto"/>
                    </w:rPr>
                  </w:pPr>
                  <w:r>
                    <w:rPr>
                      <w:color w:val="auto"/>
                    </w:rPr>
                    <w:t>腐烂性洋葱臭</w:t>
                  </w:r>
                </w:p>
              </w:tc>
              <w:tc>
                <w:tcPr>
                  <w:tcW w:w="2019" w:type="dxa"/>
                  <w:vAlign w:val="center"/>
                </w:tcPr>
                <w:p>
                  <w:pPr>
                    <w:pStyle w:val="48"/>
                    <w:rPr>
                      <w:color w:val="auto"/>
                    </w:rPr>
                  </w:pPr>
                  <w:r>
                    <w:rPr>
                      <w:color w:val="auto"/>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8"/>
                    <w:rPr>
                      <w:color w:val="auto"/>
                    </w:rPr>
                  </w:pPr>
                  <w:r>
                    <w:rPr>
                      <w:color w:val="auto"/>
                    </w:rPr>
                    <w:t>3</w:t>
                  </w:r>
                </w:p>
              </w:tc>
              <w:tc>
                <w:tcPr>
                  <w:tcW w:w="2053" w:type="dxa"/>
                  <w:vAlign w:val="center"/>
                </w:tcPr>
                <w:p>
                  <w:pPr>
                    <w:pStyle w:val="48"/>
                    <w:rPr>
                      <w:color w:val="auto"/>
                    </w:rPr>
                  </w:pPr>
                  <w:r>
                    <w:rPr>
                      <w:color w:val="auto"/>
                    </w:rPr>
                    <w:t>甲硫醚</w:t>
                  </w:r>
                </w:p>
              </w:tc>
              <w:tc>
                <w:tcPr>
                  <w:tcW w:w="1975" w:type="dxa"/>
                  <w:vAlign w:val="center"/>
                </w:tcPr>
                <w:p>
                  <w:pPr>
                    <w:pStyle w:val="48"/>
                    <w:rPr>
                      <w:color w:val="auto"/>
                    </w:rPr>
                  </w:pPr>
                  <w:r>
                    <w:rPr>
                      <w:color w:val="auto"/>
                    </w:rPr>
                    <w:t>不愉快气味</w:t>
                  </w:r>
                </w:p>
              </w:tc>
              <w:tc>
                <w:tcPr>
                  <w:tcW w:w="2019" w:type="dxa"/>
                  <w:vAlign w:val="center"/>
                </w:tcPr>
                <w:p>
                  <w:pPr>
                    <w:pStyle w:val="48"/>
                    <w:rPr>
                      <w:color w:val="auto"/>
                    </w:rPr>
                  </w:pPr>
                  <w:r>
                    <w:rPr>
                      <w:color w:val="auto"/>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8"/>
                    <w:rPr>
                      <w:color w:val="auto"/>
                    </w:rPr>
                  </w:pPr>
                  <w:r>
                    <w:rPr>
                      <w:color w:val="auto"/>
                    </w:rPr>
                    <w:t>4</w:t>
                  </w:r>
                </w:p>
              </w:tc>
              <w:tc>
                <w:tcPr>
                  <w:tcW w:w="2053" w:type="dxa"/>
                  <w:vAlign w:val="center"/>
                </w:tcPr>
                <w:p>
                  <w:pPr>
                    <w:pStyle w:val="48"/>
                    <w:rPr>
                      <w:color w:val="auto"/>
                    </w:rPr>
                  </w:pPr>
                  <w:r>
                    <w:rPr>
                      <w:color w:val="auto"/>
                    </w:rPr>
                    <w:t>氨</w:t>
                  </w:r>
                </w:p>
              </w:tc>
              <w:tc>
                <w:tcPr>
                  <w:tcW w:w="1975" w:type="dxa"/>
                  <w:vAlign w:val="center"/>
                </w:tcPr>
                <w:p>
                  <w:pPr>
                    <w:pStyle w:val="48"/>
                    <w:rPr>
                      <w:color w:val="auto"/>
                    </w:rPr>
                  </w:pPr>
                  <w:r>
                    <w:rPr>
                      <w:color w:val="auto"/>
                    </w:rPr>
                    <w:t>特殊的刺激性臭</w:t>
                  </w:r>
                </w:p>
              </w:tc>
              <w:tc>
                <w:tcPr>
                  <w:tcW w:w="2019" w:type="dxa"/>
                  <w:vAlign w:val="center"/>
                </w:tcPr>
                <w:p>
                  <w:pPr>
                    <w:pStyle w:val="48"/>
                    <w:rPr>
                      <w:color w:val="auto"/>
                    </w:rPr>
                  </w:pPr>
                  <w:r>
                    <w:rPr>
                      <w:color w:val="auto"/>
                    </w:rPr>
                    <w:t>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69" w:type="dxa"/>
                  <w:vAlign w:val="center"/>
                </w:tcPr>
                <w:p>
                  <w:pPr>
                    <w:pStyle w:val="48"/>
                    <w:rPr>
                      <w:color w:val="auto"/>
                    </w:rPr>
                  </w:pPr>
                  <w:r>
                    <w:rPr>
                      <w:color w:val="auto"/>
                    </w:rPr>
                    <w:t>5</w:t>
                  </w:r>
                </w:p>
              </w:tc>
              <w:tc>
                <w:tcPr>
                  <w:tcW w:w="2053" w:type="dxa"/>
                  <w:vAlign w:val="center"/>
                </w:tcPr>
                <w:p>
                  <w:pPr>
                    <w:pStyle w:val="48"/>
                    <w:rPr>
                      <w:color w:val="auto"/>
                    </w:rPr>
                  </w:pPr>
                  <w:r>
                    <w:rPr>
                      <w:color w:val="auto"/>
                    </w:rPr>
                    <w:t>三甲基胺</w:t>
                  </w:r>
                </w:p>
              </w:tc>
              <w:tc>
                <w:tcPr>
                  <w:tcW w:w="1975" w:type="dxa"/>
                  <w:vAlign w:val="center"/>
                </w:tcPr>
                <w:p>
                  <w:pPr>
                    <w:pStyle w:val="48"/>
                    <w:rPr>
                      <w:color w:val="auto"/>
                    </w:rPr>
                  </w:pPr>
                  <w:r>
                    <w:rPr>
                      <w:color w:val="auto"/>
                    </w:rPr>
                    <w:t>腐烂性鱼臭</w:t>
                  </w:r>
                </w:p>
              </w:tc>
              <w:tc>
                <w:tcPr>
                  <w:tcW w:w="2019" w:type="dxa"/>
                  <w:vAlign w:val="center"/>
                </w:tcPr>
                <w:p>
                  <w:pPr>
                    <w:pStyle w:val="48"/>
                    <w:rPr>
                      <w:color w:val="auto"/>
                    </w:rPr>
                  </w:pPr>
                  <w:r>
                    <w:rPr>
                      <w:color w:val="auto"/>
                    </w:rPr>
                    <w:t>0.0001</w:t>
                  </w:r>
                </w:p>
              </w:tc>
            </w:tr>
          </w:tbl>
          <w:p>
            <w:pPr>
              <w:pStyle w:val="7"/>
              <w:ind w:firstLine="480"/>
              <w:rPr>
                <w:color w:val="auto"/>
              </w:rPr>
            </w:pPr>
            <w:r>
              <w:rPr>
                <w:rFonts w:hint="eastAsia"/>
                <w:color w:val="auto"/>
              </w:rPr>
              <w:t>②医疗废水</w:t>
            </w:r>
            <w:r>
              <w:rPr>
                <w:color w:val="auto"/>
              </w:rPr>
              <w:t>处理站产生的恶臭气体的成分主要是</w:t>
            </w:r>
            <w:r>
              <w:rPr>
                <w:rFonts w:hint="eastAsia"/>
                <w:color w:val="auto"/>
              </w:rPr>
              <w:t>NH</w:t>
            </w:r>
            <w:r>
              <w:rPr>
                <w:rFonts w:hint="eastAsia"/>
                <w:color w:val="auto"/>
                <w:vertAlign w:val="subscript"/>
              </w:rPr>
              <w:t>3</w:t>
            </w:r>
            <w:r>
              <w:rPr>
                <w:rFonts w:hint="eastAsia"/>
                <w:color w:val="auto"/>
              </w:rPr>
              <w:t>和</w:t>
            </w:r>
            <w:r>
              <w:rPr>
                <w:color w:val="auto"/>
              </w:rPr>
              <w:t>硫化氢。硫化氢气体具有臭鸡蛋味，有一定的刺激性。恶臭气体产生量随污水水质、气温（或水温）以及曝气量的不同而变化。有机污水产生的恶臭量大于一般工业废水，夏秋季较多。</w:t>
            </w:r>
            <w:r>
              <w:rPr>
                <w:rFonts w:hint="eastAsia"/>
                <w:color w:val="auto"/>
              </w:rPr>
              <w:t>本项目医疗废水处理站采用“化粪池+格栅井+调节池+AO工艺+沉淀池+消毒”工艺，恶臭气体产生量较少。</w:t>
            </w:r>
            <w:r>
              <w:rPr>
                <w:color w:val="auto"/>
              </w:rPr>
              <w:t>根据类比，每处理1g</w:t>
            </w:r>
            <w:r>
              <w:rPr>
                <w:rFonts w:hint="eastAsia"/>
                <w:color w:val="auto"/>
                <w:lang w:eastAsia="zh-CN"/>
              </w:rPr>
              <w:t>核实</w:t>
            </w:r>
            <w:r>
              <w:rPr>
                <w:color w:val="auto"/>
              </w:rPr>
              <w:t>的BOD</w:t>
            </w:r>
            <w:r>
              <w:rPr>
                <w:color w:val="auto"/>
                <w:vertAlign w:val="subscript"/>
              </w:rPr>
              <w:t>5</w:t>
            </w:r>
            <w:r>
              <w:rPr>
                <w:color w:val="auto"/>
              </w:rPr>
              <w:t>，可产生0.0031g的NH</w:t>
            </w:r>
            <w:r>
              <w:rPr>
                <w:color w:val="auto"/>
                <w:vertAlign w:val="subscript"/>
              </w:rPr>
              <w:t>3</w:t>
            </w:r>
            <w:r>
              <w:rPr>
                <w:color w:val="auto"/>
              </w:rPr>
              <w:t>和0.00012g的H</w:t>
            </w:r>
            <w:r>
              <w:rPr>
                <w:color w:val="auto"/>
                <w:vertAlign w:val="subscript"/>
              </w:rPr>
              <w:t>2</w:t>
            </w:r>
            <w:r>
              <w:rPr>
                <w:color w:val="auto"/>
              </w:rPr>
              <w:t>S。</w:t>
            </w:r>
            <w:r>
              <w:rPr>
                <w:rFonts w:hint="eastAsia"/>
                <w:color w:val="auto"/>
                <w:u w:val="single"/>
              </w:rPr>
              <w:t>通过现场监测可知，医院BOD</w:t>
            </w:r>
            <w:r>
              <w:rPr>
                <w:rFonts w:hint="eastAsia"/>
                <w:color w:val="auto"/>
                <w:u w:val="single"/>
                <w:vertAlign w:val="subscript"/>
              </w:rPr>
              <w:t>5</w:t>
            </w:r>
            <w:r>
              <w:rPr>
                <w:rFonts w:hint="eastAsia"/>
                <w:color w:val="auto"/>
                <w:u w:val="single"/>
              </w:rPr>
              <w:t>去除率约为</w:t>
            </w:r>
            <w:r>
              <w:rPr>
                <w:rFonts w:hint="eastAsia"/>
                <w:color w:val="auto"/>
                <w:u w:val="single"/>
                <w:lang w:val="en-US" w:eastAsia="zh-CN"/>
              </w:rPr>
              <w:t>50%</w:t>
            </w:r>
            <w:r>
              <w:rPr>
                <w:rFonts w:hint="eastAsia"/>
                <w:color w:val="auto"/>
                <w:u w:val="single"/>
              </w:rPr>
              <w:t>，则</w:t>
            </w:r>
            <w:r>
              <w:rPr>
                <w:color w:val="auto"/>
                <w:u w:val="single"/>
              </w:rPr>
              <w:t>项目</w:t>
            </w:r>
            <w:r>
              <w:rPr>
                <w:rFonts w:hint="eastAsia"/>
                <w:color w:val="auto"/>
                <w:u w:val="single"/>
              </w:rPr>
              <w:t>医疗废水处理站</w:t>
            </w:r>
            <w:r>
              <w:rPr>
                <w:color w:val="auto"/>
                <w:u w:val="single"/>
              </w:rPr>
              <w:t>恶臭污染物的产生量分别为：NH</w:t>
            </w:r>
            <w:r>
              <w:rPr>
                <w:color w:val="auto"/>
                <w:u w:val="single"/>
                <w:vertAlign w:val="subscript"/>
              </w:rPr>
              <w:t>3</w:t>
            </w:r>
            <w:r>
              <w:rPr>
                <w:color w:val="auto"/>
                <w:u w:val="single"/>
              </w:rPr>
              <w:t>为</w:t>
            </w:r>
            <w:r>
              <w:rPr>
                <w:rFonts w:hint="eastAsia"/>
                <w:color w:val="auto"/>
                <w:u w:val="single"/>
              </w:rPr>
              <w:t>0.00</w:t>
            </w:r>
            <w:r>
              <w:rPr>
                <w:rFonts w:hint="eastAsia"/>
                <w:color w:val="auto"/>
                <w:u w:val="single"/>
                <w:lang w:val="en-US" w:eastAsia="zh-CN"/>
              </w:rPr>
              <w:t>16</w:t>
            </w:r>
            <w:r>
              <w:rPr>
                <w:color w:val="auto"/>
                <w:u w:val="single"/>
              </w:rPr>
              <w:t>t/a，H</w:t>
            </w:r>
            <w:r>
              <w:rPr>
                <w:color w:val="auto"/>
                <w:u w:val="single"/>
                <w:vertAlign w:val="subscript"/>
              </w:rPr>
              <w:t>2</w:t>
            </w:r>
            <w:r>
              <w:rPr>
                <w:color w:val="auto"/>
                <w:u w:val="single"/>
              </w:rPr>
              <w:t>S为</w:t>
            </w:r>
            <w:r>
              <w:rPr>
                <w:rFonts w:hint="eastAsia"/>
                <w:color w:val="auto"/>
                <w:u w:val="single"/>
              </w:rPr>
              <w:t>0.0000</w:t>
            </w:r>
            <w:r>
              <w:rPr>
                <w:rFonts w:hint="eastAsia"/>
                <w:color w:val="auto"/>
                <w:u w:val="single"/>
                <w:lang w:val="en-US" w:eastAsia="zh-CN"/>
              </w:rPr>
              <w:t>62</w:t>
            </w:r>
            <w:r>
              <w:rPr>
                <w:color w:val="auto"/>
                <w:u w:val="single"/>
              </w:rPr>
              <w:t>t/a</w:t>
            </w:r>
            <w:r>
              <w:rPr>
                <w:rFonts w:hint="eastAsia"/>
                <w:color w:val="auto"/>
                <w:u w:val="single"/>
              </w:rPr>
              <w:t>。</w:t>
            </w:r>
          </w:p>
          <w:p>
            <w:pPr>
              <w:pStyle w:val="7"/>
              <w:ind w:firstLine="480"/>
              <w:rPr>
                <w:color w:val="auto"/>
              </w:rPr>
            </w:pPr>
            <w:r>
              <w:rPr>
                <w:rFonts w:hint="eastAsia"/>
                <w:color w:val="auto"/>
              </w:rPr>
              <w:t>现有</w:t>
            </w:r>
            <w:r>
              <w:rPr>
                <w:color w:val="auto"/>
              </w:rPr>
              <w:t>污水处理站</w:t>
            </w:r>
            <w:r>
              <w:rPr>
                <w:rFonts w:hint="eastAsia"/>
                <w:color w:val="auto"/>
              </w:rPr>
              <w:t>污水处理系统</w:t>
            </w:r>
            <w:r>
              <w:rPr>
                <w:color w:val="auto"/>
              </w:rPr>
              <w:t>所有水池均采用地埋封闭式，污水池采用密闭设计，可有效防止病菌通过空气传播和污水气味对环境的影响，只留必要的检修孔，</w:t>
            </w:r>
            <w:r>
              <w:rPr>
                <w:rFonts w:hint="eastAsia"/>
                <w:color w:val="auto"/>
              </w:rPr>
              <w:t>能起到较好的控制污染的</w:t>
            </w:r>
            <w:r>
              <w:rPr>
                <w:rFonts w:hint="eastAsia"/>
                <w:color w:val="auto"/>
                <w:lang w:val="en-GB"/>
              </w:rPr>
              <w:t>作用</w:t>
            </w:r>
            <w:r>
              <w:rPr>
                <w:rFonts w:hint="eastAsia"/>
                <w:color w:val="auto"/>
              </w:rPr>
              <w:t>。</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柴油发电机废气</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pPr>
            <w:r>
              <w:rPr>
                <w:rFonts w:hint="eastAsia" w:ascii="Times New Roman" w:hAnsi="Times New Roman" w:eastAsia="宋体" w:cs="Times New Roman"/>
                <w:color w:val="auto"/>
                <w:kern w:val="2"/>
                <w:sz w:val="24"/>
                <w:szCs w:val="24"/>
                <w:lang w:val="en-US" w:eastAsia="zh-CN" w:bidi="ar-SA"/>
              </w:rPr>
              <w:t>本项目在</w:t>
            </w:r>
            <w:r>
              <w:rPr>
                <w:rFonts w:hint="default" w:ascii="Times New Roman" w:hAnsi="Times New Roman" w:eastAsia="宋体" w:cs="Times New Roman"/>
                <w:color w:val="auto"/>
                <w:kern w:val="2"/>
                <w:sz w:val="24"/>
                <w:szCs w:val="24"/>
                <w:lang w:val="en-US" w:eastAsia="zh-CN" w:bidi="ar-SA"/>
              </w:rPr>
              <w:t>-1F</w:t>
            </w:r>
            <w:r>
              <w:rPr>
                <w:rFonts w:hint="eastAsia" w:ascii="Times New Roman" w:hAnsi="Times New Roman" w:eastAsia="宋体" w:cs="Times New Roman"/>
                <w:color w:val="auto"/>
                <w:kern w:val="2"/>
                <w:sz w:val="24"/>
                <w:szCs w:val="24"/>
                <w:lang w:val="en-US" w:eastAsia="zh-CN" w:bidi="ar-SA"/>
              </w:rPr>
              <w:t>设置一间柴油发电机房，发电机房内设置一台备用柴油发电机组，容量为</w:t>
            </w:r>
            <w:r>
              <w:rPr>
                <w:rFonts w:hint="eastAsia" w:cs="Times New Roman"/>
                <w:color w:val="auto"/>
                <w:kern w:val="2"/>
                <w:sz w:val="24"/>
                <w:szCs w:val="24"/>
                <w:lang w:val="en-US" w:eastAsia="zh-CN" w:bidi="ar-SA"/>
              </w:rPr>
              <w:t>5</w:t>
            </w:r>
            <w:r>
              <w:rPr>
                <w:rFonts w:hint="default" w:ascii="Times New Roman" w:hAnsi="Times New Roman" w:eastAsia="宋体" w:cs="Times New Roman"/>
                <w:color w:val="auto"/>
                <w:kern w:val="2"/>
                <w:sz w:val="24"/>
                <w:szCs w:val="24"/>
                <w:lang w:val="en-US" w:eastAsia="zh-CN" w:bidi="ar-SA"/>
              </w:rPr>
              <w:t>0kW</w:t>
            </w:r>
            <w:r>
              <w:rPr>
                <w:rFonts w:hint="eastAsia" w:ascii="Times New Roman" w:hAnsi="Times New Roman" w:eastAsia="宋体" w:cs="Times New Roman"/>
                <w:color w:val="auto"/>
                <w:kern w:val="2"/>
                <w:sz w:val="24"/>
                <w:szCs w:val="24"/>
                <w:lang w:val="en-US" w:eastAsia="zh-CN" w:bidi="ar-SA"/>
              </w:rPr>
              <w:t>，市政断电时自起动并在</w:t>
            </w:r>
            <w:r>
              <w:rPr>
                <w:rFonts w:hint="default" w:ascii="Times New Roman" w:hAnsi="Times New Roman" w:eastAsia="宋体" w:cs="Times New Roman"/>
                <w:color w:val="auto"/>
                <w:kern w:val="2"/>
                <w:sz w:val="24"/>
                <w:szCs w:val="24"/>
                <w:lang w:val="en-US" w:eastAsia="zh-CN" w:bidi="ar-SA"/>
              </w:rPr>
              <w:t>15</w:t>
            </w:r>
            <w:r>
              <w:rPr>
                <w:rFonts w:hint="eastAsia" w:ascii="Times New Roman" w:hAnsi="Times New Roman" w:eastAsia="宋体" w:cs="Times New Roman"/>
                <w:color w:val="auto"/>
                <w:kern w:val="2"/>
                <w:sz w:val="24"/>
                <w:szCs w:val="24"/>
                <w:lang w:val="en-US" w:eastAsia="zh-CN" w:bidi="ar-SA"/>
              </w:rPr>
              <w:t>秒内带载运行。柴油发电机燃油产生燃油废气，废气中主要含有烟尘、</w:t>
            </w:r>
            <w:r>
              <w:rPr>
                <w:rFonts w:hint="default" w:ascii="Times New Roman" w:hAnsi="Times New Roman" w:eastAsia="宋体" w:cs="Times New Roman"/>
                <w:color w:val="auto"/>
                <w:kern w:val="2"/>
                <w:sz w:val="24"/>
                <w:szCs w:val="24"/>
                <w:lang w:val="en-US" w:eastAsia="zh-CN" w:bidi="ar-SA"/>
              </w:rPr>
              <w:t>SO</w:t>
            </w:r>
            <w:r>
              <w:rPr>
                <w:rFonts w:hint="default" w:ascii="Times New Roman" w:hAnsi="Times New Roman" w:eastAsia="宋体" w:cs="Times New Roman"/>
                <w:color w:val="auto"/>
                <w:kern w:val="2"/>
                <w:sz w:val="24"/>
                <w:szCs w:val="24"/>
                <w:vertAlign w:val="subscript"/>
                <w:lang w:val="en-US" w:eastAsia="zh-CN" w:bidi="ar-SA"/>
              </w:rPr>
              <w:t>2</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NOx</w:t>
            </w:r>
            <w:r>
              <w:rPr>
                <w:rFonts w:hint="eastAsia" w:ascii="Times New Roman" w:hAnsi="Times New Roman" w:eastAsia="宋体" w:cs="Times New Roman"/>
                <w:color w:val="auto"/>
                <w:kern w:val="2"/>
                <w:sz w:val="24"/>
                <w:szCs w:val="24"/>
                <w:lang w:val="en-US" w:eastAsia="zh-CN" w:bidi="ar-SA"/>
              </w:rPr>
              <w:t>等污染物。根据当地市政用电情况，每月使用柴油发电机的时间一般不超过</w:t>
            </w:r>
            <w:r>
              <w:rPr>
                <w:rFonts w:hint="default" w:ascii="Times New Roman" w:hAnsi="Times New Roman" w:eastAsia="宋体"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小时，全年工作时间不超过</w:t>
            </w:r>
            <w:r>
              <w:rPr>
                <w:rFonts w:hint="default" w:ascii="Times New Roman" w:hAnsi="Times New Roman" w:eastAsia="宋体" w:cs="Times New Roman"/>
                <w:color w:val="auto"/>
                <w:kern w:val="2"/>
                <w:sz w:val="24"/>
                <w:szCs w:val="24"/>
                <w:lang w:val="en-US" w:eastAsia="zh-CN" w:bidi="ar-SA"/>
              </w:rPr>
              <w:t>24</w:t>
            </w:r>
            <w:r>
              <w:rPr>
                <w:rFonts w:hint="eastAsia" w:ascii="Times New Roman" w:hAnsi="Times New Roman" w:eastAsia="宋体" w:cs="Times New Roman"/>
                <w:color w:val="auto"/>
                <w:kern w:val="2"/>
                <w:sz w:val="24"/>
                <w:szCs w:val="24"/>
                <w:lang w:val="en-US" w:eastAsia="zh-CN" w:bidi="ar-SA"/>
              </w:rPr>
              <w:t>小时，耗油率为</w:t>
            </w:r>
            <w:r>
              <w:rPr>
                <w:rFonts w:hint="default" w:ascii="Times New Roman" w:hAnsi="Times New Roman" w:eastAsia="宋体" w:cs="Times New Roman"/>
                <w:color w:val="auto"/>
                <w:kern w:val="2"/>
                <w:sz w:val="24"/>
                <w:szCs w:val="24"/>
                <w:lang w:val="en-US" w:eastAsia="zh-CN" w:bidi="ar-SA"/>
              </w:rPr>
              <w:t>0.228kg/kW·h</w:t>
            </w:r>
            <w:r>
              <w:rPr>
                <w:rFonts w:hint="eastAsia" w:ascii="Times New Roman" w:hAnsi="Times New Roman" w:eastAsia="宋体" w:cs="Times New Roman"/>
                <w:color w:val="auto"/>
                <w:kern w:val="2"/>
                <w:sz w:val="24"/>
                <w:szCs w:val="24"/>
                <w:lang w:val="en-US" w:eastAsia="zh-CN" w:bidi="ar-SA"/>
              </w:rPr>
              <w:t>，则本项目备用发电机工作时耗油量分别为</w:t>
            </w:r>
            <w:r>
              <w:rPr>
                <w:rFonts w:hint="default" w:ascii="Times New Roman" w:hAnsi="Times New Roman" w:eastAsia="宋体" w:cs="Times New Roman"/>
                <w:color w:val="auto"/>
                <w:kern w:val="2"/>
                <w:sz w:val="24"/>
                <w:szCs w:val="24"/>
                <w:lang w:val="en-US" w:eastAsia="zh-CN" w:bidi="ar-SA"/>
              </w:rPr>
              <w:t>0.</w:t>
            </w:r>
            <w:r>
              <w:rPr>
                <w:rFonts w:hint="eastAsia" w:cs="Times New Roman"/>
                <w:color w:val="auto"/>
                <w:kern w:val="2"/>
                <w:sz w:val="24"/>
                <w:szCs w:val="24"/>
                <w:lang w:val="en-US" w:eastAsia="zh-CN" w:bidi="ar-SA"/>
              </w:rPr>
              <w:t>0114</w:t>
            </w:r>
            <w:r>
              <w:rPr>
                <w:rFonts w:hint="default" w:ascii="Times New Roman" w:hAnsi="Times New Roman" w:eastAsia="宋体" w:cs="Times New Roman"/>
                <w:color w:val="auto"/>
                <w:kern w:val="2"/>
                <w:sz w:val="24"/>
                <w:szCs w:val="24"/>
                <w:lang w:val="en-US" w:eastAsia="zh-CN" w:bidi="ar-SA"/>
              </w:rPr>
              <w:t>t/h</w:t>
            </w:r>
            <w:r>
              <w:rPr>
                <w:rFonts w:hint="eastAsia" w:ascii="Times New Roman" w:hAnsi="Times New Roman" w:eastAsia="宋体" w:cs="Times New Roman"/>
                <w:color w:val="auto"/>
                <w:kern w:val="2"/>
                <w:sz w:val="24"/>
                <w:szCs w:val="24"/>
                <w:lang w:val="en-US" w:eastAsia="zh-CN" w:bidi="ar-SA"/>
              </w:rPr>
              <w:t>，备用柴油发电机耗油最大量为</w:t>
            </w:r>
            <w:r>
              <w:rPr>
                <w:rFonts w:hint="eastAsia" w:cs="Times New Roman"/>
                <w:color w:val="auto"/>
                <w:kern w:val="2"/>
                <w:sz w:val="24"/>
                <w:szCs w:val="24"/>
                <w:lang w:val="en-US" w:eastAsia="zh-CN" w:bidi="ar-SA"/>
              </w:rPr>
              <w:t>0.2736</w:t>
            </w:r>
            <w:r>
              <w:rPr>
                <w:rFonts w:hint="default" w:ascii="Times New Roman" w:hAnsi="Times New Roman" w:eastAsia="宋体" w:cs="Times New Roman"/>
                <w:color w:val="auto"/>
                <w:kern w:val="2"/>
                <w:sz w:val="24"/>
                <w:szCs w:val="24"/>
                <w:lang w:val="en-US" w:eastAsia="zh-CN" w:bidi="ar-SA"/>
              </w:rPr>
              <w:t>t/a</w:t>
            </w:r>
            <w:r>
              <w:rPr>
                <w:rFonts w:hint="eastAsia" w:ascii="Times New Roman" w:hAnsi="Times New Roman" w:eastAsia="宋体" w:cs="Times New Roman"/>
                <w:color w:val="auto"/>
                <w:kern w:val="2"/>
                <w:sz w:val="24"/>
                <w:szCs w:val="24"/>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柴油机运转时产生的污染物与机器使用情况和运转工况有很大关系，依据环境影响评价工程师职业资格登记培训教材（社会区域），柴油燃料的污染物排放因子为：烟尘</w:t>
            </w:r>
            <w:r>
              <w:rPr>
                <w:rFonts w:hint="default" w:ascii="Times New Roman" w:hAnsi="Times New Roman" w:eastAsia="宋体" w:cs="Times New Roman"/>
                <w:color w:val="auto"/>
                <w:kern w:val="2"/>
                <w:sz w:val="24"/>
                <w:szCs w:val="24"/>
                <w:lang w:val="en-US" w:eastAsia="zh-CN" w:bidi="ar-SA"/>
              </w:rPr>
              <w:t>0.31kg/t</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NOx2.92kg/t</w:t>
            </w:r>
            <w:r>
              <w:rPr>
                <w:rFonts w:hint="eastAsia" w:ascii="Times New Roman" w:hAnsi="Times New Roman" w:eastAsia="宋体" w:cs="Times New Roman"/>
                <w:color w:val="auto"/>
                <w:kern w:val="2"/>
                <w:sz w:val="24"/>
                <w:szCs w:val="24"/>
                <w:lang w:val="en-US" w:eastAsia="zh-CN" w:bidi="ar-SA"/>
              </w:rPr>
              <w:t>，按照《普通柴油》</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GB252-2011</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从</w:t>
            </w:r>
            <w:r>
              <w:rPr>
                <w:rFonts w:hint="default" w:ascii="Times New Roman" w:hAnsi="Times New Roman" w:eastAsia="宋体" w:cs="Times New Roman"/>
                <w:color w:val="auto"/>
                <w:kern w:val="2"/>
                <w:sz w:val="24"/>
                <w:szCs w:val="24"/>
                <w:lang w:val="en-US" w:eastAsia="zh-CN" w:bidi="ar-SA"/>
              </w:rPr>
              <w:t>2013</w:t>
            </w:r>
            <w:r>
              <w:rPr>
                <w:rFonts w:hint="eastAsia" w:ascii="Times New Roman" w:hAnsi="Times New Roman" w:eastAsia="宋体" w:cs="Times New Roman"/>
                <w:color w:val="auto"/>
                <w:kern w:val="2"/>
                <w:sz w:val="24"/>
                <w:szCs w:val="24"/>
                <w:lang w:val="en-US" w:eastAsia="zh-CN" w:bidi="ar-SA"/>
              </w:rPr>
              <w:t>年</w:t>
            </w:r>
            <w:r>
              <w:rPr>
                <w:rFonts w:hint="default" w:ascii="Times New Roman" w:hAnsi="Times New Roman" w:eastAsia="宋体"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月</w:t>
            </w:r>
            <w:r>
              <w:rPr>
                <w:rFonts w:hint="default" w:ascii="Times New Roman" w:hAnsi="Times New Roman" w:eastAsia="宋体"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日起采用柴油中硫的含量不大于</w:t>
            </w:r>
            <w:r>
              <w:rPr>
                <w:rFonts w:hint="default" w:ascii="Times New Roman" w:hAnsi="Times New Roman" w:eastAsia="宋体" w:cs="Times New Roman"/>
                <w:color w:val="auto"/>
                <w:kern w:val="2"/>
                <w:sz w:val="24"/>
                <w:szCs w:val="24"/>
                <w:lang w:val="en-US" w:eastAsia="zh-CN" w:bidi="ar-SA"/>
              </w:rPr>
              <w:t>0.035%</w:t>
            </w:r>
            <w:r>
              <w:rPr>
                <w:rFonts w:hint="eastAsia" w:ascii="Times New Roman" w:hAnsi="Times New Roman" w:eastAsia="宋体" w:cs="Times New Roman"/>
                <w:color w:val="auto"/>
                <w:kern w:val="2"/>
                <w:sz w:val="24"/>
                <w:szCs w:val="24"/>
                <w:lang w:val="en-US" w:eastAsia="zh-CN" w:bidi="ar-SA"/>
              </w:rPr>
              <w:t>。在此，按柴油中硫含量为</w:t>
            </w:r>
            <w:r>
              <w:rPr>
                <w:rFonts w:hint="default" w:ascii="Times New Roman" w:hAnsi="Times New Roman" w:eastAsia="宋体" w:cs="Times New Roman"/>
                <w:color w:val="auto"/>
                <w:kern w:val="2"/>
                <w:sz w:val="24"/>
                <w:szCs w:val="24"/>
                <w:lang w:val="en-US" w:eastAsia="zh-CN" w:bidi="ar-SA"/>
              </w:rPr>
              <w:t>0.035%</w:t>
            </w:r>
            <w:r>
              <w:rPr>
                <w:rFonts w:hint="eastAsia" w:ascii="Times New Roman" w:hAnsi="Times New Roman" w:eastAsia="宋体" w:cs="Times New Roman"/>
                <w:color w:val="auto"/>
                <w:kern w:val="2"/>
                <w:sz w:val="24"/>
                <w:szCs w:val="24"/>
                <w:lang w:val="en-US" w:eastAsia="zh-CN" w:bidi="ar-SA"/>
              </w:rPr>
              <w:t>估算，即</w:t>
            </w:r>
            <w:r>
              <w:rPr>
                <w:rFonts w:hint="default" w:ascii="Times New Roman" w:hAnsi="Times New Roman" w:eastAsia="宋体" w:cs="Times New Roman"/>
                <w:color w:val="auto"/>
                <w:kern w:val="2"/>
                <w:sz w:val="24"/>
                <w:szCs w:val="24"/>
                <w:lang w:val="en-US" w:eastAsia="zh-CN" w:bidi="ar-SA"/>
              </w:rPr>
              <w:t>SO</w:t>
            </w:r>
            <w:r>
              <w:rPr>
                <w:rFonts w:hint="default" w:ascii="Times New Roman" w:hAnsi="Times New Roman" w:eastAsia="宋体" w:cs="Times New Roman"/>
                <w:color w:val="auto"/>
                <w:kern w:val="2"/>
                <w:sz w:val="24"/>
                <w:szCs w:val="24"/>
                <w:vertAlign w:val="subscript"/>
                <w:lang w:val="en-US" w:eastAsia="zh-CN" w:bidi="ar-SA"/>
              </w:rPr>
              <w:t>2</w:t>
            </w:r>
            <w:r>
              <w:rPr>
                <w:rFonts w:hint="eastAsia" w:ascii="Times New Roman" w:hAnsi="Times New Roman" w:eastAsia="宋体" w:cs="Times New Roman"/>
                <w:color w:val="auto"/>
                <w:kern w:val="2"/>
                <w:sz w:val="24"/>
                <w:szCs w:val="24"/>
                <w:lang w:val="en-US" w:eastAsia="zh-CN" w:bidi="ar-SA"/>
              </w:rPr>
              <w:t>排放系数</w:t>
            </w:r>
            <w:r>
              <w:rPr>
                <w:rFonts w:hint="default" w:ascii="Times New Roman" w:hAnsi="Times New Roman" w:eastAsia="宋体" w:cs="Times New Roman"/>
                <w:color w:val="auto"/>
                <w:kern w:val="2"/>
                <w:sz w:val="24"/>
                <w:szCs w:val="24"/>
                <w:lang w:val="en-US" w:eastAsia="zh-CN" w:bidi="ar-SA"/>
              </w:rPr>
              <w:t>0.7kg/t</w:t>
            </w:r>
            <w:r>
              <w:rPr>
                <w:rFonts w:hint="eastAsia" w:ascii="Times New Roman" w:hAnsi="Times New Roman" w:eastAsia="宋体" w:cs="Times New Roman"/>
                <w:color w:val="auto"/>
                <w:kern w:val="2"/>
                <w:sz w:val="24"/>
                <w:szCs w:val="24"/>
                <w:lang w:val="en-US" w:eastAsia="zh-CN" w:bidi="ar-SA"/>
              </w:rPr>
              <w:t>。经计算柴油发电机废气排放量为烟尘</w:t>
            </w:r>
            <w:r>
              <w:rPr>
                <w:rFonts w:hint="eastAsia" w:cs="Times New Roman"/>
                <w:color w:val="auto"/>
                <w:kern w:val="2"/>
                <w:sz w:val="24"/>
                <w:szCs w:val="24"/>
                <w:lang w:val="en-US" w:eastAsia="zh-CN" w:bidi="ar-SA"/>
              </w:rPr>
              <w:t>0.085</w:t>
            </w:r>
            <w:r>
              <w:rPr>
                <w:rFonts w:hint="default" w:ascii="Times New Roman" w:hAnsi="Times New Roman" w:eastAsia="宋体" w:cs="Times New Roman"/>
                <w:color w:val="auto"/>
                <w:kern w:val="2"/>
                <w:sz w:val="24"/>
                <w:szCs w:val="24"/>
                <w:lang w:val="en-US" w:eastAsia="zh-CN" w:bidi="ar-SA"/>
              </w:rPr>
              <w:t>kg</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NO</w:t>
            </w:r>
            <w:r>
              <w:rPr>
                <w:rFonts w:hint="default" w:ascii="Times New Roman" w:hAnsi="Times New Roman" w:eastAsia="宋体" w:cs="Times New Roman"/>
                <w:color w:val="auto"/>
                <w:kern w:val="2"/>
                <w:sz w:val="24"/>
                <w:szCs w:val="24"/>
                <w:vertAlign w:val="subscript"/>
                <w:lang w:val="en-US" w:eastAsia="zh-CN" w:bidi="ar-SA"/>
              </w:rPr>
              <w:t>X</w:t>
            </w:r>
            <w:r>
              <w:rPr>
                <w:rFonts w:hint="eastAsia" w:cs="Times New Roman"/>
                <w:color w:val="auto"/>
                <w:kern w:val="2"/>
                <w:sz w:val="24"/>
                <w:szCs w:val="24"/>
                <w:lang w:val="en-US" w:eastAsia="zh-CN" w:bidi="ar-SA"/>
              </w:rPr>
              <w:t>0.799</w:t>
            </w:r>
            <w:r>
              <w:rPr>
                <w:rFonts w:hint="default" w:ascii="Times New Roman" w:hAnsi="Times New Roman" w:eastAsia="宋体" w:cs="Times New Roman"/>
                <w:color w:val="auto"/>
                <w:kern w:val="2"/>
                <w:sz w:val="24"/>
                <w:szCs w:val="24"/>
                <w:lang w:val="en-US" w:eastAsia="zh-CN" w:bidi="ar-SA"/>
              </w:rPr>
              <w:t>kg</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SO</w:t>
            </w:r>
            <w:r>
              <w:rPr>
                <w:rFonts w:hint="default" w:ascii="Times New Roman" w:hAnsi="Times New Roman" w:eastAsia="宋体" w:cs="Times New Roman"/>
                <w:color w:val="auto"/>
                <w:kern w:val="2"/>
                <w:sz w:val="24"/>
                <w:szCs w:val="24"/>
                <w:vertAlign w:val="subscript"/>
                <w:lang w:val="en-US" w:eastAsia="zh-CN" w:bidi="ar-SA"/>
              </w:rPr>
              <w:t>2</w:t>
            </w:r>
            <w:r>
              <w:rPr>
                <w:rFonts w:hint="eastAsia" w:cs="Times New Roman"/>
                <w:color w:val="auto"/>
                <w:kern w:val="2"/>
                <w:sz w:val="24"/>
                <w:szCs w:val="24"/>
                <w:lang w:val="en-US" w:eastAsia="zh-CN" w:bidi="ar-SA"/>
              </w:rPr>
              <w:t>0.192</w:t>
            </w:r>
            <w:r>
              <w:rPr>
                <w:rFonts w:hint="default" w:ascii="Times New Roman" w:hAnsi="Times New Roman" w:eastAsia="宋体" w:cs="Times New Roman"/>
                <w:color w:val="auto"/>
                <w:kern w:val="2"/>
                <w:sz w:val="24"/>
                <w:szCs w:val="24"/>
                <w:lang w:val="en-US" w:eastAsia="zh-CN" w:bidi="ar-SA"/>
              </w:rPr>
              <w:t>kg</w:t>
            </w:r>
            <w:r>
              <w:rPr>
                <w:rFonts w:hint="eastAsia" w:ascii="Times New Roman" w:hAnsi="Times New Roman" w:eastAsia="宋体" w:cs="Times New Roman"/>
                <w:color w:val="auto"/>
                <w:kern w:val="2"/>
                <w:sz w:val="24"/>
                <w:szCs w:val="24"/>
                <w:lang w:val="en-US" w:eastAsia="zh-CN" w:bidi="ar-SA"/>
              </w:rPr>
              <w:t>；废气排放速率烟尘</w:t>
            </w:r>
            <w:r>
              <w:rPr>
                <w:rFonts w:hint="default" w:ascii="Times New Roman" w:hAnsi="Times New Roman" w:eastAsia="宋体" w:cs="Times New Roman"/>
                <w:color w:val="auto"/>
                <w:kern w:val="2"/>
                <w:sz w:val="24"/>
                <w:szCs w:val="24"/>
                <w:lang w:val="en-US" w:eastAsia="zh-CN" w:bidi="ar-SA"/>
              </w:rPr>
              <w:t>0.0566kg/h</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NO</w:t>
            </w:r>
            <w:r>
              <w:rPr>
                <w:rFonts w:hint="default" w:ascii="Times New Roman" w:hAnsi="Times New Roman" w:eastAsia="宋体" w:cs="Times New Roman"/>
                <w:color w:val="auto"/>
                <w:kern w:val="2"/>
                <w:sz w:val="24"/>
                <w:szCs w:val="24"/>
                <w:vertAlign w:val="subscript"/>
                <w:lang w:val="en-US" w:eastAsia="zh-CN" w:bidi="ar-SA"/>
              </w:rPr>
              <w:t>X</w:t>
            </w:r>
            <w:r>
              <w:rPr>
                <w:rFonts w:hint="default" w:ascii="Times New Roman" w:hAnsi="Times New Roman" w:eastAsia="宋体" w:cs="Times New Roman"/>
                <w:color w:val="auto"/>
                <w:kern w:val="2"/>
                <w:sz w:val="24"/>
                <w:szCs w:val="24"/>
                <w:lang w:val="en-US" w:eastAsia="zh-CN" w:bidi="ar-SA"/>
              </w:rPr>
              <w:t>0.5327kg/h</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SO</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0.1277kg/h</w:t>
            </w:r>
            <w:r>
              <w:rPr>
                <w:rFonts w:hint="eastAsia" w:ascii="Times New Roman" w:hAnsi="Times New Roman" w:eastAsia="宋体" w:cs="Times New Roman"/>
                <w:color w:val="auto"/>
                <w:kern w:val="2"/>
                <w:sz w:val="24"/>
                <w:szCs w:val="24"/>
                <w:lang w:val="en-US" w:eastAsia="zh-CN" w:bidi="ar-SA"/>
              </w:rPr>
              <w:t>。</w:t>
            </w:r>
          </w:p>
          <w:p>
            <w:pPr>
              <w:pStyle w:val="7"/>
              <w:numPr>
                <w:ilvl w:val="0"/>
                <w:numId w:val="0"/>
              </w:numPr>
              <w:shd w:val="clear"/>
              <w:ind w:firstLine="480" w:firstLineChars="200"/>
              <w:rPr>
                <w:rFonts w:hint="default"/>
                <w:highlight w:val="none"/>
                <w:u w:val="single"/>
                <w:lang w:val="en-US" w:eastAsia="zh-CN"/>
              </w:rPr>
            </w:pPr>
            <w:r>
              <w:rPr>
                <w:rFonts w:hint="default" w:ascii="Times New Roman" w:hAnsi="Times New Roman" w:eastAsia="宋体" w:cs="Times New Roman"/>
                <w:kern w:val="2"/>
                <w:sz w:val="24"/>
                <w:szCs w:val="24"/>
                <w:u w:val="single"/>
                <w:lang w:val="en-US" w:eastAsia="zh-CN" w:bidi="ar-SA"/>
              </w:rPr>
              <w:t>（3</w:t>
            </w:r>
            <w:r>
              <w:rPr>
                <w:rFonts w:hint="default" w:ascii="Times New Roman" w:hAnsi="Times New Roman" w:eastAsia="宋体" w:cs="Times New Roman"/>
                <w:color w:val="auto"/>
                <w:kern w:val="2"/>
                <w:sz w:val="24"/>
                <w:szCs w:val="24"/>
                <w:u w:val="single"/>
                <w:lang w:val="en-US" w:eastAsia="zh-CN" w:bidi="ar-SA"/>
              </w:rPr>
              <w:t>）</w:t>
            </w:r>
            <w:r>
              <w:rPr>
                <w:rFonts w:hint="eastAsia"/>
                <w:color w:val="auto"/>
                <w:highlight w:val="none"/>
                <w:u w:val="single"/>
                <w:lang w:val="en-US" w:eastAsia="zh-CN"/>
              </w:rPr>
              <w:t>危废暂存间废气</w:t>
            </w:r>
          </w:p>
          <w:p>
            <w:pPr>
              <w:keepNext w:val="0"/>
              <w:keepLines w:val="0"/>
              <w:pageBreakBefore w:val="0"/>
              <w:widowControl/>
              <w:suppressLineNumbers w:val="0"/>
              <w:shd w:val="clear"/>
              <w:kinsoku/>
              <w:wordWrap/>
              <w:overflowPunct/>
              <w:topLinePunct w:val="0"/>
              <w:autoSpaceDE/>
              <w:autoSpaceDN/>
              <w:bidi w:val="0"/>
              <w:adjustRightInd/>
              <w:snapToGrid/>
              <w:ind w:firstLine="480" w:firstLineChars="200"/>
              <w:jc w:val="left"/>
              <w:textAlignment w:val="auto"/>
              <w:rPr>
                <w:rFonts w:hint="default"/>
                <w:highlight w:val="none"/>
                <w:u w:val="single"/>
                <w:lang w:val="en-US" w:eastAsia="zh-CN"/>
              </w:rPr>
            </w:pPr>
            <w:r>
              <w:rPr>
                <w:rFonts w:hint="eastAsia"/>
                <w:highlight w:val="none"/>
                <w:u w:val="single"/>
                <w:lang w:val="en-US" w:eastAsia="zh-CN"/>
              </w:rPr>
              <w:t>本项目医疗废物存放在危废暂存间，危废暂存间位于</w:t>
            </w:r>
            <w:r>
              <w:rPr>
                <w:rFonts w:hint="eastAsia"/>
                <w:color w:val="auto"/>
                <w:highlight w:val="none"/>
                <w:u w:val="single"/>
                <w:lang w:val="en-US" w:eastAsia="zh-CN"/>
              </w:rPr>
              <w:t>院区西侧</w:t>
            </w:r>
            <w:r>
              <w:rPr>
                <w:rFonts w:hint="eastAsia"/>
                <w:highlight w:val="none"/>
                <w:u w:val="single"/>
                <w:lang w:val="en-US" w:eastAsia="zh-CN"/>
              </w:rPr>
              <w:t>，按国家有关医疗垃圾的相关规定进行建设和管理，定期消毒并喷洒除臭剂，医疗废物由资质单位及时清运，本环评要求增加通风系统进行换气，少量臭气随着空气的扩散对周边环境影响较小。本环评不作定量分析。</w:t>
            </w:r>
          </w:p>
          <w:p>
            <w:pPr>
              <w:keepNext w:val="0"/>
              <w:keepLines w:val="0"/>
              <w:pageBreakBefore w:val="0"/>
              <w:widowControl/>
              <w:suppressLineNumbers w:val="0"/>
              <w:kinsoku/>
              <w:wordWrap/>
              <w:overflowPunct/>
              <w:topLinePunct w:val="0"/>
              <w:autoSpaceDE/>
              <w:autoSpaceDN/>
              <w:bidi w:val="0"/>
              <w:adjustRightInd/>
              <w:snapToGrid/>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3</w:t>
            </w:r>
            <w:r>
              <w:rPr>
                <w:rFonts w:hint="eastAsia" w:ascii="Times New Roman" w:hAnsi="Times New Roman" w:eastAsia="宋体" w:cs="Times New Roman"/>
                <w:b/>
                <w:bCs/>
                <w:color w:val="000000"/>
                <w:kern w:val="0"/>
                <w:sz w:val="24"/>
                <w:szCs w:val="24"/>
                <w:lang w:val="en-US" w:eastAsia="zh-CN" w:bidi="ar"/>
              </w:rPr>
              <w:t>、废气治理设施可行性分析</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pPr>
            <w:r>
              <w:rPr>
                <w:rFonts w:hint="eastAsia" w:ascii="宋体" w:hAnsi="宋体" w:eastAsia="宋体" w:cs="宋体"/>
                <w:color w:val="000000"/>
                <w:kern w:val="0"/>
                <w:sz w:val="24"/>
                <w:szCs w:val="24"/>
                <w:lang w:val="en-US" w:eastAsia="zh-CN" w:bidi="ar"/>
              </w:rPr>
              <w:t>根据“《排污许可证申请与核发技术规范 医疗机构》（</w:t>
            </w:r>
            <w:r>
              <w:rPr>
                <w:rFonts w:hint="default" w:ascii="Times New Roman" w:hAnsi="Times New Roman" w:eastAsia="宋体" w:cs="Times New Roman"/>
                <w:color w:val="000000"/>
                <w:kern w:val="0"/>
                <w:sz w:val="24"/>
                <w:szCs w:val="24"/>
                <w:lang w:val="en-US" w:eastAsia="zh-CN" w:bidi="ar"/>
              </w:rPr>
              <w:t>HJ 1105-2020</w:t>
            </w:r>
            <w:r>
              <w:rPr>
                <w:rFonts w:hint="eastAsia" w:ascii="宋体" w:hAnsi="宋体" w:eastAsia="宋体" w:cs="宋体"/>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A.2</w:t>
            </w:r>
            <w:r>
              <w:rPr>
                <w:rFonts w:hint="eastAsia" w:ascii="宋体" w:hAnsi="宋体" w:eastAsia="宋体" w:cs="宋体"/>
                <w:color w:val="000000"/>
                <w:kern w:val="0"/>
                <w:sz w:val="24"/>
                <w:szCs w:val="24"/>
                <w:lang w:val="en-US" w:eastAsia="zh-CN" w:bidi="ar"/>
              </w:rPr>
              <w:t>”，医疗机构排污单位污水处理站无组织废气治理可行性技术包括加盖、加罩，投放除臭剂。本项目污水处理站废气处理设施为地埋式加盖密闭设置，投放除臭剂，属于可行技术。</w:t>
            </w:r>
          </w:p>
          <w:p>
            <w:pPr>
              <w:keepNext w:val="0"/>
              <w:keepLines w:val="0"/>
              <w:pageBreakBefore w:val="0"/>
              <w:widowControl/>
              <w:suppressLineNumbers w:val="0"/>
              <w:kinsoku/>
              <w:wordWrap/>
              <w:overflowPunct/>
              <w:topLinePunct w:val="0"/>
              <w:autoSpaceDE/>
              <w:autoSpaceDN/>
              <w:bidi w:val="0"/>
              <w:adjustRightInd/>
              <w:snapToGrid/>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4</w:t>
            </w:r>
            <w:r>
              <w:rPr>
                <w:rFonts w:hint="eastAsia" w:ascii="Times New Roman" w:hAnsi="Times New Roman" w:eastAsia="宋体" w:cs="Times New Roman"/>
                <w:b/>
                <w:bCs/>
                <w:color w:val="000000"/>
                <w:kern w:val="0"/>
                <w:sz w:val="24"/>
                <w:szCs w:val="24"/>
                <w:lang w:val="en-US" w:eastAsia="zh-CN" w:bidi="ar"/>
              </w:rPr>
              <w:t>、废气环境影响分析</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本项目污水处理站恶臭气体采取池体地埋密闭，定期喷洒除臭剂，污泥及时清运等措施，项目采用的废气处理工艺均为污染物较为常见的工艺，为《排污许可证申请与核发技术规范 医疗机构》（</w:t>
            </w:r>
            <w:r>
              <w:rPr>
                <w:rFonts w:hint="default" w:ascii="宋体" w:hAnsi="宋体" w:eastAsia="宋体" w:cs="宋体"/>
                <w:color w:val="000000"/>
                <w:kern w:val="0"/>
                <w:sz w:val="24"/>
                <w:szCs w:val="24"/>
                <w:lang w:val="en-US" w:eastAsia="zh-CN" w:bidi="ar"/>
              </w:rPr>
              <w:t>HJ 1105-2020</w:t>
            </w:r>
            <w:r>
              <w:rPr>
                <w:rFonts w:hint="eastAsia" w:ascii="宋体" w:hAnsi="宋体" w:eastAsia="宋体" w:cs="宋体"/>
                <w:color w:val="000000"/>
                <w:kern w:val="0"/>
                <w:sz w:val="24"/>
                <w:szCs w:val="24"/>
                <w:lang w:val="en-US" w:eastAsia="zh-CN" w:bidi="ar"/>
              </w:rPr>
              <w:t>）中可行技术，同时根据前述分析可知，本项目恶臭气体的排放满足《医疗机构水污染物排放标准》（</w:t>
            </w:r>
            <w:r>
              <w:rPr>
                <w:rFonts w:hint="default" w:ascii="宋体" w:hAnsi="宋体" w:eastAsia="宋体" w:cs="宋体"/>
                <w:color w:val="000000"/>
                <w:kern w:val="0"/>
                <w:sz w:val="24"/>
                <w:szCs w:val="24"/>
                <w:lang w:val="en-US" w:eastAsia="zh-CN" w:bidi="ar"/>
              </w:rPr>
              <w:t>GB18466-2005</w:t>
            </w:r>
            <w:r>
              <w:rPr>
                <w:rFonts w:hint="eastAsia" w:ascii="宋体" w:hAnsi="宋体" w:eastAsia="宋体" w:cs="宋体"/>
                <w:color w:val="000000"/>
                <w:kern w:val="0"/>
                <w:sz w:val="24"/>
                <w:szCs w:val="24"/>
                <w:lang w:val="en-US" w:eastAsia="zh-CN" w:bidi="ar"/>
              </w:rPr>
              <w:t>）表</w:t>
            </w:r>
            <w:r>
              <w:rPr>
                <w:rFonts w:hint="default" w:ascii="宋体" w:hAnsi="宋体" w:eastAsia="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中的相关要求。本次评价不再分析项目</w:t>
            </w:r>
            <w:r>
              <w:rPr>
                <w:rFonts w:hint="eastAsia" w:ascii="宋体" w:hAnsi="宋体" w:cs="宋体"/>
                <w:color w:val="000000"/>
                <w:kern w:val="0"/>
                <w:sz w:val="24"/>
                <w:szCs w:val="24"/>
                <w:lang w:val="en-US" w:eastAsia="zh-CN" w:bidi="ar"/>
              </w:rPr>
              <w:t>采取</w:t>
            </w:r>
            <w:r>
              <w:rPr>
                <w:rFonts w:hint="eastAsia" w:ascii="宋体" w:hAnsi="宋体" w:eastAsia="宋体" w:cs="宋体"/>
                <w:color w:val="000000"/>
                <w:kern w:val="0"/>
                <w:sz w:val="24"/>
                <w:szCs w:val="24"/>
                <w:lang w:val="en-US" w:eastAsia="zh-CN" w:bidi="ar"/>
              </w:rPr>
              <w:t>的防治措施的可行性，仅定性分析废气对周边环境的影响。</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前述区域环境空气质量可知，本项目所在区域为达标区，区域环境容量较为充足。项目周边为居民较为集中的区域，建设单位应尤为注意污水处理站的维修保养，定期组织人员对池体的加盖密闭情况进行检查，严格执行定期喷洒除臭剂等制度。在严格采取环评提出的防治措施后，项目排放的废气均能满足相应标准，类比国内医院小型污水处理站，污水处理站恶臭气体不会对周边居民产生影响，因此，本项目运营产生的各种废气对周边环境影响轻微。</w:t>
            </w:r>
          </w:p>
          <w:p>
            <w:pPr>
              <w:keepNext w:val="0"/>
              <w:keepLines w:val="0"/>
              <w:pageBreakBefore w:val="0"/>
              <w:widowControl/>
              <w:suppressLineNumbers w:val="0"/>
              <w:kinsoku/>
              <w:wordWrap/>
              <w:overflowPunct/>
              <w:topLinePunct w:val="0"/>
              <w:autoSpaceDE/>
              <w:autoSpaceDN/>
              <w:bidi w:val="0"/>
              <w:adjustRightInd/>
              <w:snapToGrid/>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5、废气监测要求</w:t>
            </w:r>
          </w:p>
          <w:p>
            <w:pPr>
              <w:pStyle w:val="49"/>
              <w:rPr>
                <w:color w:val="auto"/>
                <w:u w:val="none"/>
              </w:rPr>
            </w:pPr>
            <w:r>
              <w:rPr>
                <w:rFonts w:hint="eastAsia"/>
                <w:color w:val="auto"/>
                <w:u w:val="none"/>
              </w:rPr>
              <w:t xml:space="preserve">表4.2-7 </w:t>
            </w:r>
            <w:r>
              <w:rPr>
                <w:rFonts w:hint="eastAsia"/>
                <w:color w:val="auto"/>
                <w:u w:val="none"/>
                <w:lang w:val="en-US" w:eastAsia="zh-CN"/>
              </w:rPr>
              <w:t>废气监测计划一览表</w:t>
            </w:r>
          </w:p>
          <w:tbl>
            <w:tblPr>
              <w:tblStyle w:val="31"/>
              <w:tblW w:w="79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36"/>
              <w:gridCol w:w="1883"/>
              <w:gridCol w:w="1617"/>
              <w:gridCol w:w="1133"/>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36" w:type="dxa"/>
                  <w:vAlign w:val="center"/>
                </w:tcPr>
                <w:p>
                  <w:pPr>
                    <w:pStyle w:val="48"/>
                    <w:rPr>
                      <w:rFonts w:hint="eastAsia" w:eastAsia="宋体"/>
                      <w:color w:val="auto"/>
                      <w:u w:val="none"/>
                      <w:lang w:eastAsia="zh-CN"/>
                    </w:rPr>
                  </w:pPr>
                  <w:r>
                    <w:rPr>
                      <w:rFonts w:hint="eastAsia"/>
                      <w:color w:val="auto"/>
                      <w:u w:val="none"/>
                    </w:rPr>
                    <w:t>排放</w:t>
                  </w:r>
                  <w:r>
                    <w:rPr>
                      <w:rFonts w:hint="eastAsia"/>
                      <w:color w:val="auto"/>
                      <w:u w:val="none"/>
                      <w:lang w:val="en-US" w:eastAsia="zh-CN"/>
                    </w:rPr>
                    <w:t>方式</w:t>
                  </w:r>
                </w:p>
              </w:tc>
              <w:tc>
                <w:tcPr>
                  <w:tcW w:w="1883" w:type="dxa"/>
                  <w:vAlign w:val="center"/>
                </w:tcPr>
                <w:p>
                  <w:pPr>
                    <w:pStyle w:val="48"/>
                    <w:rPr>
                      <w:color w:val="auto"/>
                      <w:u w:val="none"/>
                    </w:rPr>
                  </w:pPr>
                  <w:r>
                    <w:rPr>
                      <w:rFonts w:hint="eastAsia"/>
                      <w:color w:val="auto"/>
                      <w:u w:val="none"/>
                    </w:rPr>
                    <w:t>监测点位</w:t>
                  </w:r>
                </w:p>
              </w:tc>
              <w:tc>
                <w:tcPr>
                  <w:tcW w:w="1617" w:type="dxa"/>
                  <w:vAlign w:val="center"/>
                </w:tcPr>
                <w:p>
                  <w:pPr>
                    <w:pStyle w:val="48"/>
                    <w:rPr>
                      <w:color w:val="auto"/>
                      <w:u w:val="none"/>
                    </w:rPr>
                  </w:pPr>
                  <w:r>
                    <w:rPr>
                      <w:rFonts w:hint="eastAsia"/>
                      <w:color w:val="auto"/>
                      <w:u w:val="none"/>
                    </w:rPr>
                    <w:t>监测项目</w:t>
                  </w:r>
                </w:p>
              </w:tc>
              <w:tc>
                <w:tcPr>
                  <w:tcW w:w="1133" w:type="dxa"/>
                  <w:vAlign w:val="center"/>
                </w:tcPr>
                <w:p>
                  <w:pPr>
                    <w:pStyle w:val="48"/>
                    <w:rPr>
                      <w:color w:val="auto"/>
                      <w:u w:val="none"/>
                    </w:rPr>
                  </w:pPr>
                  <w:r>
                    <w:rPr>
                      <w:rFonts w:hint="eastAsia"/>
                      <w:color w:val="auto"/>
                      <w:u w:val="none"/>
                    </w:rPr>
                    <w:t>监测频率</w:t>
                  </w:r>
                </w:p>
              </w:tc>
              <w:tc>
                <w:tcPr>
                  <w:tcW w:w="2744" w:type="dxa"/>
                  <w:vAlign w:val="center"/>
                </w:tcPr>
                <w:p>
                  <w:pPr>
                    <w:pStyle w:val="48"/>
                    <w:rPr>
                      <w:color w:val="auto"/>
                      <w:u w:val="none"/>
                    </w:rPr>
                  </w:pPr>
                  <w:r>
                    <w:rPr>
                      <w:color w:val="auto"/>
                      <w:u w:val="none"/>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36" w:type="dxa"/>
                  <w:vAlign w:val="center"/>
                </w:tcPr>
                <w:p>
                  <w:pPr>
                    <w:pStyle w:val="48"/>
                    <w:rPr>
                      <w:color w:val="auto"/>
                      <w:u w:val="none"/>
                    </w:rPr>
                  </w:pPr>
                  <w:r>
                    <w:rPr>
                      <w:rFonts w:hint="eastAsia"/>
                      <w:color w:val="auto"/>
                      <w:u w:val="none"/>
                    </w:rPr>
                    <w:t>无组织</w:t>
                  </w:r>
                </w:p>
              </w:tc>
              <w:tc>
                <w:tcPr>
                  <w:tcW w:w="1883" w:type="dxa"/>
                  <w:vAlign w:val="center"/>
                </w:tcPr>
                <w:p>
                  <w:pPr>
                    <w:pStyle w:val="48"/>
                    <w:rPr>
                      <w:color w:val="auto"/>
                      <w:u w:val="none"/>
                    </w:rPr>
                  </w:pPr>
                  <w:r>
                    <w:rPr>
                      <w:rFonts w:hint="default"/>
                      <w:color w:val="auto"/>
                      <w:u w:val="none"/>
                      <w:lang w:val="en-US" w:eastAsia="zh-CN"/>
                    </w:rPr>
                    <w:t>污水处理站上风向G2、污水处理站下风向G3、污水处理站下风向G4</w:t>
                  </w:r>
                </w:p>
              </w:tc>
              <w:tc>
                <w:tcPr>
                  <w:tcW w:w="1617" w:type="dxa"/>
                  <w:vAlign w:val="center"/>
                </w:tcPr>
                <w:p>
                  <w:pPr>
                    <w:pStyle w:val="48"/>
                    <w:rPr>
                      <w:rFonts w:hint="default" w:eastAsia="宋体"/>
                      <w:color w:val="auto"/>
                      <w:u w:val="none"/>
                      <w:lang w:val="en-US" w:eastAsia="zh-CN"/>
                    </w:rPr>
                  </w:pPr>
                  <w:r>
                    <w:rPr>
                      <w:rFonts w:hint="eastAsia"/>
                      <w:color w:val="auto"/>
                      <w:u w:val="none"/>
                    </w:rPr>
                    <w:t>氨、硫化氢、氯气、臭气浓度</w:t>
                  </w:r>
                  <w:r>
                    <w:rPr>
                      <w:rFonts w:hint="eastAsia"/>
                      <w:color w:val="auto"/>
                      <w:u w:val="none"/>
                      <w:lang w:eastAsia="zh-CN"/>
                    </w:rPr>
                    <w:t>、</w:t>
                  </w:r>
                  <w:r>
                    <w:rPr>
                      <w:rFonts w:hint="eastAsia"/>
                      <w:color w:val="auto"/>
                      <w:u w:val="none"/>
                      <w:lang w:val="en-US" w:eastAsia="zh-CN"/>
                    </w:rPr>
                    <w:t>甲烷</w:t>
                  </w:r>
                </w:p>
              </w:tc>
              <w:tc>
                <w:tcPr>
                  <w:tcW w:w="1133" w:type="dxa"/>
                  <w:vAlign w:val="center"/>
                </w:tcPr>
                <w:p>
                  <w:pPr>
                    <w:pStyle w:val="48"/>
                    <w:rPr>
                      <w:color w:val="auto"/>
                      <w:u w:val="none"/>
                    </w:rPr>
                  </w:pPr>
                  <w:r>
                    <w:rPr>
                      <w:rFonts w:hint="eastAsia"/>
                      <w:color w:val="auto"/>
                      <w:u w:val="none"/>
                      <w:lang w:val="en-US" w:eastAsia="zh-CN"/>
                    </w:rPr>
                    <w:t>1次/</w:t>
                  </w:r>
                  <w:r>
                    <w:rPr>
                      <w:rFonts w:hint="eastAsia"/>
                      <w:color w:val="auto"/>
                      <w:u w:val="none"/>
                    </w:rPr>
                    <w:t>季度</w:t>
                  </w:r>
                </w:p>
              </w:tc>
              <w:tc>
                <w:tcPr>
                  <w:tcW w:w="2744" w:type="dxa"/>
                  <w:vAlign w:val="center"/>
                </w:tcPr>
                <w:p>
                  <w:pPr>
                    <w:pStyle w:val="48"/>
                    <w:rPr>
                      <w:color w:val="auto"/>
                      <w:u w:val="none"/>
                    </w:rPr>
                  </w:pPr>
                  <w:r>
                    <w:rPr>
                      <w:rFonts w:hint="eastAsia"/>
                      <w:color w:val="auto"/>
                      <w:u w:val="none"/>
                    </w:rPr>
                    <w:t>《医疗机构水污染物排放标准》（GB18466-2005）</w:t>
                  </w:r>
                  <w:r>
                    <w:rPr>
                      <w:rFonts w:hint="eastAsia"/>
                      <w:color w:val="auto"/>
                      <w:u w:val="none"/>
                      <w:lang w:val="en-US" w:eastAsia="zh-CN"/>
                    </w:rPr>
                    <w:t>表3中标准</w:t>
                  </w:r>
                </w:p>
              </w:tc>
            </w:tr>
          </w:tbl>
          <w:p>
            <w:pPr>
              <w:pStyle w:val="7"/>
              <w:keepNext w:val="0"/>
              <w:keepLines w:val="0"/>
              <w:pageBreakBefore w:val="0"/>
              <w:widowControl w:val="0"/>
              <w:numPr>
                <w:ilvl w:val="0"/>
                <w:numId w:val="0"/>
              </w:numPr>
              <w:kinsoku/>
              <w:wordWrap/>
              <w:overflowPunct/>
              <w:topLinePunct w:val="0"/>
              <w:autoSpaceDE/>
              <w:autoSpaceDN/>
              <w:bidi w:val="0"/>
              <w:adjustRightInd/>
              <w:snapToGrid/>
              <w:spacing w:before="313" w:beforeLines="100"/>
              <w:ind w:firstLine="482" w:firstLineChars="200"/>
              <w:textAlignment w:val="auto"/>
              <w:rPr>
                <w:rFonts w:hint="eastAsia"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二、</w:t>
            </w:r>
            <w:r>
              <w:rPr>
                <w:rFonts w:hint="eastAsia" w:ascii="Times New Roman" w:hAnsi="Times New Roman" w:eastAsia="宋体" w:cs="Times New Roman"/>
                <w:b/>
                <w:bCs/>
                <w:color w:val="auto"/>
                <w:kern w:val="2"/>
                <w:sz w:val="24"/>
                <w:szCs w:val="24"/>
                <w:lang w:val="en-US" w:eastAsia="zh-CN" w:bidi="ar-SA"/>
              </w:rPr>
              <w:t>废水</w:t>
            </w:r>
          </w:p>
          <w:p>
            <w:pPr>
              <w:keepNext w:val="0"/>
              <w:keepLines w:val="0"/>
              <w:pageBreakBefore w:val="0"/>
              <w:widowControl/>
              <w:suppressLineNumbers w:val="0"/>
              <w:kinsoku/>
              <w:wordWrap/>
              <w:overflowPunct/>
              <w:topLinePunct w:val="0"/>
              <w:autoSpaceDE/>
              <w:autoSpaceDN/>
              <w:bidi w:val="0"/>
              <w:adjustRightInd/>
              <w:snapToGrid/>
              <w:ind w:firstLine="482" w:firstLineChars="200"/>
              <w:jc w:val="both"/>
              <w:textAlignment w:val="auto"/>
              <w:rPr>
                <w:rFonts w:hint="eastAsia"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1</w:t>
            </w:r>
            <w:r>
              <w:rPr>
                <w:rFonts w:hint="eastAsia" w:ascii="Times New Roman" w:hAnsi="Times New Roman" w:eastAsia="宋体" w:cs="Times New Roman"/>
                <w:b/>
                <w:bCs/>
                <w:color w:val="000000"/>
                <w:kern w:val="0"/>
                <w:sz w:val="24"/>
                <w:szCs w:val="24"/>
                <w:lang w:val="en-US" w:eastAsia="zh-CN" w:bidi="ar"/>
              </w:rPr>
              <w:t>、废水污染源情况</w:t>
            </w:r>
          </w:p>
          <w:p>
            <w:pPr>
              <w:pStyle w:val="7"/>
              <w:ind w:firstLine="480"/>
              <w:rPr>
                <w:rFonts w:hint="eastAsia"/>
                <w:color w:val="auto"/>
                <w:u w:val="single"/>
              </w:rPr>
            </w:pPr>
            <w:r>
              <w:rPr>
                <w:rFonts w:hint="eastAsia" w:ascii="宋体" w:hAnsi="宋体" w:eastAsia="宋体" w:cs="宋体"/>
                <w:color w:val="000000"/>
                <w:kern w:val="0"/>
                <w:sz w:val="24"/>
                <w:szCs w:val="24"/>
                <w:u w:val="single"/>
                <w:lang w:val="en-US" w:eastAsia="zh-CN" w:bidi="ar"/>
              </w:rPr>
              <w:t>本项目不设传染科、病理解剖室、太平间等，本项目无口腔诊疗，营运期无传染性废水、含汞废水、含氰含钾废水等；配药室等科室使用过后的废弃消毒剂以及检验科用于检验的标本（血液）和使用过的废弃化学药剂，按照操作规程均不会作为废水直接排入下水道，而是作为医疗废物进行收集和处理，故本项目综合废水主要包括</w:t>
            </w:r>
            <w:r>
              <w:rPr>
                <w:rFonts w:hint="eastAsia"/>
                <w:color w:val="auto"/>
                <w:u w:val="single"/>
              </w:rPr>
              <w:t>门诊医疗废水、住院病房废水、医务人员办公废水、</w:t>
            </w:r>
            <w:r>
              <w:rPr>
                <w:rFonts w:hint="eastAsia" w:ascii="宋体" w:hAnsi="宋体" w:cs="宋体"/>
                <w:color w:val="000000"/>
                <w:kern w:val="0"/>
                <w:sz w:val="24"/>
                <w:szCs w:val="24"/>
                <w:u w:val="single"/>
                <w:lang w:val="en-US" w:eastAsia="zh-CN" w:bidi="ar"/>
              </w:rPr>
              <w:t>洗涤用水</w:t>
            </w:r>
            <w:r>
              <w:rPr>
                <w:rFonts w:hint="eastAsia" w:ascii="宋体" w:hAnsi="宋体" w:eastAsia="宋体" w:cs="宋体"/>
                <w:color w:val="000000"/>
                <w:kern w:val="0"/>
                <w:sz w:val="24"/>
                <w:szCs w:val="24"/>
                <w:u w:val="single"/>
                <w:lang w:val="en-US" w:eastAsia="zh-CN" w:bidi="ar"/>
              </w:rPr>
              <w:t>。</w:t>
            </w:r>
            <w:r>
              <w:rPr>
                <w:rFonts w:hint="eastAsia"/>
                <w:color w:val="auto"/>
                <w:u w:val="single"/>
                <w:lang w:val="en-US" w:eastAsia="zh-CN"/>
              </w:rPr>
              <w:t>根据工程分析，</w:t>
            </w:r>
            <w:r>
              <w:rPr>
                <w:rFonts w:hint="eastAsia"/>
                <w:color w:val="auto"/>
                <w:u w:val="single"/>
              </w:rPr>
              <w:t>项目用水量为</w:t>
            </w:r>
            <w:r>
              <w:rPr>
                <w:rFonts w:hint="eastAsia"/>
                <w:color w:val="auto"/>
                <w:u w:val="single"/>
                <w:lang w:val="en-US" w:eastAsia="zh-CN"/>
              </w:rPr>
              <w:t>4361.75</w:t>
            </w:r>
            <w:r>
              <w:rPr>
                <w:rFonts w:hint="eastAsia"/>
                <w:color w:val="auto"/>
                <w:u w:val="single"/>
              </w:rPr>
              <w:t>m</w:t>
            </w:r>
            <w:r>
              <w:rPr>
                <w:rFonts w:hint="eastAsia"/>
                <w:color w:val="auto"/>
                <w:u w:val="single"/>
                <w:vertAlign w:val="superscript"/>
              </w:rPr>
              <w:t>3</w:t>
            </w:r>
            <w:r>
              <w:rPr>
                <w:rFonts w:hint="eastAsia"/>
                <w:color w:val="auto"/>
                <w:u w:val="single"/>
              </w:rPr>
              <w:t>/a，污水排放量为</w:t>
            </w:r>
            <w:r>
              <w:rPr>
                <w:rFonts w:hint="eastAsia"/>
                <w:color w:val="auto"/>
                <w:u w:val="single"/>
                <w:lang w:val="en-US" w:eastAsia="zh-CN"/>
              </w:rPr>
              <w:t>3489.4</w:t>
            </w:r>
            <w:r>
              <w:rPr>
                <w:rFonts w:hint="eastAsia"/>
                <w:color w:val="auto"/>
                <w:u w:val="single"/>
              </w:rPr>
              <w:t>m</w:t>
            </w:r>
            <w:r>
              <w:rPr>
                <w:rFonts w:hint="eastAsia"/>
                <w:color w:val="auto"/>
                <w:u w:val="single"/>
                <w:vertAlign w:val="superscript"/>
              </w:rPr>
              <w:t>3</w:t>
            </w:r>
            <w:r>
              <w:rPr>
                <w:rFonts w:hint="eastAsia"/>
                <w:color w:val="auto"/>
                <w:u w:val="single"/>
              </w:rPr>
              <w:t>/a。</w:t>
            </w:r>
            <w:r>
              <w:rPr>
                <w:rFonts w:hint="eastAsia" w:ascii="宋体" w:hAnsi="宋体" w:eastAsia="宋体" w:cs="宋体"/>
                <w:color w:val="000000"/>
                <w:kern w:val="0"/>
                <w:sz w:val="24"/>
                <w:szCs w:val="24"/>
                <w:u w:val="single"/>
                <w:lang w:val="en-US" w:eastAsia="zh-CN" w:bidi="ar"/>
              </w:rPr>
              <w:t>该部分废水经“化粪池+格栅井+调节池+AO工艺+沉淀池+消毒”</w:t>
            </w:r>
            <w:r>
              <w:rPr>
                <w:rFonts w:hint="eastAsia" w:ascii="宋体" w:hAnsi="宋体" w:cs="宋体"/>
                <w:color w:val="000000"/>
                <w:kern w:val="0"/>
                <w:sz w:val="24"/>
                <w:szCs w:val="24"/>
                <w:u w:val="single"/>
                <w:lang w:val="en-US" w:eastAsia="zh-CN" w:bidi="ar"/>
              </w:rPr>
              <w:t>处理</w:t>
            </w:r>
            <w:r>
              <w:rPr>
                <w:rFonts w:hint="eastAsia" w:ascii="宋体" w:hAnsi="宋体" w:eastAsia="宋体" w:cs="宋体"/>
                <w:color w:val="000000"/>
                <w:kern w:val="0"/>
                <w:sz w:val="24"/>
                <w:szCs w:val="24"/>
                <w:u w:val="single"/>
                <w:lang w:val="en-US" w:eastAsia="zh-CN" w:bidi="ar"/>
              </w:rPr>
              <w:t>工艺处理达标后，再经市政管网排入</w:t>
            </w:r>
            <w:r>
              <w:rPr>
                <w:rFonts w:hint="eastAsia" w:ascii="宋体" w:hAnsi="宋体" w:cs="宋体"/>
                <w:color w:val="000000"/>
                <w:kern w:val="0"/>
                <w:sz w:val="24"/>
                <w:szCs w:val="24"/>
                <w:u w:val="single"/>
                <w:lang w:val="en-US" w:eastAsia="zh-CN" w:bidi="ar"/>
              </w:rPr>
              <w:t>桃源镇</w:t>
            </w:r>
            <w:r>
              <w:rPr>
                <w:rFonts w:hint="eastAsia" w:ascii="宋体" w:hAnsi="宋体" w:eastAsia="宋体" w:cs="宋体"/>
                <w:color w:val="000000"/>
                <w:kern w:val="0"/>
                <w:sz w:val="24"/>
                <w:szCs w:val="24"/>
                <w:u w:val="single"/>
                <w:lang w:val="en-US" w:eastAsia="zh-CN" w:bidi="ar"/>
              </w:rPr>
              <w:t>污水处理厂。</w:t>
            </w:r>
            <w:r>
              <w:rPr>
                <w:rFonts w:hint="eastAsia" w:ascii="宋体" w:hAnsi="宋体" w:cs="宋体"/>
                <w:color w:val="000000"/>
                <w:kern w:val="0"/>
                <w:sz w:val="24"/>
                <w:szCs w:val="24"/>
                <w:u w:val="single"/>
                <w:lang w:val="en-US" w:eastAsia="zh-CN" w:bidi="ar"/>
              </w:rPr>
              <w:t>根据</w:t>
            </w:r>
            <w:r>
              <w:rPr>
                <w:rFonts w:hint="eastAsia"/>
                <w:color w:val="auto"/>
                <w:u w:val="single"/>
                <w:lang w:eastAsia="zh-CN"/>
              </w:rPr>
              <w:t>临湘市长安街道社区卫生服务中心（临湘市长安街道妇幼保健计划生育服务站）</w:t>
            </w:r>
            <w:r>
              <w:rPr>
                <w:rFonts w:hint="eastAsia"/>
                <w:color w:val="auto"/>
                <w:u w:val="single"/>
                <w:lang w:val="en-US" w:eastAsia="zh-CN"/>
              </w:rPr>
              <w:t>污水处理设施进口浓度</w:t>
            </w:r>
            <w:r>
              <w:rPr>
                <w:rFonts w:hint="eastAsia"/>
                <w:color w:val="auto"/>
                <w:u w:val="single"/>
              </w:rPr>
              <w:t>，</w:t>
            </w:r>
            <w:r>
              <w:rPr>
                <w:rFonts w:hint="eastAsia"/>
                <w:color w:val="auto"/>
                <w:u w:val="single"/>
                <w:lang w:val="en-US" w:eastAsia="zh-CN"/>
              </w:rPr>
              <w:t>计算各污染因子产生量，详见下表</w:t>
            </w:r>
            <w:r>
              <w:rPr>
                <w:rFonts w:hint="eastAsia"/>
                <w:color w:val="auto"/>
                <w:u w:val="single"/>
              </w:rPr>
              <w:t>。</w:t>
            </w:r>
          </w:p>
          <w:p>
            <w:pPr>
              <w:pStyle w:val="69"/>
              <w:rPr>
                <w:rFonts w:hint="default" w:ascii="Times New Roman" w:hAnsi="Times New Roman" w:eastAsia="宋体" w:cs="Times New Roman"/>
                <w:b/>
                <w:color w:val="auto"/>
                <w:highlight w:val="none"/>
                <w:u w:val="single"/>
              </w:rPr>
            </w:pPr>
            <w:r>
              <w:rPr>
                <w:rFonts w:hint="default" w:ascii="Times New Roman" w:hAnsi="Times New Roman" w:eastAsia="宋体" w:cs="Times New Roman"/>
                <w:b/>
                <w:color w:val="auto"/>
                <w:highlight w:val="none"/>
                <w:u w:val="single"/>
                <w:lang w:val="en-US" w:eastAsia="zh-CN"/>
              </w:rPr>
              <w:t>表4-5</w:t>
            </w:r>
            <w:r>
              <w:rPr>
                <w:rFonts w:hint="eastAsia" w:cs="Times New Roman"/>
                <w:b/>
                <w:color w:val="auto"/>
                <w:highlight w:val="none"/>
                <w:u w:val="single"/>
                <w:lang w:val="en-US" w:eastAsia="zh-CN"/>
              </w:rPr>
              <w:t xml:space="preserve"> </w:t>
            </w:r>
            <w:r>
              <w:rPr>
                <w:rFonts w:hint="default" w:ascii="Times New Roman" w:hAnsi="Times New Roman" w:eastAsia="宋体" w:cs="Times New Roman"/>
                <w:b/>
                <w:color w:val="auto"/>
                <w:highlight w:val="none"/>
                <w:u w:val="single"/>
                <w:lang w:val="en-US" w:eastAsia="zh-CN"/>
              </w:rPr>
              <w:t>废水污染物产排</w:t>
            </w:r>
            <w:r>
              <w:rPr>
                <w:rFonts w:hint="eastAsia" w:cs="Times New Roman"/>
                <w:b/>
                <w:color w:val="auto"/>
                <w:highlight w:val="none"/>
                <w:u w:val="single"/>
                <w:lang w:val="en-US" w:eastAsia="zh-CN"/>
              </w:rPr>
              <w:t>情况</w:t>
            </w:r>
            <w:r>
              <w:rPr>
                <w:rFonts w:hint="default" w:ascii="Times New Roman" w:hAnsi="Times New Roman" w:eastAsia="宋体" w:cs="Times New Roman"/>
                <w:b/>
                <w:color w:val="auto"/>
                <w:highlight w:val="none"/>
                <w:u w:val="single"/>
                <w:lang w:val="en-US" w:eastAsia="zh-CN"/>
              </w:rPr>
              <w:t>一览表</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1232"/>
              <w:gridCol w:w="889"/>
              <w:gridCol w:w="1329"/>
              <w:gridCol w:w="1281"/>
              <w:gridCol w:w="1228"/>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0" w:type="pct"/>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废水类别</w:t>
                  </w:r>
                </w:p>
              </w:tc>
              <w:tc>
                <w:tcPr>
                  <w:tcW w:w="778" w:type="pct"/>
                  <w:tcBorders>
                    <w:tl2br w:val="nil"/>
                    <w:tr2bl w:val="nil"/>
                  </w:tcBorders>
                  <w:noWrap w:val="0"/>
                  <w:vAlign w:val="center"/>
                </w:tcPr>
                <w:p>
                  <w:pPr>
                    <w:spacing w:line="240" w:lineRule="atLeast"/>
                    <w:ind w:left="0" w:leftChars="0" w:firstLine="0" w:firstLineChars="0"/>
                    <w:jc w:val="center"/>
                    <w:rPr>
                      <w:rFonts w:hint="default" w:ascii="Times New Roman" w:hAnsi="Times New Roman" w:cs="Times New Roman"/>
                      <w:color w:val="auto"/>
                      <w:kern w:val="2"/>
                      <w:sz w:val="21"/>
                      <w:szCs w:val="21"/>
                      <w:highlight w:val="none"/>
                      <w:u w:val="single"/>
                      <w:lang w:val="en-US" w:eastAsia="zh-CN" w:bidi="ar-SA"/>
                    </w:rPr>
                  </w:pPr>
                  <w:r>
                    <w:rPr>
                      <w:rFonts w:hint="default" w:ascii="Times New Roman" w:hAnsi="Times New Roman" w:cs="Times New Roman"/>
                      <w:color w:val="auto"/>
                      <w:sz w:val="21"/>
                      <w:szCs w:val="21"/>
                      <w:highlight w:val="none"/>
                      <w:u w:val="single"/>
                    </w:rPr>
                    <w:t>废水量（m</w:t>
                  </w:r>
                  <w:r>
                    <w:rPr>
                      <w:rFonts w:hint="default" w:ascii="Times New Roman" w:hAnsi="Times New Roman" w:cs="Times New Roman"/>
                      <w:color w:val="auto"/>
                      <w:sz w:val="21"/>
                      <w:szCs w:val="21"/>
                      <w:highlight w:val="none"/>
                      <w:u w:val="single"/>
                      <w:vertAlign w:val="superscript"/>
                    </w:rPr>
                    <w:t>3</w:t>
                  </w:r>
                  <w:r>
                    <w:rPr>
                      <w:rFonts w:hint="default" w:ascii="Times New Roman" w:hAnsi="Times New Roman" w:cs="Times New Roman"/>
                      <w:color w:val="auto"/>
                      <w:sz w:val="21"/>
                      <w:szCs w:val="21"/>
                      <w:highlight w:val="none"/>
                      <w:u w:val="single"/>
                    </w:rPr>
                    <w:t>/a）</w:t>
                  </w:r>
                </w:p>
              </w:tc>
              <w:tc>
                <w:tcPr>
                  <w:tcW w:w="561" w:type="pct"/>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污染物种类</w:t>
                  </w:r>
                </w:p>
              </w:tc>
              <w:tc>
                <w:tcPr>
                  <w:tcW w:w="839" w:type="pct"/>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产生浓度mg/</w:t>
                  </w:r>
                  <w:r>
                    <w:rPr>
                      <w:rFonts w:hint="eastAsia" w:ascii="Times New Roman" w:hAnsi="Times New Roman" w:cs="Times New Roman"/>
                      <w:color w:val="000000"/>
                      <w:sz w:val="21"/>
                      <w:szCs w:val="21"/>
                      <w:highlight w:val="none"/>
                      <w:u w:val="single"/>
                      <w:lang w:val="en-US" w:eastAsia="zh-CN"/>
                    </w:rPr>
                    <w:t>L</w:t>
                  </w:r>
                </w:p>
              </w:tc>
              <w:tc>
                <w:tcPr>
                  <w:tcW w:w="809" w:type="pct"/>
                  <w:tcBorders>
                    <w:tl2br w:val="nil"/>
                    <w:tr2bl w:val="nil"/>
                  </w:tcBorders>
                  <w:noWrap w:val="0"/>
                  <w:vAlign w:val="center"/>
                </w:tcPr>
                <w:p>
                  <w:pPr>
                    <w:pStyle w:val="70"/>
                    <w:widowControl w:val="0"/>
                    <w:jc w:val="center"/>
                    <w:rPr>
                      <w:rFonts w:hint="eastAsia"/>
                      <w:u w:val="single"/>
                      <w:lang w:val="en-US" w:eastAsia="zh-CN"/>
                    </w:rPr>
                  </w:pPr>
                  <w:r>
                    <w:rPr>
                      <w:rFonts w:hint="default" w:ascii="Times New Roman" w:hAnsi="Times New Roman" w:eastAsia="宋体" w:cs="Times New Roman"/>
                      <w:color w:val="auto"/>
                      <w:highlight w:val="none"/>
                      <w:u w:val="single"/>
                      <w:lang w:val="en-US" w:eastAsia="zh-CN"/>
                    </w:rPr>
                    <w:t>产生量t/a</w:t>
                  </w:r>
                </w:p>
              </w:tc>
              <w:tc>
                <w:tcPr>
                  <w:tcW w:w="775" w:type="pct"/>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治理设施</w:t>
                  </w:r>
                </w:p>
              </w:tc>
              <w:tc>
                <w:tcPr>
                  <w:tcW w:w="794" w:type="pct"/>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000000"/>
                      <w:sz w:val="21"/>
                      <w:szCs w:val="21"/>
                      <w:highlight w:val="none"/>
                      <w:u w:val="single"/>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vMerge w:val="restart"/>
                  <w:tcBorders>
                    <w:tl2br w:val="nil"/>
                    <w:tr2bl w:val="nil"/>
                  </w:tcBorders>
                  <w:noWrap w:val="0"/>
                  <w:vAlign w:val="center"/>
                </w:tcPr>
                <w:p>
                  <w:pPr>
                    <w:pStyle w:val="70"/>
                    <w:widowControl w:val="0"/>
                    <w:jc w:val="center"/>
                    <w:rPr>
                      <w:rFonts w:hint="default" w:ascii="Times New Roman" w:hAnsi="Times New Roman" w:eastAsia="宋体" w:cs="Times New Roman"/>
                      <w:spacing w:val="6"/>
                      <w:szCs w:val="21"/>
                      <w:highlight w:val="none"/>
                      <w:u w:val="single"/>
                      <w:lang w:val="en-US" w:eastAsia="zh-CN"/>
                    </w:rPr>
                  </w:pPr>
                  <w:r>
                    <w:rPr>
                      <w:rFonts w:hint="eastAsia" w:ascii="Times New Roman" w:hAnsi="Times New Roman" w:cs="Times New Roman"/>
                      <w:spacing w:val="6"/>
                      <w:szCs w:val="21"/>
                      <w:highlight w:val="none"/>
                      <w:u w:val="single"/>
                      <w:lang w:val="en-US" w:eastAsia="zh-CN"/>
                    </w:rPr>
                    <w:t>处理设施进口</w:t>
                  </w:r>
                </w:p>
              </w:tc>
              <w:tc>
                <w:tcPr>
                  <w:tcW w:w="778" w:type="pct"/>
                  <w:vMerge w:val="restart"/>
                  <w:tcBorders>
                    <w:tl2br w:val="nil"/>
                    <w:tr2bl w:val="nil"/>
                  </w:tcBorders>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color w:val="auto"/>
                      <w:u w:val="single"/>
                      <w:lang w:val="en-US" w:eastAsia="zh-CN"/>
                    </w:rPr>
                    <w:t>3489.4</w:t>
                  </w:r>
                </w:p>
              </w:tc>
              <w:tc>
                <w:tcPr>
                  <w:tcW w:w="561"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4"/>
                      <w:highlight w:val="none"/>
                      <w:u w:val="single"/>
                      <w:lang w:val="en-US" w:eastAsia="zh-CN" w:bidi="ar-SA"/>
                    </w:rPr>
                  </w:pPr>
                  <w:r>
                    <w:rPr>
                      <w:rFonts w:hint="eastAsia" w:ascii="Times New Roman" w:hAnsi="Times New Roman" w:eastAsia="宋体" w:cs="Times New Roman"/>
                      <w:color w:val="auto"/>
                      <w:kern w:val="0"/>
                      <w:sz w:val="21"/>
                      <w:szCs w:val="24"/>
                      <w:highlight w:val="none"/>
                      <w:u w:val="single"/>
                      <w:lang w:val="en-US" w:eastAsia="zh-CN" w:bidi="ar-SA"/>
                    </w:rPr>
                    <w:t>悬浮物</w:t>
                  </w:r>
                </w:p>
              </w:tc>
              <w:tc>
                <w:tcPr>
                  <w:tcW w:w="839" w:type="pct"/>
                  <w:tcBorders>
                    <w:tl2br w:val="nil"/>
                    <w:tr2bl w:val="nil"/>
                  </w:tcBorders>
                  <w:noWrap w:val="0"/>
                  <w:vAlign w:val="center"/>
                </w:tcPr>
                <w:p>
                  <w:pPr>
                    <w:pStyle w:val="70"/>
                    <w:widowControl w:val="0"/>
                    <w:jc w:val="center"/>
                    <w:rPr>
                      <w:rFonts w:hint="default" w:ascii="Times New Roman" w:hAnsi="Times New Roman" w:cs="Times New Roman"/>
                      <w:color w:val="auto"/>
                      <w:kern w:val="0"/>
                      <w:sz w:val="21"/>
                      <w:szCs w:val="21"/>
                      <w:highlight w:val="none"/>
                      <w:u w:val="single"/>
                      <w:lang w:val="en-US" w:eastAsia="zh-CN" w:bidi="ar"/>
                    </w:rPr>
                  </w:pPr>
                  <w:r>
                    <w:rPr>
                      <w:rFonts w:hint="eastAsia" w:ascii="Times New Roman" w:hAnsi="Times New Roman" w:cs="Times New Roman"/>
                      <w:color w:val="auto"/>
                      <w:kern w:val="0"/>
                      <w:sz w:val="21"/>
                      <w:szCs w:val="21"/>
                      <w:highlight w:val="none"/>
                      <w:u w:val="single"/>
                      <w:lang w:val="en-US" w:eastAsia="zh-CN" w:bidi="ar"/>
                    </w:rPr>
                    <w:t>44.5</w:t>
                  </w:r>
                </w:p>
              </w:tc>
              <w:tc>
                <w:tcPr>
                  <w:tcW w:w="80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ascii="Times New Roman" w:hAnsi="Times New Roman" w:eastAsia="宋体" w:cs="Times New Roman"/>
                      <w:color w:val="auto"/>
                      <w:kern w:val="0"/>
                      <w:sz w:val="21"/>
                      <w:szCs w:val="21"/>
                      <w:highlight w:val="none"/>
                      <w:u w:val="single"/>
                      <w:lang w:val="en-US" w:eastAsia="zh-CN" w:bidi="ar"/>
                    </w:rPr>
                    <w:t>0.16</w:t>
                  </w:r>
                </w:p>
              </w:tc>
              <w:tc>
                <w:tcPr>
                  <w:tcW w:w="775" w:type="pct"/>
                  <w:vMerge w:val="restart"/>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化粪池+格栅井+调节池+AO工艺+沉淀池+消毒</w:t>
                  </w:r>
                </w:p>
              </w:tc>
              <w:tc>
                <w:tcPr>
                  <w:tcW w:w="794" w:type="pct"/>
                  <w:vMerge w:val="restart"/>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r>
                    <w:rPr>
                      <w:rFonts w:hint="eastAsia"/>
                      <w:color w:val="auto"/>
                      <w:u w:val="single"/>
                    </w:rPr>
                    <w:t>排入市政污水管网</w:t>
                  </w:r>
                  <w:r>
                    <w:rPr>
                      <w:rFonts w:hint="eastAsia"/>
                      <w:color w:val="auto"/>
                      <w:u w:val="single"/>
                      <w:lang w:val="en-US" w:eastAsia="zh-CN"/>
                    </w:rPr>
                    <w:t>后进入城镇污水处理厂集中处理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vMerge w:val="continue"/>
                  <w:tcBorders>
                    <w:tl2br w:val="nil"/>
                    <w:tr2bl w:val="nil"/>
                  </w:tcBorders>
                  <w:noWrap w:val="0"/>
                  <w:vAlign w:val="center"/>
                </w:tcPr>
                <w:p>
                  <w:pPr>
                    <w:pStyle w:val="70"/>
                    <w:widowControl w:val="0"/>
                    <w:jc w:val="center"/>
                    <w:rPr>
                      <w:rFonts w:hint="eastAsia" w:ascii="Times New Roman" w:hAnsi="Times New Roman" w:cs="Times New Roman"/>
                      <w:spacing w:val="6"/>
                      <w:szCs w:val="21"/>
                      <w:highlight w:val="none"/>
                      <w:u w:val="single"/>
                      <w:lang w:val="en-US" w:eastAsia="zh-CN"/>
                    </w:rPr>
                  </w:pPr>
                </w:p>
              </w:tc>
              <w:tc>
                <w:tcPr>
                  <w:tcW w:w="778" w:type="pct"/>
                  <w:vMerge w:val="continue"/>
                  <w:tcBorders>
                    <w:tl2br w:val="nil"/>
                    <w:tr2bl w:val="nil"/>
                  </w:tcBorders>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bidi="ar"/>
                    </w:rPr>
                  </w:pPr>
                </w:p>
              </w:tc>
              <w:tc>
                <w:tcPr>
                  <w:tcW w:w="561"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4"/>
                      <w:highlight w:val="none"/>
                      <w:u w:val="single"/>
                      <w:lang w:val="en-US" w:eastAsia="zh-CN" w:bidi="ar-SA"/>
                    </w:rPr>
                  </w:pPr>
                  <w:r>
                    <w:rPr>
                      <w:rFonts w:hint="eastAsia" w:ascii="Times New Roman" w:hAnsi="Times New Roman" w:eastAsia="宋体" w:cs="Times New Roman"/>
                      <w:color w:val="auto"/>
                      <w:kern w:val="0"/>
                      <w:sz w:val="21"/>
                      <w:szCs w:val="24"/>
                      <w:highlight w:val="none"/>
                      <w:u w:val="single"/>
                      <w:lang w:val="en-US" w:eastAsia="zh-CN" w:bidi="ar-SA"/>
                    </w:rPr>
                    <w:t>化学需氧量</w:t>
                  </w:r>
                </w:p>
              </w:tc>
              <w:tc>
                <w:tcPr>
                  <w:tcW w:w="839" w:type="pct"/>
                  <w:tcBorders>
                    <w:tl2br w:val="nil"/>
                    <w:tr2bl w:val="nil"/>
                  </w:tcBorders>
                  <w:noWrap w:val="0"/>
                  <w:vAlign w:val="center"/>
                </w:tcPr>
                <w:p>
                  <w:pPr>
                    <w:pStyle w:val="70"/>
                    <w:widowControl w:val="0"/>
                    <w:jc w:val="center"/>
                    <w:rPr>
                      <w:rFonts w:hint="default" w:ascii="Times New Roman" w:hAnsi="Times New Roman" w:cs="Times New Roman"/>
                      <w:color w:val="auto"/>
                      <w:kern w:val="0"/>
                      <w:sz w:val="21"/>
                      <w:szCs w:val="21"/>
                      <w:highlight w:val="none"/>
                      <w:u w:val="single"/>
                      <w:lang w:val="en-US" w:eastAsia="zh-CN" w:bidi="ar"/>
                    </w:rPr>
                  </w:pPr>
                  <w:r>
                    <w:rPr>
                      <w:rFonts w:hint="eastAsia" w:ascii="Times New Roman" w:hAnsi="Times New Roman" w:cs="Times New Roman"/>
                      <w:color w:val="auto"/>
                      <w:kern w:val="0"/>
                      <w:sz w:val="21"/>
                      <w:szCs w:val="21"/>
                      <w:highlight w:val="none"/>
                      <w:u w:val="single"/>
                      <w:lang w:val="en-US" w:eastAsia="zh-CN" w:bidi="ar"/>
                    </w:rPr>
                    <w:t>159</w:t>
                  </w:r>
                </w:p>
              </w:tc>
              <w:tc>
                <w:tcPr>
                  <w:tcW w:w="80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ascii="Times New Roman" w:hAnsi="Times New Roman" w:eastAsia="宋体" w:cs="Times New Roman"/>
                      <w:color w:val="auto"/>
                      <w:kern w:val="0"/>
                      <w:sz w:val="21"/>
                      <w:szCs w:val="21"/>
                      <w:highlight w:val="none"/>
                      <w:u w:val="single"/>
                      <w:lang w:val="en-US" w:eastAsia="zh-CN" w:bidi="ar"/>
                    </w:rPr>
                    <w:t>0.55</w:t>
                  </w:r>
                </w:p>
              </w:tc>
              <w:tc>
                <w:tcPr>
                  <w:tcW w:w="775" w:type="pct"/>
                  <w:vMerge w:val="continue"/>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p>
              </w:tc>
              <w:tc>
                <w:tcPr>
                  <w:tcW w:w="794" w:type="pct"/>
                  <w:vMerge w:val="continue"/>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vMerge w:val="continue"/>
                  <w:tcBorders>
                    <w:tl2br w:val="nil"/>
                    <w:tr2bl w:val="nil"/>
                  </w:tcBorders>
                  <w:noWrap w:val="0"/>
                  <w:vAlign w:val="center"/>
                </w:tcPr>
                <w:p>
                  <w:pPr>
                    <w:pStyle w:val="70"/>
                    <w:widowControl w:val="0"/>
                    <w:jc w:val="center"/>
                    <w:rPr>
                      <w:rFonts w:hint="eastAsia" w:ascii="Times New Roman" w:hAnsi="Times New Roman" w:cs="Times New Roman"/>
                      <w:spacing w:val="6"/>
                      <w:szCs w:val="21"/>
                      <w:highlight w:val="none"/>
                      <w:u w:val="single"/>
                      <w:lang w:val="en-US" w:eastAsia="zh-CN"/>
                    </w:rPr>
                  </w:pPr>
                </w:p>
              </w:tc>
              <w:tc>
                <w:tcPr>
                  <w:tcW w:w="778" w:type="pct"/>
                  <w:vMerge w:val="continue"/>
                  <w:tcBorders>
                    <w:tl2br w:val="nil"/>
                    <w:tr2bl w:val="nil"/>
                  </w:tcBorders>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bidi="ar"/>
                    </w:rPr>
                  </w:pPr>
                </w:p>
              </w:tc>
              <w:tc>
                <w:tcPr>
                  <w:tcW w:w="561"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4"/>
                      <w:highlight w:val="none"/>
                      <w:u w:val="single"/>
                      <w:lang w:val="en-US" w:eastAsia="zh-CN" w:bidi="ar-SA"/>
                    </w:rPr>
                  </w:pPr>
                  <w:r>
                    <w:rPr>
                      <w:rFonts w:hint="default" w:ascii="Times New Roman" w:hAnsi="Times New Roman" w:eastAsia="宋体" w:cs="Times New Roman"/>
                      <w:color w:val="auto"/>
                      <w:kern w:val="0"/>
                      <w:sz w:val="21"/>
                      <w:szCs w:val="24"/>
                      <w:highlight w:val="none"/>
                      <w:u w:val="single"/>
                      <w:lang w:val="en-US" w:eastAsia="zh-CN" w:bidi="ar-SA"/>
                    </w:rPr>
                    <w:t>BOD5</w:t>
                  </w:r>
                </w:p>
              </w:tc>
              <w:tc>
                <w:tcPr>
                  <w:tcW w:w="839" w:type="pct"/>
                  <w:tcBorders>
                    <w:tl2br w:val="nil"/>
                    <w:tr2bl w:val="nil"/>
                  </w:tcBorders>
                  <w:noWrap w:val="0"/>
                  <w:vAlign w:val="center"/>
                </w:tcPr>
                <w:p>
                  <w:pPr>
                    <w:pStyle w:val="70"/>
                    <w:widowControl w:val="0"/>
                    <w:jc w:val="center"/>
                    <w:rPr>
                      <w:rFonts w:hint="default" w:ascii="Times New Roman" w:hAnsi="Times New Roman" w:cs="Times New Roman"/>
                      <w:color w:val="auto"/>
                      <w:kern w:val="0"/>
                      <w:sz w:val="21"/>
                      <w:szCs w:val="21"/>
                      <w:highlight w:val="none"/>
                      <w:u w:val="single"/>
                      <w:lang w:val="en-US" w:eastAsia="zh-CN" w:bidi="ar"/>
                    </w:rPr>
                  </w:pPr>
                  <w:r>
                    <w:rPr>
                      <w:rFonts w:hint="eastAsia" w:ascii="Times New Roman" w:hAnsi="Times New Roman" w:cs="Times New Roman"/>
                      <w:color w:val="auto"/>
                      <w:kern w:val="0"/>
                      <w:sz w:val="21"/>
                      <w:szCs w:val="21"/>
                      <w:highlight w:val="none"/>
                      <w:u w:val="single"/>
                      <w:lang w:val="en-US" w:eastAsia="zh-CN" w:bidi="ar"/>
                    </w:rPr>
                    <w:t>44.2</w:t>
                  </w:r>
                </w:p>
              </w:tc>
              <w:tc>
                <w:tcPr>
                  <w:tcW w:w="80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ascii="Times New Roman" w:hAnsi="Times New Roman" w:eastAsia="宋体" w:cs="Times New Roman"/>
                      <w:color w:val="auto"/>
                      <w:kern w:val="0"/>
                      <w:sz w:val="21"/>
                      <w:szCs w:val="21"/>
                      <w:highlight w:val="none"/>
                      <w:u w:val="single"/>
                      <w:lang w:val="en-US" w:eastAsia="zh-CN" w:bidi="ar"/>
                    </w:rPr>
                    <w:t>0.15</w:t>
                  </w:r>
                </w:p>
              </w:tc>
              <w:tc>
                <w:tcPr>
                  <w:tcW w:w="775" w:type="pct"/>
                  <w:vMerge w:val="continue"/>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p>
              </w:tc>
              <w:tc>
                <w:tcPr>
                  <w:tcW w:w="794" w:type="pct"/>
                  <w:vMerge w:val="continue"/>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vMerge w:val="continue"/>
                  <w:tcBorders>
                    <w:tl2br w:val="nil"/>
                    <w:tr2bl w:val="nil"/>
                  </w:tcBorders>
                  <w:noWrap w:val="0"/>
                  <w:vAlign w:val="center"/>
                </w:tcPr>
                <w:p>
                  <w:pPr>
                    <w:pStyle w:val="70"/>
                    <w:widowControl w:val="0"/>
                    <w:jc w:val="center"/>
                    <w:rPr>
                      <w:rFonts w:hint="eastAsia" w:ascii="Times New Roman" w:hAnsi="Times New Roman" w:cs="Times New Roman"/>
                      <w:spacing w:val="6"/>
                      <w:szCs w:val="21"/>
                      <w:highlight w:val="none"/>
                      <w:u w:val="single"/>
                      <w:lang w:val="en-US" w:eastAsia="zh-CN"/>
                    </w:rPr>
                  </w:pPr>
                </w:p>
              </w:tc>
              <w:tc>
                <w:tcPr>
                  <w:tcW w:w="778" w:type="pct"/>
                  <w:vMerge w:val="continue"/>
                  <w:tcBorders>
                    <w:tl2br w:val="nil"/>
                    <w:tr2bl w:val="nil"/>
                  </w:tcBorders>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bidi="ar"/>
                    </w:rPr>
                  </w:pPr>
                </w:p>
              </w:tc>
              <w:tc>
                <w:tcPr>
                  <w:tcW w:w="561"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4"/>
                      <w:highlight w:val="none"/>
                      <w:u w:val="single"/>
                      <w:lang w:val="en-US" w:eastAsia="zh-CN" w:bidi="ar-SA"/>
                    </w:rPr>
                  </w:pPr>
                  <w:r>
                    <w:rPr>
                      <w:rFonts w:hint="eastAsia" w:ascii="Times New Roman" w:hAnsi="Times New Roman" w:eastAsia="宋体" w:cs="Times New Roman"/>
                      <w:color w:val="auto"/>
                      <w:kern w:val="0"/>
                      <w:sz w:val="21"/>
                      <w:szCs w:val="24"/>
                      <w:highlight w:val="none"/>
                      <w:u w:val="single"/>
                      <w:lang w:val="en-US" w:eastAsia="zh-CN" w:bidi="ar-SA"/>
                    </w:rPr>
                    <w:t>氨氮</w:t>
                  </w:r>
                </w:p>
              </w:tc>
              <w:tc>
                <w:tcPr>
                  <w:tcW w:w="839" w:type="pct"/>
                  <w:tcBorders>
                    <w:tl2br w:val="nil"/>
                    <w:tr2bl w:val="nil"/>
                  </w:tcBorders>
                  <w:noWrap w:val="0"/>
                  <w:vAlign w:val="center"/>
                </w:tcPr>
                <w:p>
                  <w:pPr>
                    <w:pStyle w:val="70"/>
                    <w:widowControl w:val="0"/>
                    <w:jc w:val="center"/>
                    <w:rPr>
                      <w:rFonts w:hint="default" w:ascii="Times New Roman" w:hAnsi="Times New Roman" w:cs="Times New Roman"/>
                      <w:color w:val="auto"/>
                      <w:kern w:val="0"/>
                      <w:sz w:val="21"/>
                      <w:szCs w:val="21"/>
                      <w:highlight w:val="none"/>
                      <w:u w:val="single"/>
                      <w:lang w:val="en-US" w:eastAsia="zh-CN" w:bidi="ar"/>
                    </w:rPr>
                  </w:pPr>
                  <w:r>
                    <w:rPr>
                      <w:rFonts w:hint="eastAsia" w:ascii="Times New Roman" w:hAnsi="Times New Roman" w:cs="Times New Roman"/>
                      <w:color w:val="auto"/>
                      <w:kern w:val="0"/>
                      <w:sz w:val="21"/>
                      <w:szCs w:val="21"/>
                      <w:highlight w:val="none"/>
                      <w:u w:val="single"/>
                      <w:lang w:val="en-US" w:eastAsia="zh-CN" w:bidi="ar"/>
                    </w:rPr>
                    <w:t>50.3</w:t>
                  </w:r>
                </w:p>
              </w:tc>
              <w:tc>
                <w:tcPr>
                  <w:tcW w:w="80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ascii="Times New Roman" w:hAnsi="Times New Roman" w:eastAsia="宋体" w:cs="Times New Roman"/>
                      <w:color w:val="auto"/>
                      <w:kern w:val="0"/>
                      <w:sz w:val="21"/>
                      <w:szCs w:val="21"/>
                      <w:highlight w:val="none"/>
                      <w:u w:val="single"/>
                      <w:lang w:val="en-US" w:eastAsia="zh-CN" w:bidi="ar"/>
                    </w:rPr>
                    <w:t>0.18</w:t>
                  </w:r>
                </w:p>
              </w:tc>
              <w:tc>
                <w:tcPr>
                  <w:tcW w:w="775" w:type="pct"/>
                  <w:vMerge w:val="continue"/>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p>
              </w:tc>
              <w:tc>
                <w:tcPr>
                  <w:tcW w:w="794" w:type="pct"/>
                  <w:vMerge w:val="continue"/>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vMerge w:val="continue"/>
                  <w:tcBorders>
                    <w:tl2br w:val="nil"/>
                    <w:tr2bl w:val="nil"/>
                  </w:tcBorders>
                  <w:noWrap w:val="0"/>
                  <w:vAlign w:val="center"/>
                </w:tcPr>
                <w:p>
                  <w:pPr>
                    <w:pStyle w:val="70"/>
                    <w:widowControl w:val="0"/>
                    <w:jc w:val="center"/>
                    <w:rPr>
                      <w:rFonts w:hint="eastAsia" w:ascii="Times New Roman" w:hAnsi="Times New Roman" w:cs="Times New Roman"/>
                      <w:spacing w:val="6"/>
                      <w:szCs w:val="21"/>
                      <w:highlight w:val="none"/>
                      <w:u w:val="single"/>
                      <w:lang w:val="en-US" w:eastAsia="zh-CN"/>
                    </w:rPr>
                  </w:pPr>
                </w:p>
              </w:tc>
              <w:tc>
                <w:tcPr>
                  <w:tcW w:w="778" w:type="pct"/>
                  <w:vMerge w:val="continue"/>
                  <w:tcBorders>
                    <w:tl2br w:val="nil"/>
                    <w:tr2bl w:val="nil"/>
                  </w:tcBorders>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bidi="ar"/>
                    </w:rPr>
                  </w:pPr>
                </w:p>
              </w:tc>
              <w:tc>
                <w:tcPr>
                  <w:tcW w:w="561"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4"/>
                      <w:highlight w:val="none"/>
                      <w:u w:val="single"/>
                      <w:lang w:val="en-US" w:eastAsia="zh-CN" w:bidi="ar-SA"/>
                    </w:rPr>
                  </w:pPr>
                  <w:r>
                    <w:rPr>
                      <w:rFonts w:hint="eastAsia" w:ascii="Times New Roman" w:hAnsi="Times New Roman" w:eastAsia="宋体" w:cs="Times New Roman"/>
                      <w:color w:val="auto"/>
                      <w:kern w:val="0"/>
                      <w:sz w:val="21"/>
                      <w:szCs w:val="24"/>
                      <w:highlight w:val="none"/>
                      <w:u w:val="single"/>
                      <w:lang w:val="en-US" w:eastAsia="zh-CN" w:bidi="ar-SA"/>
                    </w:rPr>
                    <w:t>动植物油</w:t>
                  </w:r>
                </w:p>
              </w:tc>
              <w:tc>
                <w:tcPr>
                  <w:tcW w:w="839" w:type="pct"/>
                  <w:tcBorders>
                    <w:tl2br w:val="nil"/>
                    <w:tr2bl w:val="nil"/>
                  </w:tcBorders>
                  <w:noWrap w:val="0"/>
                  <w:vAlign w:val="center"/>
                </w:tcPr>
                <w:p>
                  <w:pPr>
                    <w:pStyle w:val="70"/>
                    <w:widowControl w:val="0"/>
                    <w:jc w:val="center"/>
                    <w:rPr>
                      <w:rFonts w:hint="default" w:ascii="Times New Roman" w:hAnsi="Times New Roman" w:cs="Times New Roman"/>
                      <w:color w:val="auto"/>
                      <w:kern w:val="0"/>
                      <w:sz w:val="21"/>
                      <w:szCs w:val="21"/>
                      <w:highlight w:val="none"/>
                      <w:u w:val="single"/>
                      <w:lang w:val="en-US" w:eastAsia="zh-CN" w:bidi="ar"/>
                    </w:rPr>
                  </w:pPr>
                  <w:r>
                    <w:rPr>
                      <w:rFonts w:hint="eastAsia" w:ascii="Times New Roman" w:hAnsi="Times New Roman" w:cs="Times New Roman"/>
                      <w:color w:val="auto"/>
                      <w:kern w:val="0"/>
                      <w:sz w:val="21"/>
                      <w:szCs w:val="21"/>
                      <w:highlight w:val="none"/>
                      <w:u w:val="single"/>
                      <w:lang w:val="en-US" w:eastAsia="zh-CN" w:bidi="ar"/>
                    </w:rPr>
                    <w:t>0.13</w:t>
                  </w:r>
                </w:p>
              </w:tc>
              <w:tc>
                <w:tcPr>
                  <w:tcW w:w="809"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u w:val="single"/>
                      <w:lang w:val="en-US" w:eastAsia="zh-CN" w:bidi="ar"/>
                    </w:rPr>
                  </w:pPr>
                  <w:r>
                    <w:rPr>
                      <w:rFonts w:hint="eastAsia" w:ascii="Times New Roman" w:hAnsi="Times New Roman" w:eastAsia="宋体" w:cs="Times New Roman"/>
                      <w:color w:val="auto"/>
                      <w:kern w:val="0"/>
                      <w:sz w:val="21"/>
                      <w:szCs w:val="21"/>
                      <w:highlight w:val="none"/>
                      <w:u w:val="single"/>
                      <w:lang w:val="en-US" w:eastAsia="zh-CN" w:bidi="ar"/>
                    </w:rPr>
                    <w:t>0.00045</w:t>
                  </w:r>
                </w:p>
              </w:tc>
              <w:tc>
                <w:tcPr>
                  <w:tcW w:w="775" w:type="pct"/>
                  <w:vMerge w:val="continue"/>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p>
              </w:tc>
              <w:tc>
                <w:tcPr>
                  <w:tcW w:w="794" w:type="pct"/>
                  <w:vMerge w:val="continue"/>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vMerge w:val="continue"/>
                  <w:tcBorders>
                    <w:tl2br w:val="nil"/>
                    <w:tr2bl w:val="nil"/>
                  </w:tcBorders>
                  <w:noWrap w:val="0"/>
                  <w:vAlign w:val="center"/>
                </w:tcPr>
                <w:p>
                  <w:pPr>
                    <w:pStyle w:val="70"/>
                    <w:widowControl w:val="0"/>
                    <w:jc w:val="center"/>
                    <w:rPr>
                      <w:rFonts w:hint="eastAsia" w:ascii="Times New Roman" w:hAnsi="Times New Roman" w:cs="Times New Roman"/>
                      <w:spacing w:val="6"/>
                      <w:szCs w:val="21"/>
                      <w:highlight w:val="none"/>
                      <w:u w:val="single"/>
                      <w:lang w:val="en-US" w:eastAsia="zh-CN"/>
                    </w:rPr>
                  </w:pPr>
                </w:p>
              </w:tc>
              <w:tc>
                <w:tcPr>
                  <w:tcW w:w="778" w:type="pct"/>
                  <w:vMerge w:val="continue"/>
                  <w:tcBorders>
                    <w:tl2br w:val="nil"/>
                    <w:tr2bl w:val="nil"/>
                  </w:tcBorders>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bidi="ar"/>
                    </w:rPr>
                  </w:pPr>
                </w:p>
              </w:tc>
              <w:tc>
                <w:tcPr>
                  <w:tcW w:w="561"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4"/>
                      <w:highlight w:val="none"/>
                      <w:u w:val="single"/>
                      <w:lang w:val="en-US" w:eastAsia="zh-CN" w:bidi="ar-SA"/>
                    </w:rPr>
                  </w:pPr>
                  <w:r>
                    <w:rPr>
                      <w:rFonts w:hint="eastAsia" w:ascii="Times New Roman" w:hAnsi="Times New Roman" w:eastAsia="宋体" w:cs="Times New Roman"/>
                      <w:color w:val="auto"/>
                      <w:kern w:val="0"/>
                      <w:sz w:val="21"/>
                      <w:szCs w:val="24"/>
                      <w:highlight w:val="none"/>
                      <w:u w:val="single"/>
                      <w:lang w:val="en-US" w:eastAsia="zh-CN" w:bidi="ar-SA"/>
                    </w:rPr>
                    <w:t>石油类</w:t>
                  </w:r>
                </w:p>
              </w:tc>
              <w:tc>
                <w:tcPr>
                  <w:tcW w:w="839" w:type="pct"/>
                  <w:tcBorders>
                    <w:tl2br w:val="nil"/>
                    <w:tr2bl w:val="nil"/>
                  </w:tcBorders>
                  <w:noWrap w:val="0"/>
                  <w:vAlign w:val="center"/>
                </w:tcPr>
                <w:p>
                  <w:pPr>
                    <w:pStyle w:val="70"/>
                    <w:widowControl w:val="0"/>
                    <w:jc w:val="center"/>
                    <w:rPr>
                      <w:rFonts w:hint="eastAsia" w:ascii="Times New Roman" w:hAnsi="Times New Roman" w:cs="Times New Roman"/>
                      <w:color w:val="auto"/>
                      <w:kern w:val="0"/>
                      <w:sz w:val="21"/>
                      <w:szCs w:val="21"/>
                      <w:highlight w:val="none"/>
                      <w:u w:val="single"/>
                      <w:lang w:val="en-US" w:eastAsia="zh-CN" w:bidi="ar"/>
                    </w:rPr>
                  </w:pPr>
                  <w:r>
                    <w:rPr>
                      <w:rFonts w:hint="eastAsia" w:ascii="Times New Roman" w:hAnsi="Times New Roman" w:cs="Times New Roman"/>
                      <w:color w:val="auto"/>
                      <w:kern w:val="0"/>
                      <w:sz w:val="21"/>
                      <w:szCs w:val="21"/>
                      <w:highlight w:val="none"/>
                      <w:u w:val="single"/>
                      <w:lang w:val="en-US" w:eastAsia="zh-CN" w:bidi="ar"/>
                    </w:rPr>
                    <w:t>0.36</w:t>
                  </w:r>
                </w:p>
              </w:tc>
              <w:tc>
                <w:tcPr>
                  <w:tcW w:w="809"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u w:val="single"/>
                      <w:lang w:val="en-US" w:eastAsia="zh-CN" w:bidi="ar"/>
                    </w:rPr>
                  </w:pPr>
                  <w:r>
                    <w:rPr>
                      <w:rFonts w:hint="eastAsia" w:ascii="Times New Roman" w:hAnsi="Times New Roman" w:eastAsia="宋体" w:cs="Times New Roman"/>
                      <w:color w:val="auto"/>
                      <w:kern w:val="0"/>
                      <w:sz w:val="21"/>
                      <w:szCs w:val="21"/>
                      <w:highlight w:val="none"/>
                      <w:u w:val="single"/>
                      <w:lang w:val="en-US" w:eastAsia="zh-CN" w:bidi="ar"/>
                    </w:rPr>
                    <w:t>0.0013</w:t>
                  </w:r>
                </w:p>
              </w:tc>
              <w:tc>
                <w:tcPr>
                  <w:tcW w:w="775" w:type="pct"/>
                  <w:vMerge w:val="continue"/>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p>
              </w:tc>
              <w:tc>
                <w:tcPr>
                  <w:tcW w:w="794" w:type="pct"/>
                  <w:vMerge w:val="continue"/>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vMerge w:val="continue"/>
                  <w:tcBorders>
                    <w:tl2br w:val="nil"/>
                    <w:tr2bl w:val="nil"/>
                  </w:tcBorders>
                  <w:noWrap w:val="0"/>
                  <w:vAlign w:val="center"/>
                </w:tcPr>
                <w:p>
                  <w:pPr>
                    <w:pStyle w:val="70"/>
                    <w:widowControl w:val="0"/>
                    <w:jc w:val="center"/>
                    <w:rPr>
                      <w:rFonts w:hint="eastAsia" w:ascii="Times New Roman" w:hAnsi="Times New Roman" w:cs="Times New Roman"/>
                      <w:spacing w:val="6"/>
                      <w:szCs w:val="21"/>
                      <w:highlight w:val="none"/>
                      <w:u w:val="single"/>
                      <w:lang w:val="en-US" w:eastAsia="zh-CN"/>
                    </w:rPr>
                  </w:pPr>
                </w:p>
              </w:tc>
              <w:tc>
                <w:tcPr>
                  <w:tcW w:w="778" w:type="pct"/>
                  <w:vMerge w:val="continue"/>
                  <w:tcBorders>
                    <w:tl2br w:val="nil"/>
                    <w:tr2bl w:val="nil"/>
                  </w:tcBorders>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bidi="ar"/>
                    </w:rPr>
                  </w:pPr>
                </w:p>
              </w:tc>
              <w:tc>
                <w:tcPr>
                  <w:tcW w:w="561"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4"/>
                      <w:highlight w:val="none"/>
                      <w:u w:val="single"/>
                      <w:lang w:val="en-US" w:eastAsia="zh-CN" w:bidi="ar-SA"/>
                    </w:rPr>
                  </w:pPr>
                  <w:r>
                    <w:rPr>
                      <w:rFonts w:hint="eastAsia" w:ascii="Times New Roman" w:hAnsi="Times New Roman" w:eastAsia="宋体" w:cs="Times New Roman"/>
                      <w:color w:val="auto"/>
                      <w:kern w:val="0"/>
                      <w:sz w:val="21"/>
                      <w:szCs w:val="24"/>
                      <w:highlight w:val="none"/>
                      <w:u w:val="single"/>
                      <w:lang w:val="en-US" w:eastAsia="zh-CN" w:bidi="ar-SA"/>
                    </w:rPr>
                    <w:t>阴离子表面活性剂</w:t>
                  </w:r>
                </w:p>
              </w:tc>
              <w:tc>
                <w:tcPr>
                  <w:tcW w:w="839" w:type="pct"/>
                  <w:tcBorders>
                    <w:tl2br w:val="nil"/>
                    <w:tr2bl w:val="nil"/>
                  </w:tcBorders>
                  <w:noWrap w:val="0"/>
                  <w:vAlign w:val="center"/>
                </w:tcPr>
                <w:p>
                  <w:pPr>
                    <w:pStyle w:val="70"/>
                    <w:widowControl w:val="0"/>
                    <w:jc w:val="center"/>
                    <w:rPr>
                      <w:rFonts w:hint="eastAsia" w:ascii="Times New Roman" w:hAnsi="Times New Roman" w:cs="Times New Roman"/>
                      <w:color w:val="auto"/>
                      <w:kern w:val="0"/>
                      <w:sz w:val="21"/>
                      <w:szCs w:val="21"/>
                      <w:highlight w:val="none"/>
                      <w:u w:val="single"/>
                      <w:lang w:val="en-US" w:eastAsia="zh-CN" w:bidi="ar"/>
                    </w:rPr>
                  </w:pPr>
                  <w:r>
                    <w:rPr>
                      <w:rFonts w:hint="eastAsia" w:ascii="Times New Roman" w:hAnsi="Times New Roman" w:cs="Times New Roman"/>
                      <w:color w:val="auto"/>
                      <w:kern w:val="0"/>
                      <w:sz w:val="21"/>
                      <w:szCs w:val="21"/>
                      <w:highlight w:val="none"/>
                      <w:u w:val="single"/>
                      <w:lang w:val="en-US" w:eastAsia="zh-CN" w:bidi="ar"/>
                    </w:rPr>
                    <w:t>0.125</w:t>
                  </w:r>
                </w:p>
              </w:tc>
              <w:tc>
                <w:tcPr>
                  <w:tcW w:w="809"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u w:val="single"/>
                      <w:lang w:val="en-US" w:eastAsia="zh-CN" w:bidi="ar"/>
                    </w:rPr>
                  </w:pPr>
                  <w:r>
                    <w:rPr>
                      <w:rFonts w:hint="eastAsia" w:ascii="Times New Roman" w:hAnsi="Times New Roman" w:eastAsia="宋体" w:cs="Times New Roman"/>
                      <w:color w:val="auto"/>
                      <w:kern w:val="0"/>
                      <w:sz w:val="21"/>
                      <w:szCs w:val="21"/>
                      <w:highlight w:val="none"/>
                      <w:u w:val="single"/>
                      <w:lang w:val="en-US" w:eastAsia="zh-CN" w:bidi="ar"/>
                    </w:rPr>
                    <w:t>0.00044</w:t>
                  </w:r>
                </w:p>
              </w:tc>
              <w:tc>
                <w:tcPr>
                  <w:tcW w:w="775" w:type="pct"/>
                  <w:vMerge w:val="continue"/>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p>
              </w:tc>
              <w:tc>
                <w:tcPr>
                  <w:tcW w:w="794" w:type="pct"/>
                  <w:vMerge w:val="continue"/>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vMerge w:val="continue"/>
                  <w:tcBorders>
                    <w:tl2br w:val="nil"/>
                    <w:tr2bl w:val="nil"/>
                  </w:tcBorders>
                  <w:noWrap w:val="0"/>
                  <w:vAlign w:val="center"/>
                </w:tcPr>
                <w:p>
                  <w:pPr>
                    <w:pStyle w:val="70"/>
                    <w:widowControl w:val="0"/>
                    <w:jc w:val="center"/>
                    <w:rPr>
                      <w:rFonts w:hint="eastAsia" w:ascii="Times New Roman" w:hAnsi="Times New Roman" w:cs="Times New Roman"/>
                      <w:spacing w:val="6"/>
                      <w:szCs w:val="21"/>
                      <w:highlight w:val="none"/>
                      <w:u w:val="single"/>
                      <w:lang w:val="en-US" w:eastAsia="zh-CN"/>
                    </w:rPr>
                  </w:pPr>
                </w:p>
              </w:tc>
              <w:tc>
                <w:tcPr>
                  <w:tcW w:w="778" w:type="pct"/>
                  <w:vMerge w:val="continue"/>
                  <w:tcBorders>
                    <w:tl2br w:val="nil"/>
                    <w:tr2bl w:val="nil"/>
                  </w:tcBorders>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bidi="ar"/>
                    </w:rPr>
                  </w:pPr>
                </w:p>
              </w:tc>
              <w:tc>
                <w:tcPr>
                  <w:tcW w:w="561"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4"/>
                      <w:highlight w:val="none"/>
                      <w:u w:val="single"/>
                      <w:lang w:val="en-US" w:eastAsia="zh-CN" w:bidi="ar-SA"/>
                    </w:rPr>
                  </w:pPr>
                  <w:r>
                    <w:rPr>
                      <w:rFonts w:hint="eastAsia" w:ascii="Times New Roman" w:hAnsi="Times New Roman" w:eastAsia="宋体" w:cs="Times New Roman"/>
                      <w:color w:val="auto"/>
                      <w:kern w:val="0"/>
                      <w:sz w:val="21"/>
                      <w:szCs w:val="24"/>
                      <w:highlight w:val="none"/>
                      <w:u w:val="single"/>
                      <w:lang w:val="en-US" w:eastAsia="zh-CN" w:bidi="ar-SA"/>
                    </w:rPr>
                    <w:t>挥发酚</w:t>
                  </w:r>
                </w:p>
              </w:tc>
              <w:tc>
                <w:tcPr>
                  <w:tcW w:w="839" w:type="pct"/>
                  <w:tcBorders>
                    <w:tl2br w:val="nil"/>
                    <w:tr2bl w:val="nil"/>
                  </w:tcBorders>
                  <w:noWrap w:val="0"/>
                  <w:vAlign w:val="center"/>
                </w:tcPr>
                <w:p>
                  <w:pPr>
                    <w:pStyle w:val="70"/>
                    <w:widowControl w:val="0"/>
                    <w:jc w:val="center"/>
                    <w:rPr>
                      <w:rFonts w:hint="eastAsia" w:ascii="Times New Roman" w:hAnsi="Times New Roman" w:cs="Times New Roman"/>
                      <w:color w:val="auto"/>
                      <w:kern w:val="0"/>
                      <w:sz w:val="21"/>
                      <w:szCs w:val="21"/>
                      <w:highlight w:val="none"/>
                      <w:u w:val="single"/>
                      <w:lang w:val="en-US" w:eastAsia="zh-CN" w:bidi="ar"/>
                    </w:rPr>
                  </w:pPr>
                  <w:r>
                    <w:rPr>
                      <w:rFonts w:hint="eastAsia" w:ascii="Times New Roman" w:hAnsi="Times New Roman" w:cs="Times New Roman"/>
                      <w:color w:val="auto"/>
                      <w:kern w:val="0"/>
                      <w:sz w:val="21"/>
                      <w:szCs w:val="21"/>
                      <w:highlight w:val="none"/>
                      <w:u w:val="single"/>
                      <w:lang w:val="en-US" w:eastAsia="zh-CN" w:bidi="ar"/>
                    </w:rPr>
                    <w:t>0.021</w:t>
                  </w:r>
                </w:p>
              </w:tc>
              <w:tc>
                <w:tcPr>
                  <w:tcW w:w="809" w:type="pct"/>
                  <w:tcBorders>
                    <w:tl2br w:val="nil"/>
                    <w:tr2bl w:val="nil"/>
                  </w:tcBorders>
                  <w:noWrap w:val="0"/>
                  <w:vAlign w:val="center"/>
                </w:tcPr>
                <w:p>
                  <w:pPr>
                    <w:pStyle w:val="70"/>
                    <w:widowControl w:val="0"/>
                    <w:jc w:val="center"/>
                    <w:rPr>
                      <w:rFonts w:hint="default"/>
                      <w:color w:val="auto"/>
                      <w:u w:val="single"/>
                      <w:lang w:val="en-US" w:eastAsia="zh-CN"/>
                    </w:rPr>
                  </w:pPr>
                  <w:r>
                    <w:rPr>
                      <w:rFonts w:hint="eastAsia"/>
                      <w:color w:val="auto"/>
                      <w:u w:val="single"/>
                      <w:lang w:val="en-US" w:eastAsia="zh-CN"/>
                    </w:rPr>
                    <w:t>0.73</w:t>
                  </w:r>
                  <w:r>
                    <w:rPr>
                      <w:rFonts w:hint="default" w:ascii="Arial" w:hAnsi="Arial" w:cs="Arial"/>
                      <w:color w:val="auto"/>
                      <w:u w:val="single"/>
                      <w:lang w:val="en-US" w:eastAsia="zh-CN"/>
                    </w:rPr>
                    <w:t>×</w:t>
                  </w:r>
                  <w:r>
                    <w:rPr>
                      <w:rFonts w:hint="eastAsia"/>
                      <w:color w:val="auto"/>
                      <w:u w:val="single"/>
                      <w:lang w:val="en-US" w:eastAsia="zh-CN"/>
                    </w:rPr>
                    <w:t>10</w:t>
                  </w:r>
                  <w:r>
                    <w:rPr>
                      <w:rFonts w:hint="eastAsia"/>
                      <w:color w:val="auto"/>
                      <w:u w:val="single"/>
                      <w:vertAlign w:val="superscript"/>
                      <w:lang w:val="en-US" w:eastAsia="zh-CN"/>
                    </w:rPr>
                    <w:t>-4</w:t>
                  </w:r>
                </w:p>
              </w:tc>
              <w:tc>
                <w:tcPr>
                  <w:tcW w:w="775" w:type="pct"/>
                  <w:vMerge w:val="continue"/>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p>
              </w:tc>
              <w:tc>
                <w:tcPr>
                  <w:tcW w:w="794" w:type="pct"/>
                  <w:vMerge w:val="continue"/>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vMerge w:val="continue"/>
                  <w:tcBorders>
                    <w:tl2br w:val="nil"/>
                    <w:tr2bl w:val="nil"/>
                  </w:tcBorders>
                  <w:noWrap w:val="0"/>
                  <w:vAlign w:val="center"/>
                </w:tcPr>
                <w:p>
                  <w:pPr>
                    <w:pStyle w:val="70"/>
                    <w:widowControl w:val="0"/>
                    <w:jc w:val="center"/>
                    <w:rPr>
                      <w:rFonts w:hint="eastAsia" w:ascii="Times New Roman" w:hAnsi="Times New Roman" w:cs="Times New Roman"/>
                      <w:spacing w:val="6"/>
                      <w:szCs w:val="21"/>
                      <w:highlight w:val="none"/>
                      <w:u w:val="single"/>
                      <w:lang w:val="en-US" w:eastAsia="zh-CN"/>
                    </w:rPr>
                  </w:pPr>
                </w:p>
              </w:tc>
              <w:tc>
                <w:tcPr>
                  <w:tcW w:w="778" w:type="pct"/>
                  <w:vMerge w:val="continue"/>
                  <w:tcBorders>
                    <w:tl2br w:val="nil"/>
                    <w:tr2bl w:val="nil"/>
                  </w:tcBorders>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bidi="ar"/>
                    </w:rPr>
                  </w:pPr>
                </w:p>
              </w:tc>
              <w:tc>
                <w:tcPr>
                  <w:tcW w:w="561"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4"/>
                      <w:highlight w:val="none"/>
                      <w:u w:val="single"/>
                      <w:lang w:val="en-US" w:eastAsia="zh-CN" w:bidi="ar-SA"/>
                    </w:rPr>
                  </w:pPr>
                  <w:r>
                    <w:rPr>
                      <w:rFonts w:hint="eastAsia" w:ascii="Times New Roman" w:hAnsi="Times New Roman" w:eastAsia="宋体" w:cs="Times New Roman"/>
                      <w:color w:val="auto"/>
                      <w:kern w:val="0"/>
                      <w:sz w:val="21"/>
                      <w:szCs w:val="24"/>
                      <w:highlight w:val="none"/>
                      <w:u w:val="single"/>
                      <w:lang w:val="en-US" w:eastAsia="zh-CN" w:bidi="ar-SA"/>
                    </w:rPr>
                    <w:t>总氰化物</w:t>
                  </w:r>
                </w:p>
              </w:tc>
              <w:tc>
                <w:tcPr>
                  <w:tcW w:w="83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cs="Times New Roman"/>
                      <w:color w:val="auto"/>
                      <w:kern w:val="0"/>
                      <w:sz w:val="21"/>
                      <w:szCs w:val="21"/>
                      <w:highlight w:val="none"/>
                      <w:u w:val="single"/>
                      <w:lang w:val="en-US" w:eastAsia="zh-CN" w:bidi="ar"/>
                    </w:rPr>
                    <w:t>/</w:t>
                  </w:r>
                </w:p>
              </w:tc>
              <w:tc>
                <w:tcPr>
                  <w:tcW w:w="809" w:type="pct"/>
                  <w:tcBorders>
                    <w:tl2br w:val="nil"/>
                    <w:tr2bl w:val="nil"/>
                  </w:tcBorders>
                  <w:noWrap w:val="0"/>
                  <w:vAlign w:val="center"/>
                </w:tcPr>
                <w:p>
                  <w:pPr>
                    <w:pStyle w:val="70"/>
                    <w:widowControl w:val="0"/>
                    <w:jc w:val="center"/>
                    <w:rPr>
                      <w:rFonts w:hint="default"/>
                      <w:color w:val="auto"/>
                      <w:u w:val="single"/>
                      <w:lang w:val="en-US" w:eastAsia="zh-CN"/>
                    </w:rPr>
                  </w:pPr>
                  <w:r>
                    <w:rPr>
                      <w:rFonts w:hint="eastAsia"/>
                      <w:color w:val="auto"/>
                      <w:u w:val="single"/>
                      <w:lang w:val="en-US" w:eastAsia="zh-CN"/>
                    </w:rPr>
                    <w:t>/</w:t>
                  </w:r>
                </w:p>
              </w:tc>
              <w:tc>
                <w:tcPr>
                  <w:tcW w:w="775" w:type="pct"/>
                  <w:vMerge w:val="continue"/>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p>
              </w:tc>
              <w:tc>
                <w:tcPr>
                  <w:tcW w:w="794" w:type="pct"/>
                  <w:vMerge w:val="continue"/>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vMerge w:val="continue"/>
                  <w:tcBorders>
                    <w:tl2br w:val="nil"/>
                    <w:tr2bl w:val="nil"/>
                  </w:tcBorders>
                  <w:noWrap w:val="0"/>
                  <w:vAlign w:val="center"/>
                </w:tcPr>
                <w:p>
                  <w:pPr>
                    <w:pStyle w:val="70"/>
                    <w:widowControl w:val="0"/>
                    <w:jc w:val="center"/>
                    <w:rPr>
                      <w:rFonts w:hint="eastAsia" w:ascii="Times New Roman" w:hAnsi="Times New Roman" w:cs="Times New Roman"/>
                      <w:spacing w:val="6"/>
                      <w:szCs w:val="21"/>
                      <w:highlight w:val="none"/>
                      <w:u w:val="single"/>
                      <w:lang w:val="en-US" w:eastAsia="zh-CN"/>
                    </w:rPr>
                  </w:pPr>
                </w:p>
              </w:tc>
              <w:tc>
                <w:tcPr>
                  <w:tcW w:w="778" w:type="pct"/>
                  <w:vMerge w:val="continue"/>
                  <w:tcBorders>
                    <w:tl2br w:val="nil"/>
                    <w:tr2bl w:val="nil"/>
                  </w:tcBorders>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bidi="ar"/>
                    </w:rPr>
                  </w:pPr>
                </w:p>
              </w:tc>
              <w:tc>
                <w:tcPr>
                  <w:tcW w:w="561"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4"/>
                      <w:highlight w:val="none"/>
                      <w:u w:val="single"/>
                      <w:lang w:val="en-US" w:eastAsia="zh-CN" w:bidi="ar-SA"/>
                    </w:rPr>
                  </w:pPr>
                  <w:r>
                    <w:rPr>
                      <w:rFonts w:hint="eastAsia" w:ascii="Times New Roman" w:hAnsi="Times New Roman" w:eastAsia="宋体" w:cs="Times New Roman"/>
                      <w:color w:val="auto"/>
                      <w:kern w:val="0"/>
                      <w:sz w:val="21"/>
                      <w:szCs w:val="24"/>
                      <w:highlight w:val="none"/>
                      <w:u w:val="single"/>
                      <w:lang w:val="en-US" w:eastAsia="zh-CN" w:bidi="ar-SA"/>
                    </w:rPr>
                    <w:t>粪大肠菌群</w:t>
                  </w:r>
                </w:p>
              </w:tc>
              <w:tc>
                <w:tcPr>
                  <w:tcW w:w="839"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u w:val="single"/>
                      <w:lang w:val="en-US" w:eastAsia="zh-CN" w:bidi="ar"/>
                    </w:rPr>
                  </w:pPr>
                  <w:r>
                    <w:rPr>
                      <w:rFonts w:hint="eastAsia" w:cs="Times New Roman"/>
                      <w:color w:val="auto"/>
                      <w:kern w:val="0"/>
                      <w:sz w:val="21"/>
                      <w:szCs w:val="21"/>
                      <w:highlight w:val="none"/>
                      <w:u w:val="single"/>
                      <w:lang w:val="en-US" w:eastAsia="zh-CN" w:bidi="ar"/>
                    </w:rPr>
                    <w:t>/</w:t>
                  </w:r>
                </w:p>
              </w:tc>
              <w:tc>
                <w:tcPr>
                  <w:tcW w:w="809" w:type="pct"/>
                  <w:tcBorders>
                    <w:tl2br w:val="nil"/>
                    <w:tr2bl w:val="nil"/>
                  </w:tcBorders>
                  <w:noWrap w:val="0"/>
                  <w:vAlign w:val="center"/>
                </w:tcPr>
                <w:p>
                  <w:pPr>
                    <w:pStyle w:val="70"/>
                    <w:widowControl w:val="0"/>
                    <w:jc w:val="center"/>
                    <w:rPr>
                      <w:rFonts w:hint="eastAsia"/>
                      <w:color w:val="auto"/>
                      <w:u w:val="single"/>
                      <w:lang w:val="en-US" w:eastAsia="zh-CN"/>
                    </w:rPr>
                  </w:pPr>
                </w:p>
              </w:tc>
              <w:tc>
                <w:tcPr>
                  <w:tcW w:w="775" w:type="pct"/>
                  <w:vMerge w:val="continue"/>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p>
              </w:tc>
              <w:tc>
                <w:tcPr>
                  <w:tcW w:w="794" w:type="pct"/>
                  <w:vMerge w:val="continue"/>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tcBorders>
                    <w:tl2br w:val="nil"/>
                    <w:tr2bl w:val="nil"/>
                  </w:tcBorders>
                  <w:noWrap w:val="0"/>
                  <w:vAlign w:val="center"/>
                </w:tcPr>
                <w:p>
                  <w:pPr>
                    <w:pStyle w:val="70"/>
                    <w:widowControl w:val="0"/>
                    <w:jc w:val="center"/>
                    <w:rPr>
                      <w:rFonts w:hint="eastAsia" w:ascii="Times New Roman" w:hAnsi="Times New Roman" w:cs="Times New Roman"/>
                      <w:spacing w:val="6"/>
                      <w:szCs w:val="21"/>
                      <w:highlight w:val="none"/>
                      <w:u w:val="single"/>
                      <w:lang w:val="en-US" w:eastAsia="zh-CN"/>
                    </w:rPr>
                  </w:pPr>
                </w:p>
              </w:tc>
              <w:tc>
                <w:tcPr>
                  <w:tcW w:w="778" w:type="pct"/>
                  <w:vMerge w:val="continue"/>
                  <w:tcBorders>
                    <w:tl2br w:val="nil"/>
                    <w:tr2bl w:val="nil"/>
                  </w:tcBorders>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bidi="ar"/>
                    </w:rPr>
                  </w:pPr>
                </w:p>
              </w:tc>
              <w:tc>
                <w:tcPr>
                  <w:tcW w:w="561"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4"/>
                      <w:highlight w:val="none"/>
                      <w:u w:val="single"/>
                      <w:lang w:val="en-US" w:eastAsia="zh-CN" w:bidi="ar-SA"/>
                    </w:rPr>
                  </w:pPr>
                  <w:r>
                    <w:rPr>
                      <w:rFonts w:hint="eastAsia" w:cs="Times New Roman"/>
                      <w:color w:val="auto"/>
                      <w:kern w:val="0"/>
                      <w:sz w:val="21"/>
                      <w:szCs w:val="24"/>
                      <w:highlight w:val="none"/>
                      <w:u w:val="single"/>
                      <w:lang w:val="en-US" w:eastAsia="zh-CN" w:bidi="ar-SA"/>
                    </w:rPr>
                    <w:t>总余氯</w:t>
                  </w:r>
                </w:p>
              </w:tc>
              <w:tc>
                <w:tcPr>
                  <w:tcW w:w="839" w:type="pct"/>
                  <w:tcBorders>
                    <w:tl2br w:val="nil"/>
                    <w:tr2bl w:val="nil"/>
                  </w:tcBorders>
                  <w:noWrap w:val="0"/>
                  <w:vAlign w:val="center"/>
                </w:tcPr>
                <w:p>
                  <w:pPr>
                    <w:pStyle w:val="70"/>
                    <w:widowControl w:val="0"/>
                    <w:jc w:val="center"/>
                    <w:rPr>
                      <w:rFonts w:hint="default"/>
                      <w:color w:val="auto"/>
                      <w:u w:val="single"/>
                      <w:lang w:val="en-US" w:eastAsia="zh-CN"/>
                    </w:rPr>
                  </w:pPr>
                  <w:r>
                    <w:rPr>
                      <w:rFonts w:hint="eastAsia"/>
                      <w:color w:val="auto"/>
                      <w:u w:val="single"/>
                      <w:lang w:val="en-US" w:eastAsia="zh-CN"/>
                    </w:rPr>
                    <w:t>2.68</w:t>
                  </w:r>
                </w:p>
              </w:tc>
              <w:tc>
                <w:tcPr>
                  <w:tcW w:w="809" w:type="pct"/>
                  <w:tcBorders>
                    <w:tl2br w:val="nil"/>
                    <w:tr2bl w:val="nil"/>
                  </w:tcBorders>
                  <w:noWrap w:val="0"/>
                  <w:vAlign w:val="center"/>
                </w:tcPr>
                <w:p>
                  <w:pPr>
                    <w:pStyle w:val="70"/>
                    <w:widowControl w:val="0"/>
                    <w:jc w:val="center"/>
                    <w:rPr>
                      <w:rFonts w:hint="default"/>
                      <w:color w:val="auto"/>
                      <w:u w:val="single"/>
                      <w:lang w:val="en-US" w:eastAsia="zh-CN"/>
                    </w:rPr>
                  </w:pPr>
                  <w:r>
                    <w:rPr>
                      <w:rFonts w:hint="eastAsia"/>
                      <w:color w:val="auto"/>
                      <w:u w:val="single"/>
                      <w:lang w:val="en-US" w:eastAsia="zh-CN"/>
                    </w:rPr>
                    <w:t>0.0094</w:t>
                  </w:r>
                </w:p>
              </w:tc>
              <w:tc>
                <w:tcPr>
                  <w:tcW w:w="775" w:type="pct"/>
                  <w:vMerge w:val="continue"/>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p>
              </w:tc>
              <w:tc>
                <w:tcPr>
                  <w:tcW w:w="794" w:type="pct"/>
                  <w:vMerge w:val="continue"/>
                  <w:tcBorders>
                    <w:tl2br w:val="nil"/>
                    <w:tr2bl w:val="nil"/>
                  </w:tcBorders>
                  <w:noWrap w:val="0"/>
                  <w:vAlign w:val="center"/>
                </w:tcPr>
                <w:p>
                  <w:pPr>
                    <w:pStyle w:val="70"/>
                    <w:widowControl w:val="0"/>
                    <w:jc w:val="center"/>
                    <w:rPr>
                      <w:rFonts w:hint="default" w:ascii="Times New Roman" w:hAnsi="Times New Roman" w:eastAsia="宋体" w:cs="Times New Roman"/>
                      <w:color w:val="auto"/>
                      <w:highlight w:val="none"/>
                      <w:u w:val="single"/>
                      <w:lang w:val="en-US" w:eastAsia="zh-CN"/>
                    </w:rPr>
                  </w:pPr>
                </w:p>
              </w:tc>
            </w:tr>
          </w:tbl>
          <w:p>
            <w:pPr>
              <w:keepNext w:val="0"/>
              <w:keepLines w:val="0"/>
              <w:pageBreakBefore w:val="0"/>
              <w:widowControl/>
              <w:suppressLineNumbers w:val="0"/>
              <w:kinsoku/>
              <w:wordWrap/>
              <w:overflowPunct/>
              <w:topLinePunct w:val="0"/>
              <w:autoSpaceDE/>
              <w:autoSpaceDN/>
              <w:bidi w:val="0"/>
              <w:adjustRightInd/>
              <w:snapToGrid/>
              <w:ind w:firstLine="482" w:firstLineChars="200"/>
              <w:jc w:val="both"/>
              <w:textAlignment w:val="auto"/>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2</w:t>
            </w:r>
            <w:r>
              <w:rPr>
                <w:rFonts w:hint="eastAsia" w:cs="Times New Roman"/>
                <w:b/>
                <w:bCs/>
                <w:color w:val="000000"/>
                <w:kern w:val="0"/>
                <w:sz w:val="24"/>
                <w:szCs w:val="24"/>
                <w:lang w:val="en-US" w:eastAsia="zh-CN" w:bidi="ar"/>
              </w:rPr>
              <w:t>、</w:t>
            </w:r>
            <w:r>
              <w:rPr>
                <w:rFonts w:hint="eastAsia" w:ascii="Times New Roman" w:hAnsi="Times New Roman" w:eastAsia="宋体" w:cs="Times New Roman"/>
                <w:b/>
                <w:bCs/>
                <w:color w:val="000000"/>
                <w:kern w:val="0"/>
                <w:sz w:val="24"/>
                <w:szCs w:val="24"/>
                <w:lang w:val="en-US" w:eastAsia="zh-CN" w:bidi="ar"/>
              </w:rPr>
              <w:t>废水污染源核算</w:t>
            </w:r>
          </w:p>
          <w:p>
            <w:pPr>
              <w:pStyle w:val="7"/>
              <w:keepNext w:val="0"/>
              <w:keepLines w:val="0"/>
              <w:pageBreakBefore w:val="0"/>
              <w:widowControl w:val="0"/>
              <w:kinsoku/>
              <w:wordWrap/>
              <w:overflowPunct/>
              <w:topLinePunct w:val="0"/>
              <w:autoSpaceDE/>
              <w:autoSpaceDN/>
              <w:bidi w:val="0"/>
              <w:adjustRightInd/>
              <w:snapToGrid/>
              <w:ind w:firstLine="480"/>
              <w:jc w:val="both"/>
              <w:textAlignment w:val="auto"/>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根据工程分析可知，项目污水量为</w:t>
            </w:r>
            <w:r>
              <w:rPr>
                <w:rFonts w:hint="eastAsia"/>
                <w:color w:val="000000" w:themeColor="text1"/>
                <w:u w:val="single"/>
                <w:lang w:val="en-US" w:eastAsia="zh-CN"/>
                <w14:textFill>
                  <w14:solidFill>
                    <w14:schemeClr w14:val="tx1"/>
                  </w14:solidFill>
                </w14:textFill>
              </w:rPr>
              <w:t>9.56</w:t>
            </w:r>
            <w:r>
              <w:rPr>
                <w:color w:val="000000" w:themeColor="text1"/>
                <w:u w:val="single"/>
                <w14:textFill>
                  <w14:solidFill>
                    <w14:schemeClr w14:val="tx1"/>
                  </w14:solidFill>
                </w14:textFill>
              </w:rPr>
              <w:t>m³/d</w:t>
            </w:r>
            <w:r>
              <w:rPr>
                <w:rFonts w:hint="eastAsia"/>
                <w:color w:val="000000" w:themeColor="text1"/>
                <w:u w:val="single"/>
                <w14:textFill>
                  <w14:solidFill>
                    <w14:schemeClr w14:val="tx1"/>
                  </w14:solidFill>
                </w14:textFill>
              </w:rPr>
              <w:t>，该污水处理站</w:t>
            </w:r>
            <w:r>
              <w:rPr>
                <w:rFonts w:hint="eastAsia"/>
                <w:color w:val="000000" w:themeColor="text1"/>
                <w:u w:val="single"/>
                <w:lang w:val="en-US" w:eastAsia="zh-CN"/>
                <w14:textFill>
                  <w14:solidFill>
                    <w14:schemeClr w14:val="tx1"/>
                  </w14:solidFill>
                </w14:textFill>
              </w:rPr>
              <w:t>规模</w:t>
            </w:r>
            <w:r>
              <w:rPr>
                <w:rFonts w:hint="eastAsia"/>
                <w:color w:val="000000" w:themeColor="text1"/>
                <w:u w:val="single"/>
                <w14:textFill>
                  <w14:solidFill>
                    <w14:schemeClr w14:val="tx1"/>
                  </w14:solidFill>
                </w14:textFill>
              </w:rPr>
              <w:t>为</w:t>
            </w:r>
            <w:r>
              <w:rPr>
                <w:rFonts w:hint="eastAsia"/>
                <w:color w:val="000000" w:themeColor="text1"/>
                <w:u w:val="single"/>
                <w:lang w:val="en-US" w:eastAsia="zh-CN"/>
                <w14:textFill>
                  <w14:solidFill>
                    <w14:schemeClr w14:val="tx1"/>
                  </w14:solidFill>
                </w14:textFill>
              </w:rPr>
              <w:t>10</w:t>
            </w:r>
            <w:r>
              <w:rPr>
                <w:color w:val="000000" w:themeColor="text1"/>
                <w:u w:val="single"/>
                <w14:textFill>
                  <w14:solidFill>
                    <w14:schemeClr w14:val="tx1"/>
                  </w14:solidFill>
                </w14:textFill>
              </w:rPr>
              <w:t>m³/d</w:t>
            </w:r>
            <w:r>
              <w:rPr>
                <w:rFonts w:hint="eastAsia"/>
                <w:color w:val="000000" w:themeColor="text1"/>
                <w:u w:val="single"/>
                <w14:textFill>
                  <w14:solidFill>
                    <w14:schemeClr w14:val="tx1"/>
                  </w14:solidFill>
                </w14:textFill>
              </w:rPr>
              <w:t>，按照《医疗污水处理技术指南》的要求，本项目采用“化粪池+格栅井+调节池+AO工艺+沉淀池+消毒”工艺，达到《医疗机构水污染物排放标准》（GB18466-2005）中表 2 中预处理标准后排临</w:t>
            </w:r>
            <w:r>
              <w:rPr>
                <w:rFonts w:hint="eastAsia"/>
                <w:color w:val="000000" w:themeColor="text1"/>
                <w:u w:val="single"/>
                <w:lang w:val="en-US" w:eastAsia="zh-CN"/>
                <w14:textFill>
                  <w14:solidFill>
                    <w14:schemeClr w14:val="tx1"/>
                  </w14:solidFill>
                </w14:textFill>
              </w:rPr>
              <w:t>桃林镇污水处理厂</w:t>
            </w:r>
            <w:r>
              <w:rPr>
                <w:rFonts w:hint="eastAsia"/>
                <w:color w:val="000000" w:themeColor="text1"/>
                <w:u w:val="single"/>
                <w14:textFill>
                  <w14:solidFill>
                    <w14:schemeClr w14:val="tx1"/>
                  </w14:solidFill>
                </w14:textFill>
              </w:rPr>
              <w:t>处理，</w:t>
            </w:r>
            <w:r>
              <w:rPr>
                <w:rFonts w:hint="eastAsia" w:ascii="宋体" w:hAnsi="宋体" w:cs="宋体"/>
                <w:color w:val="000000"/>
                <w:kern w:val="0"/>
                <w:sz w:val="24"/>
                <w:szCs w:val="24"/>
                <w:u w:val="single"/>
                <w:lang w:val="en-US" w:eastAsia="zh-CN" w:bidi="ar"/>
              </w:rPr>
              <w:t>根据</w:t>
            </w:r>
            <w:r>
              <w:rPr>
                <w:rFonts w:hint="eastAsia"/>
                <w:color w:val="auto"/>
                <w:u w:val="single"/>
                <w:lang w:eastAsia="zh-CN"/>
              </w:rPr>
              <w:t>临湘市长安街道社区卫生服务中心（临湘市长安街道妇幼保健计划生育服务站）</w:t>
            </w:r>
            <w:r>
              <w:rPr>
                <w:rFonts w:hint="eastAsia"/>
                <w:color w:val="auto"/>
                <w:u w:val="single"/>
                <w:lang w:val="en-US" w:eastAsia="zh-CN"/>
              </w:rPr>
              <w:t>污水处理设施进口浓度</w:t>
            </w:r>
            <w:r>
              <w:rPr>
                <w:rFonts w:hint="eastAsia"/>
                <w:color w:val="000000" w:themeColor="text1"/>
                <w:u w:val="single"/>
                <w14:textFill>
                  <w14:solidFill>
                    <w14:schemeClr w14:val="tx1"/>
                  </w14:solidFill>
                </w14:textFill>
              </w:rPr>
              <w:t>，项目综合废水</w:t>
            </w:r>
            <w:r>
              <w:rPr>
                <w:color w:val="000000" w:themeColor="text1"/>
                <w:u w:val="single"/>
                <w14:textFill>
                  <w14:solidFill>
                    <w14:schemeClr w14:val="tx1"/>
                  </w14:solidFill>
                </w14:textFill>
              </w:rPr>
              <w:t>经</w:t>
            </w:r>
            <w:r>
              <w:rPr>
                <w:rFonts w:hint="eastAsia"/>
                <w:color w:val="000000" w:themeColor="text1"/>
                <w:u w:val="single"/>
                <w14:textFill>
                  <w14:solidFill>
                    <w14:schemeClr w14:val="tx1"/>
                  </w14:solidFill>
                </w14:textFill>
              </w:rPr>
              <w:t>污水处理站</w:t>
            </w:r>
            <w:r>
              <w:rPr>
                <w:color w:val="000000" w:themeColor="text1"/>
                <w:u w:val="single"/>
                <w14:textFill>
                  <w14:solidFill>
                    <w14:schemeClr w14:val="tx1"/>
                  </w14:solidFill>
                </w14:textFill>
              </w:rPr>
              <w:t>处理后可满足《医疗机构水污染物排放标准》（GB18466-2005）中表2预处理标准，经管网接入</w:t>
            </w:r>
            <w:r>
              <w:rPr>
                <w:rFonts w:hint="eastAsia"/>
                <w:color w:val="000000" w:themeColor="text1"/>
                <w:u w:val="single"/>
                <w:lang w:val="en-US" w:eastAsia="zh-CN"/>
                <w14:textFill>
                  <w14:solidFill>
                    <w14:schemeClr w14:val="tx1"/>
                  </w14:solidFill>
                </w14:textFill>
              </w:rPr>
              <w:t>桃林镇污水处理厂</w:t>
            </w:r>
            <w:r>
              <w:rPr>
                <w:color w:val="000000" w:themeColor="text1"/>
                <w:u w:val="single"/>
                <w14:textFill>
                  <w14:solidFill>
                    <w14:schemeClr w14:val="tx1"/>
                  </w14:solidFill>
                </w14:textFill>
              </w:rPr>
              <w:t>处理达标后，排入</w:t>
            </w:r>
            <w:r>
              <w:rPr>
                <w:rFonts w:hint="eastAsia"/>
                <w:color w:val="000000" w:themeColor="text1"/>
                <w:u w:val="single"/>
                <w:lang w:val="en-US" w:eastAsia="zh-CN"/>
                <w14:textFill>
                  <w14:solidFill>
                    <w14:schemeClr w14:val="tx1"/>
                  </w14:solidFill>
                </w14:textFill>
              </w:rPr>
              <w:t>游港河</w:t>
            </w:r>
            <w:r>
              <w:rPr>
                <w:color w:val="000000" w:themeColor="text1"/>
                <w:u w:val="single"/>
                <w14:textFill>
                  <w14:solidFill>
                    <w14:schemeClr w14:val="tx1"/>
                  </w14:solidFill>
                </w14:textFill>
              </w:rPr>
              <w:t>。</w:t>
            </w:r>
          </w:p>
          <w:p>
            <w:pPr>
              <w:pStyle w:val="7"/>
              <w:ind w:firstLine="48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项目废水污染物</w:t>
            </w:r>
            <w:r>
              <w:rPr>
                <w:rFonts w:hint="eastAsia"/>
                <w:color w:val="000000" w:themeColor="text1"/>
                <w:u w:val="none"/>
                <w:lang w:val="en-US" w:eastAsia="zh-CN"/>
                <w14:textFill>
                  <w14:solidFill>
                    <w14:schemeClr w14:val="tx1"/>
                  </w14:solidFill>
                </w14:textFill>
              </w:rPr>
              <w:t>排放</w:t>
            </w:r>
            <w:r>
              <w:rPr>
                <w:rFonts w:hint="eastAsia"/>
                <w:color w:val="000000" w:themeColor="text1"/>
                <w:u w:val="none"/>
                <w14:textFill>
                  <w14:solidFill>
                    <w14:schemeClr w14:val="tx1"/>
                  </w14:solidFill>
                </w14:textFill>
              </w:rPr>
              <w:t>情况见下表。</w:t>
            </w:r>
          </w:p>
          <w:p>
            <w:pPr>
              <w:pStyle w:val="49"/>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表4.2-9</w:t>
            </w:r>
            <w:r>
              <w:rPr>
                <w:color w:val="000000" w:themeColor="text1"/>
                <w:u w:val="single"/>
                <w14:textFill>
                  <w14:solidFill>
                    <w14:schemeClr w14:val="tx1"/>
                  </w14:solidFill>
                </w14:textFill>
              </w:rPr>
              <w:t>项目废水污染物的产生源强及排放量一览表</w:t>
            </w:r>
          </w:p>
          <w:tbl>
            <w:tblPr>
              <w:tblStyle w:val="31"/>
              <w:tblpPr w:leftFromText="180" w:rightFromText="180" w:vertAnchor="text" w:horzAnchor="page" w:tblpXSpec="center" w:tblpY="250"/>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1350"/>
              <w:gridCol w:w="1446"/>
              <w:gridCol w:w="1468"/>
              <w:gridCol w:w="2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Merge w:val="restart"/>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color w:val="000000" w:themeColor="text1"/>
                      <w:u w:val="single"/>
                      <w14:textFill>
                        <w14:solidFill>
                          <w14:schemeClr w14:val="tx1"/>
                        </w14:solidFill>
                      </w14:textFill>
                    </w:rPr>
                  </w:pPr>
                  <w:r>
                    <w:rPr>
                      <w:color w:val="000000" w:themeColor="text1"/>
                      <w:u w:val="single"/>
                      <w14:textFill>
                        <w14:solidFill>
                          <w14:schemeClr w14:val="tx1"/>
                        </w14:solidFill>
                      </w14:textFill>
                    </w:rPr>
                    <w:t>污水量</w:t>
                  </w:r>
                  <w:r>
                    <w:rPr>
                      <w:rFonts w:hint="eastAsia"/>
                      <w:color w:val="000000" w:themeColor="text1"/>
                      <w:u w:val="single"/>
                      <w:lang w:val="en-US" w:eastAsia="zh-CN"/>
                      <w14:textFill>
                        <w14:solidFill>
                          <w14:schemeClr w14:val="tx1"/>
                        </w14:solidFill>
                      </w14:textFill>
                    </w:rPr>
                    <w:t>3489.4</w:t>
                  </w:r>
                  <w:r>
                    <w:rPr>
                      <w:color w:val="auto"/>
                      <w:u w:val="single"/>
                    </w:rPr>
                    <w:t>m³/a</w:t>
                  </w:r>
                </w:p>
              </w:tc>
              <w:tc>
                <w:tcPr>
                  <w:tcW w:w="852" w:type="pct"/>
                  <w:vMerge w:val="restart"/>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color w:val="000000" w:themeColor="text1"/>
                      <w:u w:val="single"/>
                      <w14:textFill>
                        <w14:solidFill>
                          <w14:schemeClr w14:val="tx1"/>
                        </w14:solidFill>
                      </w14:textFill>
                    </w:rPr>
                  </w:pPr>
                  <w:r>
                    <w:rPr>
                      <w:color w:val="000000" w:themeColor="text1"/>
                      <w:u w:val="single"/>
                      <w14:textFill>
                        <w14:solidFill>
                          <w14:schemeClr w14:val="tx1"/>
                        </w14:solidFill>
                      </w14:textFill>
                    </w:rPr>
                    <w:t>污染因子</w:t>
                  </w:r>
                </w:p>
              </w:tc>
              <w:tc>
                <w:tcPr>
                  <w:tcW w:w="1840" w:type="pct"/>
                  <w:gridSpan w:val="2"/>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color w:val="000000" w:themeColor="text1"/>
                      <w:u w:val="single"/>
                      <w14:textFill>
                        <w14:solidFill>
                          <w14:schemeClr w14:val="tx1"/>
                        </w14:solidFill>
                      </w14:textFill>
                    </w:rPr>
                  </w:pPr>
                  <w:r>
                    <w:rPr>
                      <w:color w:val="000000" w:themeColor="text1"/>
                      <w:u w:val="single"/>
                      <w14:textFill>
                        <w14:solidFill>
                          <w14:schemeClr w14:val="tx1"/>
                        </w14:solidFill>
                      </w14:textFill>
                    </w:rPr>
                    <w:t>预处理后</w:t>
                  </w:r>
                </w:p>
              </w:tc>
              <w:tc>
                <w:tcPr>
                  <w:tcW w:w="1503" w:type="pct"/>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Merge w:val="continue"/>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color w:val="000000" w:themeColor="text1"/>
                      <w:u w:val="single"/>
                      <w14:textFill>
                        <w14:solidFill>
                          <w14:schemeClr w14:val="tx1"/>
                        </w14:solidFill>
                      </w14:textFill>
                    </w:rPr>
                  </w:pPr>
                </w:p>
              </w:tc>
              <w:tc>
                <w:tcPr>
                  <w:tcW w:w="852" w:type="pct"/>
                  <w:vMerge w:val="continue"/>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color w:val="000000" w:themeColor="text1"/>
                      <w:u w:val="single"/>
                      <w14:textFill>
                        <w14:solidFill>
                          <w14:schemeClr w14:val="tx1"/>
                        </w14:solidFill>
                      </w14:textFill>
                    </w:rPr>
                  </w:pPr>
                </w:p>
              </w:tc>
              <w:tc>
                <w:tcPr>
                  <w:tcW w:w="913" w:type="pct"/>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color w:val="000000" w:themeColor="text1"/>
                      <w:u w:val="single"/>
                      <w14:textFill>
                        <w14:solidFill>
                          <w14:schemeClr w14:val="tx1"/>
                        </w14:solidFill>
                      </w14:textFill>
                    </w:rPr>
                  </w:pPr>
                  <w:r>
                    <w:rPr>
                      <w:color w:val="000000" w:themeColor="text1"/>
                      <w:u w:val="single"/>
                      <w14:textFill>
                        <w14:solidFill>
                          <w14:schemeClr w14:val="tx1"/>
                        </w14:solidFill>
                      </w14:textFill>
                    </w:rPr>
                    <w:t>浓度（mg/L）</w:t>
                  </w:r>
                </w:p>
              </w:tc>
              <w:tc>
                <w:tcPr>
                  <w:tcW w:w="926" w:type="pct"/>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color w:val="000000" w:themeColor="text1"/>
                      <w:u w:val="single"/>
                      <w14:textFill>
                        <w14:solidFill>
                          <w14:schemeClr w14:val="tx1"/>
                        </w14:solidFill>
                      </w14:textFill>
                    </w:rPr>
                  </w:pPr>
                  <w:r>
                    <w:rPr>
                      <w:color w:val="000000" w:themeColor="text1"/>
                      <w:u w:val="single"/>
                      <w14:textFill>
                        <w14:solidFill>
                          <w14:schemeClr w14:val="tx1"/>
                        </w14:solidFill>
                      </w14:textFill>
                    </w:rPr>
                    <w:t>排放量（t/a）</w:t>
                  </w:r>
                </w:p>
              </w:tc>
              <w:tc>
                <w:tcPr>
                  <w:tcW w:w="1503" w:type="pct"/>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color w:val="000000" w:themeColor="text1"/>
                      <w:u w:val="single"/>
                      <w14:textFill>
                        <w14:solidFill>
                          <w14:schemeClr w14:val="tx1"/>
                        </w14:solidFill>
                      </w14:textFill>
                    </w:rPr>
                  </w:pPr>
                  <w:r>
                    <w:rPr>
                      <w:color w:val="000000" w:themeColor="text1"/>
                      <w:u w:val="single"/>
                      <w14:textFill>
                        <w14:solidFill>
                          <w14:schemeClr w14:val="tx1"/>
                        </w14:solidFill>
                      </w14:textFill>
                    </w:rPr>
                    <w:t>（GB18466-2005）中表2预处理标准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Merge w:val="continue"/>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color w:val="000000" w:themeColor="text1"/>
                      <w:u w:val="single"/>
                      <w14:textFill>
                        <w14:solidFill>
                          <w14:schemeClr w14:val="tx1"/>
                        </w14:solidFill>
                      </w14:textFill>
                    </w:rPr>
                  </w:pPr>
                </w:p>
              </w:tc>
              <w:tc>
                <w:tcPr>
                  <w:tcW w:w="13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color w:val="000000" w:themeColor="text1"/>
                      <w:u w:val="single"/>
                      <w14:textFill>
                        <w14:solidFill>
                          <w14:schemeClr w14:val="tx1"/>
                        </w14:solidFill>
                      </w14:textFill>
                    </w:rPr>
                  </w:pPr>
                  <w:r>
                    <w:rPr>
                      <w:rFonts w:hint="eastAsia" w:ascii="宋体" w:hAnsi="宋体" w:eastAsia="宋体" w:cs="宋体"/>
                      <w:i w:val="0"/>
                      <w:iCs w:val="0"/>
                      <w:color w:val="000000"/>
                      <w:kern w:val="0"/>
                      <w:sz w:val="21"/>
                      <w:szCs w:val="21"/>
                      <w:u w:val="single"/>
                      <w:lang w:val="en-US" w:eastAsia="zh-CN" w:bidi="ar"/>
                    </w:rPr>
                    <w:t>悬浮物</w:t>
                  </w:r>
                </w:p>
              </w:tc>
              <w:tc>
                <w:tcPr>
                  <w:tcW w:w="1446" w:type="dxa"/>
                  <w:tcBorders>
                    <w:tl2br w:val="nil"/>
                    <w:tr2bl w:val="nil"/>
                  </w:tcBorders>
                  <w:shd w:val="clear" w:color="auto" w:fill="auto"/>
                  <w:vAlign w:val="center"/>
                </w:tcPr>
                <w:p>
                  <w:pPr>
                    <w:pStyle w:val="48"/>
                    <w:keepNext w:val="0"/>
                    <w:keepLines w:val="0"/>
                    <w:pageBreakBefore w:val="0"/>
                    <w:kinsoku/>
                    <w:wordWrap/>
                    <w:overflowPunct/>
                    <w:topLinePunct w:val="0"/>
                    <w:autoSpaceDE/>
                    <w:autoSpaceDN/>
                    <w:bidi w:val="0"/>
                    <w:snapToGrid/>
                    <w:spacing w:line="240" w:lineRule="auto"/>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26.5</w:t>
                  </w:r>
                </w:p>
              </w:tc>
              <w:tc>
                <w:tcPr>
                  <w:tcW w:w="1468" w:type="dxa"/>
                  <w:tcBorders>
                    <w:tl2br w:val="nil"/>
                    <w:tr2bl w:val="nil"/>
                  </w:tcBorders>
                  <w:shd w:val="clear" w:color="auto" w:fill="auto"/>
                  <w:vAlign w:val="center"/>
                </w:tcPr>
                <w:p>
                  <w:pPr>
                    <w:pStyle w:val="48"/>
                    <w:keepNext w:val="0"/>
                    <w:keepLines w:val="0"/>
                    <w:pageBreakBefore w:val="0"/>
                    <w:kinsoku/>
                    <w:wordWrap/>
                    <w:overflowPunct/>
                    <w:topLinePunct w:val="0"/>
                    <w:autoSpaceDE/>
                    <w:autoSpaceDN/>
                    <w:bidi w:val="0"/>
                    <w:snapToGrid/>
                    <w:spacing w:line="240" w:lineRule="auto"/>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0.092</w:t>
                  </w:r>
                </w:p>
              </w:tc>
              <w:tc>
                <w:tcPr>
                  <w:tcW w:w="1503" w:type="pct"/>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rFonts w:hint="default"/>
                      <w:color w:val="000000" w:themeColor="text1"/>
                      <w:u w:val="single"/>
                      <w:lang w:val="en-US" w:eastAsia="zh-CN"/>
                      <w14:textFill>
                        <w14:solidFill>
                          <w14:schemeClr w14:val="tx1"/>
                        </w14:solidFill>
                      </w14:textFill>
                    </w:rPr>
                  </w:pPr>
                  <w:r>
                    <w:rPr>
                      <w:rFonts w:hint="eastAsia"/>
                      <w:color w:val="000000" w:themeColor="text1"/>
                      <w:u w:val="single"/>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Merge w:val="continue"/>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color w:val="000000" w:themeColor="text1"/>
                      <w:u w:val="single"/>
                      <w14:textFill>
                        <w14:solidFill>
                          <w14:schemeClr w14:val="tx1"/>
                        </w14:solidFill>
                      </w14:textFill>
                    </w:rPr>
                  </w:pPr>
                </w:p>
              </w:tc>
              <w:tc>
                <w:tcPr>
                  <w:tcW w:w="13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color w:val="000000" w:themeColor="text1"/>
                      <w:u w:val="single"/>
                      <w14:textFill>
                        <w14:solidFill>
                          <w14:schemeClr w14:val="tx1"/>
                        </w14:solidFill>
                      </w14:textFill>
                    </w:rPr>
                  </w:pPr>
                  <w:r>
                    <w:rPr>
                      <w:rStyle w:val="76"/>
                      <w:u w:val="single"/>
                      <w:lang w:val="en-US" w:eastAsia="zh-CN" w:bidi="ar"/>
                    </w:rPr>
                    <w:t>化学需氧量</w:t>
                  </w:r>
                </w:p>
              </w:tc>
              <w:tc>
                <w:tcPr>
                  <w:tcW w:w="1446" w:type="dxa"/>
                  <w:tcBorders>
                    <w:tl2br w:val="nil"/>
                    <w:tr2bl w:val="nil"/>
                  </w:tcBorders>
                  <w:shd w:val="clear" w:color="auto" w:fill="auto"/>
                  <w:vAlign w:val="center"/>
                </w:tcPr>
                <w:p>
                  <w:pPr>
                    <w:pStyle w:val="48"/>
                    <w:keepNext w:val="0"/>
                    <w:keepLines w:val="0"/>
                    <w:pageBreakBefore w:val="0"/>
                    <w:kinsoku/>
                    <w:wordWrap/>
                    <w:overflowPunct/>
                    <w:topLinePunct w:val="0"/>
                    <w:autoSpaceDE/>
                    <w:autoSpaceDN/>
                    <w:bidi w:val="0"/>
                    <w:snapToGrid/>
                    <w:spacing w:line="240" w:lineRule="auto"/>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45</w:t>
                  </w:r>
                </w:p>
              </w:tc>
              <w:tc>
                <w:tcPr>
                  <w:tcW w:w="1468" w:type="dxa"/>
                  <w:tcBorders>
                    <w:tl2br w:val="nil"/>
                    <w:tr2bl w:val="nil"/>
                  </w:tcBorders>
                  <w:shd w:val="clear" w:color="auto" w:fill="auto"/>
                  <w:vAlign w:val="center"/>
                </w:tcPr>
                <w:p>
                  <w:pPr>
                    <w:pStyle w:val="48"/>
                    <w:keepNext w:val="0"/>
                    <w:keepLines w:val="0"/>
                    <w:pageBreakBefore w:val="0"/>
                    <w:kinsoku/>
                    <w:wordWrap/>
                    <w:overflowPunct/>
                    <w:topLinePunct w:val="0"/>
                    <w:autoSpaceDE/>
                    <w:autoSpaceDN/>
                    <w:bidi w:val="0"/>
                    <w:snapToGrid/>
                    <w:spacing w:line="240" w:lineRule="auto"/>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0.16</w:t>
                  </w:r>
                </w:p>
              </w:tc>
              <w:tc>
                <w:tcPr>
                  <w:tcW w:w="1503" w:type="pct"/>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rFonts w:hint="default"/>
                      <w:color w:val="000000" w:themeColor="text1"/>
                      <w:u w:val="single"/>
                      <w:lang w:val="en-US" w:eastAsia="zh-CN"/>
                      <w14:textFill>
                        <w14:solidFill>
                          <w14:schemeClr w14:val="tx1"/>
                        </w14:solidFill>
                      </w14:textFill>
                    </w:rPr>
                  </w:pPr>
                  <w:r>
                    <w:rPr>
                      <w:rFonts w:hint="eastAsia"/>
                      <w:color w:val="000000" w:themeColor="text1"/>
                      <w:u w:val="single"/>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03" w:type="pct"/>
                  <w:vMerge w:val="continue"/>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color w:val="000000" w:themeColor="text1"/>
                      <w:u w:val="single"/>
                      <w14:textFill>
                        <w14:solidFill>
                          <w14:schemeClr w14:val="tx1"/>
                        </w14:solidFill>
                      </w14:textFill>
                    </w:rPr>
                  </w:pPr>
                </w:p>
              </w:tc>
              <w:tc>
                <w:tcPr>
                  <w:tcW w:w="13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color w:val="000000" w:themeColor="text1"/>
                      <w:u w:val="single"/>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BOD</w:t>
                  </w:r>
                  <w:r>
                    <w:rPr>
                      <w:rFonts w:hint="default" w:ascii="Times New Roman" w:hAnsi="Times New Roman" w:eastAsia="宋体" w:cs="Times New Roman"/>
                      <w:i w:val="0"/>
                      <w:iCs w:val="0"/>
                      <w:color w:val="000000"/>
                      <w:kern w:val="0"/>
                      <w:sz w:val="21"/>
                      <w:szCs w:val="21"/>
                      <w:u w:val="single"/>
                      <w:vertAlign w:val="subscript"/>
                      <w:lang w:val="en-US" w:eastAsia="zh-CN" w:bidi="ar"/>
                    </w:rPr>
                    <w:t>5</w:t>
                  </w:r>
                </w:p>
              </w:tc>
              <w:tc>
                <w:tcPr>
                  <w:tcW w:w="1446" w:type="dxa"/>
                  <w:tcBorders>
                    <w:tl2br w:val="nil"/>
                    <w:tr2bl w:val="nil"/>
                  </w:tcBorders>
                  <w:shd w:val="clear" w:color="auto" w:fill="auto"/>
                  <w:vAlign w:val="center"/>
                </w:tcPr>
                <w:p>
                  <w:pPr>
                    <w:pStyle w:val="48"/>
                    <w:keepNext w:val="0"/>
                    <w:keepLines w:val="0"/>
                    <w:pageBreakBefore w:val="0"/>
                    <w:kinsoku/>
                    <w:wordWrap/>
                    <w:overflowPunct/>
                    <w:topLinePunct w:val="0"/>
                    <w:autoSpaceDE/>
                    <w:autoSpaceDN/>
                    <w:bidi w:val="0"/>
                    <w:snapToGrid/>
                    <w:spacing w:line="240" w:lineRule="auto"/>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20.9</w:t>
                  </w:r>
                </w:p>
              </w:tc>
              <w:tc>
                <w:tcPr>
                  <w:tcW w:w="1468" w:type="dxa"/>
                  <w:tcBorders>
                    <w:tl2br w:val="nil"/>
                    <w:tr2bl w:val="nil"/>
                  </w:tcBorders>
                  <w:shd w:val="clear" w:color="auto" w:fill="auto"/>
                  <w:vAlign w:val="center"/>
                </w:tcPr>
                <w:p>
                  <w:pPr>
                    <w:pStyle w:val="48"/>
                    <w:keepNext w:val="0"/>
                    <w:keepLines w:val="0"/>
                    <w:pageBreakBefore w:val="0"/>
                    <w:kinsoku/>
                    <w:wordWrap/>
                    <w:overflowPunct/>
                    <w:topLinePunct w:val="0"/>
                    <w:autoSpaceDE/>
                    <w:autoSpaceDN/>
                    <w:bidi w:val="0"/>
                    <w:snapToGrid/>
                    <w:spacing w:line="240" w:lineRule="auto"/>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0.073</w:t>
                  </w:r>
                </w:p>
              </w:tc>
              <w:tc>
                <w:tcPr>
                  <w:tcW w:w="1503" w:type="pct"/>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rFonts w:hint="default"/>
                      <w:color w:val="000000" w:themeColor="text1"/>
                      <w:u w:val="single"/>
                      <w:lang w:val="en-US" w:eastAsia="zh-CN"/>
                      <w14:textFill>
                        <w14:solidFill>
                          <w14:schemeClr w14:val="tx1"/>
                        </w14:solidFill>
                      </w14:textFill>
                    </w:rPr>
                  </w:pPr>
                  <w:r>
                    <w:rPr>
                      <w:rFonts w:hint="eastAsia"/>
                      <w:color w:val="000000" w:themeColor="text1"/>
                      <w:u w:val="single"/>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803" w:type="pct"/>
                  <w:vMerge w:val="continue"/>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color w:val="000000" w:themeColor="text1"/>
                      <w:u w:val="single"/>
                      <w14:textFill>
                        <w14:solidFill>
                          <w14:schemeClr w14:val="tx1"/>
                        </w14:solidFill>
                      </w14:textFill>
                    </w:rPr>
                  </w:pPr>
                </w:p>
              </w:tc>
              <w:tc>
                <w:tcPr>
                  <w:tcW w:w="13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eastAsia="宋体"/>
                      <w:color w:val="000000" w:themeColor="text1"/>
                      <w:u w:val="single"/>
                      <w:lang w:val="en-US" w:eastAsia="zh-CN"/>
                      <w14:textFill>
                        <w14:solidFill>
                          <w14:schemeClr w14:val="tx1"/>
                        </w14:solidFill>
                      </w14:textFill>
                    </w:rPr>
                  </w:pPr>
                  <w:r>
                    <w:rPr>
                      <w:rFonts w:hint="eastAsia" w:ascii="宋体" w:hAnsi="宋体" w:eastAsia="宋体" w:cs="宋体"/>
                      <w:i w:val="0"/>
                      <w:iCs w:val="0"/>
                      <w:color w:val="000000"/>
                      <w:kern w:val="0"/>
                      <w:sz w:val="21"/>
                      <w:szCs w:val="21"/>
                      <w:u w:val="single"/>
                      <w:lang w:val="en-US" w:eastAsia="zh-CN" w:bidi="ar"/>
                    </w:rPr>
                    <w:t>氨氮</w:t>
                  </w:r>
                </w:p>
              </w:tc>
              <w:tc>
                <w:tcPr>
                  <w:tcW w:w="1446" w:type="dxa"/>
                  <w:tcBorders>
                    <w:tl2br w:val="nil"/>
                    <w:tr2bl w:val="nil"/>
                  </w:tcBorders>
                  <w:shd w:val="clear" w:color="auto" w:fill="auto"/>
                  <w:vAlign w:val="center"/>
                </w:tcPr>
                <w:p>
                  <w:pPr>
                    <w:pStyle w:val="48"/>
                    <w:keepNext w:val="0"/>
                    <w:keepLines w:val="0"/>
                    <w:pageBreakBefore w:val="0"/>
                    <w:kinsoku/>
                    <w:wordWrap/>
                    <w:overflowPunct/>
                    <w:topLinePunct w:val="0"/>
                    <w:autoSpaceDE/>
                    <w:autoSpaceDN/>
                    <w:bidi w:val="0"/>
                    <w:snapToGrid/>
                    <w:spacing w:line="240" w:lineRule="auto"/>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33.6</w:t>
                  </w:r>
                </w:p>
              </w:tc>
              <w:tc>
                <w:tcPr>
                  <w:tcW w:w="1468" w:type="dxa"/>
                  <w:tcBorders>
                    <w:tl2br w:val="nil"/>
                    <w:tr2bl w:val="nil"/>
                  </w:tcBorders>
                  <w:shd w:val="clear" w:color="auto" w:fill="auto"/>
                  <w:vAlign w:val="center"/>
                </w:tcPr>
                <w:p>
                  <w:pPr>
                    <w:pStyle w:val="48"/>
                    <w:keepNext w:val="0"/>
                    <w:keepLines w:val="0"/>
                    <w:pageBreakBefore w:val="0"/>
                    <w:kinsoku/>
                    <w:wordWrap/>
                    <w:overflowPunct/>
                    <w:topLinePunct w:val="0"/>
                    <w:autoSpaceDE/>
                    <w:autoSpaceDN/>
                    <w:bidi w:val="0"/>
                    <w:snapToGrid/>
                    <w:spacing w:line="240" w:lineRule="auto"/>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0.12</w:t>
                  </w:r>
                </w:p>
              </w:tc>
              <w:tc>
                <w:tcPr>
                  <w:tcW w:w="1503" w:type="pct"/>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Merge w:val="continue"/>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color w:val="000000" w:themeColor="text1"/>
                      <w:u w:val="single"/>
                      <w14:textFill>
                        <w14:solidFill>
                          <w14:schemeClr w14:val="tx1"/>
                        </w14:solidFill>
                      </w14:textFill>
                    </w:rPr>
                  </w:pPr>
                </w:p>
              </w:tc>
              <w:tc>
                <w:tcPr>
                  <w:tcW w:w="13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color w:val="000000" w:themeColor="text1"/>
                      <w:u w:val="single"/>
                      <w14:textFill>
                        <w14:solidFill>
                          <w14:schemeClr w14:val="tx1"/>
                        </w14:solidFill>
                      </w14:textFill>
                    </w:rPr>
                  </w:pPr>
                  <w:r>
                    <w:rPr>
                      <w:rFonts w:hint="eastAsia" w:ascii="宋体" w:hAnsi="宋体" w:eastAsia="宋体" w:cs="宋体"/>
                      <w:i w:val="0"/>
                      <w:iCs w:val="0"/>
                      <w:color w:val="000000"/>
                      <w:kern w:val="0"/>
                      <w:sz w:val="21"/>
                      <w:szCs w:val="21"/>
                      <w:u w:val="single"/>
                      <w:lang w:val="en-US" w:eastAsia="zh-CN" w:bidi="ar"/>
                    </w:rPr>
                    <w:t>动植物油</w:t>
                  </w:r>
                </w:p>
              </w:tc>
              <w:tc>
                <w:tcPr>
                  <w:tcW w:w="913"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spacing w:line="240" w:lineRule="auto"/>
                    <w:jc w:val="center"/>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w:t>
                  </w:r>
                </w:p>
              </w:tc>
              <w:tc>
                <w:tcPr>
                  <w:tcW w:w="926"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spacing w:line="240" w:lineRule="auto"/>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w:t>
                  </w:r>
                </w:p>
              </w:tc>
              <w:tc>
                <w:tcPr>
                  <w:tcW w:w="1503" w:type="pct"/>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rFonts w:hint="default"/>
                      <w:color w:val="000000" w:themeColor="text1"/>
                      <w:u w:val="single"/>
                      <w:lang w:val="en-US" w:eastAsia="zh-CN"/>
                      <w14:textFill>
                        <w14:solidFill>
                          <w14:schemeClr w14:val="tx1"/>
                        </w14:solidFill>
                      </w14:textFill>
                    </w:rPr>
                  </w:pPr>
                  <w:r>
                    <w:rPr>
                      <w:rFonts w:hint="eastAsia"/>
                      <w:color w:val="000000" w:themeColor="text1"/>
                      <w:u w:val="single"/>
                      <w14:textFill>
                        <w14:solidFill>
                          <w14:schemeClr w14:val="tx1"/>
                        </w14:solidFill>
                      </w14:textFill>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Merge w:val="continue"/>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color w:val="000000" w:themeColor="text1"/>
                      <w:u w:val="single"/>
                      <w14:textFill>
                        <w14:solidFill>
                          <w14:schemeClr w14:val="tx1"/>
                        </w14:solidFill>
                      </w14:textFill>
                    </w:rPr>
                  </w:pPr>
                </w:p>
              </w:tc>
              <w:tc>
                <w:tcPr>
                  <w:tcW w:w="13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eastAsia="宋体"/>
                      <w:color w:val="000000" w:themeColor="text1"/>
                      <w:u w:val="single"/>
                      <w:lang w:val="en-US" w:eastAsia="zh-CN"/>
                      <w14:textFill>
                        <w14:solidFill>
                          <w14:schemeClr w14:val="tx1"/>
                        </w14:solidFill>
                      </w14:textFill>
                    </w:rPr>
                  </w:pPr>
                  <w:r>
                    <w:rPr>
                      <w:rFonts w:hint="eastAsia" w:ascii="宋体" w:hAnsi="宋体" w:eastAsia="宋体" w:cs="宋体"/>
                      <w:i w:val="0"/>
                      <w:iCs w:val="0"/>
                      <w:color w:val="000000"/>
                      <w:kern w:val="0"/>
                      <w:sz w:val="21"/>
                      <w:szCs w:val="21"/>
                      <w:u w:val="single"/>
                      <w:lang w:val="en-US" w:eastAsia="zh-CN" w:bidi="ar"/>
                    </w:rPr>
                    <w:t>石油类</w:t>
                  </w:r>
                </w:p>
              </w:tc>
              <w:tc>
                <w:tcPr>
                  <w:tcW w:w="913"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spacing w:line="240" w:lineRule="auto"/>
                    <w:jc w:val="center"/>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w:t>
                  </w:r>
                </w:p>
              </w:tc>
              <w:tc>
                <w:tcPr>
                  <w:tcW w:w="926"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spacing w:line="240" w:lineRule="auto"/>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w:t>
                  </w:r>
                </w:p>
              </w:tc>
              <w:tc>
                <w:tcPr>
                  <w:tcW w:w="1503" w:type="pct"/>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rFonts w:hint="default"/>
                      <w:color w:val="000000" w:themeColor="text1"/>
                      <w:u w:val="single"/>
                      <w:lang w:val="en-US" w:eastAsia="zh-CN"/>
                      <w14:textFill>
                        <w14:solidFill>
                          <w14:schemeClr w14:val="tx1"/>
                        </w14:solidFill>
                      </w14:textFill>
                    </w:rPr>
                  </w:pPr>
                  <w:r>
                    <w:rPr>
                      <w:rFonts w:hint="eastAsia"/>
                      <w:color w:val="000000" w:themeColor="text1"/>
                      <w:u w:val="single"/>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Merge w:val="continue"/>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color w:val="000000" w:themeColor="text1"/>
                      <w:u w:val="single"/>
                      <w14:textFill>
                        <w14:solidFill>
                          <w14:schemeClr w14:val="tx1"/>
                        </w14:solidFill>
                      </w14:textFill>
                    </w:rPr>
                  </w:pPr>
                </w:p>
              </w:tc>
              <w:tc>
                <w:tcPr>
                  <w:tcW w:w="13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color w:val="000000" w:themeColor="text1"/>
                      <w:u w:val="single"/>
                      <w:lang w:val="en-US" w:eastAsia="zh-CN"/>
                      <w14:textFill>
                        <w14:solidFill>
                          <w14:schemeClr w14:val="tx1"/>
                        </w14:solidFill>
                      </w14:textFill>
                    </w:rPr>
                  </w:pPr>
                  <w:r>
                    <w:rPr>
                      <w:rFonts w:hint="eastAsia" w:ascii="宋体" w:hAnsi="宋体" w:eastAsia="宋体" w:cs="宋体"/>
                      <w:i w:val="0"/>
                      <w:iCs w:val="0"/>
                      <w:color w:val="000000"/>
                      <w:kern w:val="0"/>
                      <w:sz w:val="21"/>
                      <w:szCs w:val="21"/>
                      <w:u w:val="single"/>
                      <w:lang w:val="en-US" w:eastAsia="zh-CN" w:bidi="ar"/>
                    </w:rPr>
                    <w:t>阴离子表面活性剂</w:t>
                  </w:r>
                </w:p>
              </w:tc>
              <w:tc>
                <w:tcPr>
                  <w:tcW w:w="913"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spacing w:line="240" w:lineRule="auto"/>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w:t>
                  </w:r>
                </w:p>
              </w:tc>
              <w:tc>
                <w:tcPr>
                  <w:tcW w:w="926"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spacing w:line="240" w:lineRule="auto"/>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w:t>
                  </w:r>
                </w:p>
              </w:tc>
              <w:tc>
                <w:tcPr>
                  <w:tcW w:w="1503" w:type="pct"/>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rFonts w:hint="eastAsia"/>
                      <w:color w:val="000000" w:themeColor="text1"/>
                      <w:u w:val="single"/>
                      <w:lang w:val="en-US" w:eastAsia="zh-CN"/>
                      <w14:textFill>
                        <w14:solidFill>
                          <w14:schemeClr w14:val="tx1"/>
                        </w14:solidFill>
                      </w14:textFill>
                    </w:rPr>
                  </w:pPr>
                  <w:r>
                    <w:rPr>
                      <w:rFonts w:hint="eastAsia"/>
                      <w:color w:val="000000" w:themeColor="text1"/>
                      <w:u w:val="singl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Merge w:val="continue"/>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color w:val="000000" w:themeColor="text1"/>
                      <w:u w:val="single"/>
                      <w14:textFill>
                        <w14:solidFill>
                          <w14:schemeClr w14:val="tx1"/>
                        </w14:solidFill>
                      </w14:textFill>
                    </w:rPr>
                  </w:pPr>
                </w:p>
              </w:tc>
              <w:tc>
                <w:tcPr>
                  <w:tcW w:w="13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color w:val="000000" w:themeColor="text1"/>
                      <w:u w:val="single"/>
                      <w:lang w:val="en-US" w:eastAsia="zh-CN"/>
                      <w14:textFill>
                        <w14:solidFill>
                          <w14:schemeClr w14:val="tx1"/>
                        </w14:solidFill>
                      </w14:textFill>
                    </w:rPr>
                  </w:pPr>
                  <w:r>
                    <w:rPr>
                      <w:rFonts w:hint="eastAsia" w:ascii="宋体" w:hAnsi="宋体" w:eastAsia="宋体" w:cs="宋体"/>
                      <w:i w:val="0"/>
                      <w:iCs w:val="0"/>
                      <w:color w:val="000000"/>
                      <w:kern w:val="0"/>
                      <w:sz w:val="21"/>
                      <w:szCs w:val="21"/>
                      <w:u w:val="single"/>
                      <w:lang w:val="en-US" w:eastAsia="zh-CN" w:bidi="ar"/>
                    </w:rPr>
                    <w:t>挥发酚</w:t>
                  </w:r>
                </w:p>
              </w:tc>
              <w:tc>
                <w:tcPr>
                  <w:tcW w:w="913"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spacing w:line="240" w:lineRule="auto"/>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w:t>
                  </w:r>
                </w:p>
              </w:tc>
              <w:tc>
                <w:tcPr>
                  <w:tcW w:w="926"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spacing w:line="240" w:lineRule="auto"/>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w:t>
                  </w:r>
                </w:p>
              </w:tc>
              <w:tc>
                <w:tcPr>
                  <w:tcW w:w="1503" w:type="pct"/>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Merge w:val="continue"/>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color w:val="000000" w:themeColor="text1"/>
                      <w:u w:val="single"/>
                      <w14:textFill>
                        <w14:solidFill>
                          <w14:schemeClr w14:val="tx1"/>
                        </w14:solidFill>
                      </w14:textFill>
                    </w:rPr>
                  </w:pPr>
                </w:p>
              </w:tc>
              <w:tc>
                <w:tcPr>
                  <w:tcW w:w="13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color w:val="000000" w:themeColor="text1"/>
                      <w:u w:val="single"/>
                      <w:lang w:val="en-US" w:eastAsia="zh-CN"/>
                      <w14:textFill>
                        <w14:solidFill>
                          <w14:schemeClr w14:val="tx1"/>
                        </w14:solidFill>
                      </w14:textFill>
                    </w:rPr>
                  </w:pPr>
                  <w:r>
                    <w:rPr>
                      <w:rFonts w:hint="eastAsia" w:ascii="宋体" w:hAnsi="宋体" w:eastAsia="宋体" w:cs="宋体"/>
                      <w:i w:val="0"/>
                      <w:iCs w:val="0"/>
                      <w:color w:val="000000"/>
                      <w:kern w:val="0"/>
                      <w:sz w:val="21"/>
                      <w:szCs w:val="21"/>
                      <w:u w:val="single"/>
                      <w:lang w:val="en-US" w:eastAsia="zh-CN" w:bidi="ar"/>
                    </w:rPr>
                    <w:t>总氰化物</w:t>
                  </w:r>
                </w:p>
              </w:tc>
              <w:tc>
                <w:tcPr>
                  <w:tcW w:w="913"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spacing w:line="240" w:lineRule="auto"/>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w:t>
                  </w:r>
                </w:p>
              </w:tc>
              <w:tc>
                <w:tcPr>
                  <w:tcW w:w="926"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spacing w:line="240" w:lineRule="auto"/>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w:t>
                  </w:r>
                </w:p>
              </w:tc>
              <w:tc>
                <w:tcPr>
                  <w:tcW w:w="1503" w:type="pct"/>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vMerge w:val="continue"/>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color w:val="000000" w:themeColor="text1"/>
                      <w:u w:val="single"/>
                      <w14:textFill>
                        <w14:solidFill>
                          <w14:schemeClr w14:val="tx1"/>
                        </w14:solidFill>
                      </w14:textFill>
                    </w:rPr>
                  </w:pPr>
                </w:p>
              </w:tc>
              <w:tc>
                <w:tcPr>
                  <w:tcW w:w="13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eastAsia"/>
                      <w:color w:val="000000" w:themeColor="text1"/>
                      <w:u w:val="single"/>
                      <w:lang w:val="en-US" w:eastAsia="zh-CN"/>
                      <w14:textFill>
                        <w14:solidFill>
                          <w14:schemeClr w14:val="tx1"/>
                        </w14:solidFill>
                      </w14:textFill>
                    </w:rPr>
                  </w:pPr>
                  <w:r>
                    <w:rPr>
                      <w:rFonts w:hint="eastAsia" w:ascii="宋体" w:hAnsi="宋体" w:eastAsia="宋体" w:cs="宋体"/>
                      <w:i w:val="0"/>
                      <w:iCs w:val="0"/>
                      <w:color w:val="000000"/>
                      <w:kern w:val="0"/>
                      <w:sz w:val="21"/>
                      <w:szCs w:val="21"/>
                      <w:u w:val="single"/>
                      <w:lang w:val="en-US" w:eastAsia="zh-CN" w:bidi="ar"/>
                    </w:rPr>
                    <w:t>粪大肠菌群</w:t>
                  </w:r>
                </w:p>
              </w:tc>
              <w:tc>
                <w:tcPr>
                  <w:tcW w:w="913"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spacing w:line="240" w:lineRule="auto"/>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w:t>
                  </w:r>
                </w:p>
              </w:tc>
              <w:tc>
                <w:tcPr>
                  <w:tcW w:w="926"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spacing w:line="240" w:lineRule="auto"/>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w:t>
                  </w:r>
                </w:p>
              </w:tc>
              <w:tc>
                <w:tcPr>
                  <w:tcW w:w="1503" w:type="pct"/>
                  <w:tcBorders>
                    <w:tl2br w:val="nil"/>
                    <w:tr2bl w:val="nil"/>
                  </w:tcBorders>
                  <w:vAlign w:val="center"/>
                </w:tcPr>
                <w:p>
                  <w:pPr>
                    <w:pStyle w:val="48"/>
                    <w:keepNext w:val="0"/>
                    <w:keepLines w:val="0"/>
                    <w:pageBreakBefore w:val="0"/>
                    <w:kinsoku/>
                    <w:wordWrap/>
                    <w:overflowPunct/>
                    <w:topLinePunct w:val="0"/>
                    <w:autoSpaceDE/>
                    <w:autoSpaceDN/>
                    <w:bidi w:val="0"/>
                    <w:snapToGrid/>
                    <w:spacing w:line="240" w:lineRule="auto"/>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20</w:t>
                  </w:r>
                </w:p>
              </w:tc>
            </w:tr>
          </w:tbl>
          <w:p>
            <w:pPr>
              <w:keepNext w:val="0"/>
              <w:keepLines w:val="0"/>
              <w:pageBreakBefore w:val="0"/>
              <w:widowControl/>
              <w:suppressLineNumbers w:val="0"/>
              <w:kinsoku/>
              <w:wordWrap/>
              <w:overflowPunct/>
              <w:topLinePunct w:val="0"/>
              <w:autoSpaceDE/>
              <w:autoSpaceDN/>
              <w:bidi w:val="0"/>
              <w:adjustRightInd/>
              <w:snapToGrid/>
              <w:ind w:firstLine="482" w:firstLineChars="200"/>
              <w:jc w:val="both"/>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3</w:t>
            </w:r>
            <w:r>
              <w:rPr>
                <w:rFonts w:hint="eastAsia" w:cs="Times New Roman"/>
                <w:b/>
                <w:bCs/>
                <w:color w:val="000000"/>
                <w:kern w:val="0"/>
                <w:sz w:val="24"/>
                <w:szCs w:val="24"/>
                <w:lang w:val="en-US" w:eastAsia="zh-CN" w:bidi="ar"/>
              </w:rPr>
              <w:t>、</w:t>
            </w:r>
            <w:r>
              <w:rPr>
                <w:rFonts w:hint="eastAsia" w:ascii="Times New Roman" w:hAnsi="Times New Roman" w:eastAsia="宋体" w:cs="Times New Roman"/>
                <w:b/>
                <w:bCs/>
                <w:color w:val="000000"/>
                <w:kern w:val="0"/>
                <w:sz w:val="24"/>
                <w:szCs w:val="24"/>
                <w:lang w:val="en-US" w:eastAsia="zh-CN" w:bidi="ar"/>
              </w:rPr>
              <w:t>治理措施可行性分析</w:t>
            </w:r>
          </w:p>
          <w:p>
            <w:pPr>
              <w:pStyle w:val="8"/>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rPr>
            </w:pPr>
            <w:r>
              <w:rPr>
                <w:rFonts w:hint="eastAsia"/>
                <w:lang w:val="en-US" w:eastAsia="zh-CN"/>
              </w:rPr>
              <w:t>本项目诊疗区综合废水经化粪池处理后，再进入自建污水处理站处理项目废水，在项目区东南部建设地埋式污水处理设施，采用“格栅井+调节池+AO工艺+沉淀池+消毒”的处理工艺，日处理污水可达10m</w:t>
            </w:r>
            <w:r>
              <w:rPr>
                <w:rFonts w:hint="eastAsia"/>
                <w:vertAlign w:val="superscript"/>
                <w:lang w:val="en-US" w:eastAsia="zh-CN"/>
              </w:rPr>
              <w:t>3</w:t>
            </w:r>
            <w:r>
              <w:rPr>
                <w:rFonts w:hint="eastAsia"/>
                <w:lang w:val="en-US" w:eastAsia="zh-CN"/>
              </w:rPr>
              <w:t>，具体工艺流程图如下：</w:t>
            </w:r>
          </w:p>
          <w:p>
            <w:pPr>
              <w:rPr>
                <w:rFonts w:hint="eastAsia" w:eastAsia="宋体"/>
                <w:lang w:eastAsia="zh-CN"/>
              </w:rPr>
            </w:pPr>
            <w:r>
              <w:rPr>
                <w:rFonts w:hint="eastAsia" w:eastAsia="宋体"/>
                <w:lang w:eastAsia="zh-CN"/>
              </w:rPr>
              <w:drawing>
                <wp:inline distT="0" distB="0" distL="114300" distR="114300">
                  <wp:extent cx="5038725" cy="3731895"/>
                  <wp:effectExtent l="0" t="0" r="9525" b="1905"/>
                  <wp:docPr id="1" name="图片 1" descr="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工艺流程"/>
                          <pic:cNvPicPr>
                            <a:picLocks noChangeAspect="1"/>
                          </pic:cNvPicPr>
                        </pic:nvPicPr>
                        <pic:blipFill>
                          <a:blip r:embed="rId18"/>
                          <a:stretch>
                            <a:fillRect/>
                          </a:stretch>
                        </pic:blipFill>
                        <pic:spPr>
                          <a:xfrm>
                            <a:off x="0" y="0"/>
                            <a:ext cx="5038725" cy="3731895"/>
                          </a:xfrm>
                          <a:prstGeom prst="rect">
                            <a:avLst/>
                          </a:prstGeom>
                        </pic:spPr>
                      </pic:pic>
                    </a:graphicData>
                  </a:graphic>
                </wp:inline>
              </w:drawing>
            </w:r>
          </w:p>
          <w:p>
            <w:pPr>
              <w:pStyle w:val="49"/>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4.2-1</w:t>
            </w:r>
            <w:r>
              <w:rPr>
                <w:color w:val="000000" w:themeColor="text1"/>
                <w14:textFill>
                  <w14:solidFill>
                    <w14:schemeClr w14:val="tx1"/>
                  </w14:solidFill>
                </w14:textFill>
              </w:rPr>
              <w:t xml:space="preserve"> 本项目污水处理工艺流程图</w:t>
            </w:r>
          </w:p>
          <w:p>
            <w:pPr>
              <w:pStyle w:val="7"/>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工艺说明：</w:t>
            </w:r>
          </w:p>
          <w:p>
            <w:pPr>
              <w:pStyle w:val="7"/>
              <w:ind w:firstLine="480"/>
              <w:rPr>
                <w:color w:val="000000" w:themeColor="text1"/>
                <w:u w:val="none"/>
                <w14:textFill>
                  <w14:solidFill>
                    <w14:schemeClr w14:val="tx1"/>
                  </w14:solidFill>
                </w14:textFill>
              </w:rPr>
            </w:pPr>
            <w:r>
              <w:rPr>
                <w:color w:val="000000" w:themeColor="text1"/>
                <w:u w:val="none"/>
                <w14:textFill>
                  <w14:solidFill>
                    <w14:schemeClr w14:val="tx1"/>
                  </w14:solidFill>
                </w14:textFill>
              </w:rPr>
              <w:t>项目废水进入格栅池，设在此处的格栅将废水中较大固体杂质及漂浮物阻截隔除后，其上清液流入调节池，水量水质得以调节</w:t>
            </w:r>
            <w:r>
              <w:rPr>
                <w:rFonts w:hint="eastAsia"/>
                <w:color w:val="000000" w:themeColor="text1"/>
                <w:u w:val="none"/>
                <w14:textFill>
                  <w14:solidFill>
                    <w14:schemeClr w14:val="tx1"/>
                  </w14:solidFill>
                </w14:textFill>
              </w:rPr>
              <w:t>均匀</w:t>
            </w:r>
            <w:r>
              <w:rPr>
                <w:color w:val="000000" w:themeColor="text1"/>
                <w:u w:val="none"/>
                <w14:textFill>
                  <w14:solidFill>
                    <w14:schemeClr w14:val="tx1"/>
                  </w14:solidFill>
                </w14:textFill>
              </w:rPr>
              <w:t>，在此大颗粒可沉固体和悬浮物得以沉降分离，</w:t>
            </w:r>
            <w:r>
              <w:rPr>
                <w:rFonts w:hint="eastAsia"/>
                <w:color w:val="000000" w:themeColor="text1"/>
                <w:u w:val="none"/>
                <w:lang w:val="en-US" w:eastAsia="zh-CN"/>
                <w14:textFill>
                  <w14:solidFill>
                    <w14:schemeClr w14:val="tx1"/>
                  </w14:solidFill>
                </w14:textFill>
              </w:rPr>
              <w:t>经过</w:t>
            </w:r>
            <w:r>
              <w:rPr>
                <w:rFonts w:hint="default"/>
                <w:color w:val="000000" w:themeColor="text1"/>
                <w:u w:val="none"/>
                <w14:textFill>
                  <w14:solidFill>
                    <w14:schemeClr w14:val="tx1"/>
                  </w14:solidFill>
                </w14:textFill>
              </w:rPr>
              <w:t>A/O工艺</w:t>
            </w:r>
            <w:r>
              <w:rPr>
                <w:rFonts w:hint="eastAsia"/>
                <w:color w:val="000000" w:themeColor="text1"/>
                <w:u w:val="none"/>
                <w:lang w:val="en-US" w:eastAsia="zh-CN"/>
                <w14:textFill>
                  <w14:solidFill>
                    <w14:schemeClr w14:val="tx1"/>
                  </w14:solidFill>
                </w14:textFill>
              </w:rPr>
              <w:t>处理后</w:t>
            </w:r>
            <w:r>
              <w:rPr>
                <w:color w:val="000000" w:themeColor="text1"/>
                <w:u w:val="none"/>
                <w14:textFill>
                  <w14:solidFill>
                    <w14:schemeClr w14:val="tx1"/>
                  </w14:solidFill>
                </w14:textFill>
              </w:rPr>
              <w:t>再进行消毒，自动控制消毒设备和污水泵同时工作</w:t>
            </w:r>
            <w:r>
              <w:rPr>
                <w:rFonts w:hint="eastAsia"/>
                <w:color w:val="000000" w:themeColor="text1"/>
                <w:u w:val="none"/>
                <w14:textFill>
                  <w14:solidFill>
                    <w14:schemeClr w14:val="tx1"/>
                  </w14:solidFill>
                </w14:textFill>
              </w:rPr>
              <w:t>，</w:t>
            </w:r>
            <w:r>
              <w:rPr>
                <w:color w:val="000000" w:themeColor="text1"/>
                <w:u w:val="none"/>
                <w14:textFill>
                  <w14:solidFill>
                    <w14:schemeClr w14:val="tx1"/>
                  </w14:solidFill>
                </w14:textFill>
              </w:rPr>
              <w:t>污水最后通过消毒设备消毒达标后即可排放。</w:t>
            </w:r>
          </w:p>
          <w:p>
            <w:pPr>
              <w:pStyle w:val="7"/>
              <w:ind w:firstLine="480"/>
              <w:rPr>
                <w:color w:val="000000" w:themeColor="text1"/>
                <w:u w:val="none"/>
                <w14:textFill>
                  <w14:solidFill>
                    <w14:schemeClr w14:val="tx1"/>
                  </w14:solidFill>
                </w14:textFill>
              </w:rPr>
            </w:pPr>
            <w:r>
              <w:rPr>
                <w:color w:val="000000" w:themeColor="text1"/>
                <w:u w:val="none"/>
                <w14:textFill>
                  <w14:solidFill>
                    <w14:schemeClr w14:val="tx1"/>
                  </w14:solidFill>
                </w14:textFill>
              </w:rPr>
              <w:t>①格栅池</w:t>
            </w:r>
          </w:p>
          <w:p>
            <w:pPr>
              <w:pStyle w:val="7"/>
              <w:ind w:firstLine="480"/>
              <w:rPr>
                <w:color w:val="000000" w:themeColor="text1"/>
                <w:u w:val="none"/>
                <w14:textFill>
                  <w14:solidFill>
                    <w14:schemeClr w14:val="tx1"/>
                  </w14:solidFill>
                </w14:textFill>
              </w:rPr>
            </w:pPr>
            <w:r>
              <w:rPr>
                <w:color w:val="000000" w:themeColor="text1"/>
                <w:u w:val="none"/>
                <w14:textFill>
                  <w14:solidFill>
                    <w14:schemeClr w14:val="tx1"/>
                  </w14:solidFill>
                </w14:textFill>
              </w:rPr>
              <w:t>格栅作为水处理工程中的常用预处理设备，应用十分广泛。它可以有效地去除废水中的粗颗粒物杂质，保护后续处理工序的稳定运行以及提升泵的正常运转。</w:t>
            </w:r>
          </w:p>
          <w:p>
            <w:pPr>
              <w:pStyle w:val="7"/>
              <w:ind w:firstLine="480"/>
              <w:rPr>
                <w:color w:val="000000" w:themeColor="text1"/>
                <w:u w:val="none"/>
                <w14:textFill>
                  <w14:solidFill>
                    <w14:schemeClr w14:val="tx1"/>
                  </w14:solidFill>
                </w14:textFill>
              </w:rPr>
            </w:pPr>
            <w:r>
              <w:rPr>
                <w:color w:val="000000" w:themeColor="text1"/>
                <w:u w:val="none"/>
                <w14:textFill>
                  <w14:solidFill>
                    <w14:schemeClr w14:val="tx1"/>
                  </w14:solidFill>
                </w14:textFill>
              </w:rPr>
              <w:t>②调节池</w:t>
            </w:r>
          </w:p>
          <w:p>
            <w:pPr>
              <w:pStyle w:val="7"/>
              <w:ind w:firstLine="480"/>
              <w:rPr>
                <w:color w:val="000000" w:themeColor="text1"/>
                <w:u w:val="none"/>
                <w14:textFill>
                  <w14:solidFill>
                    <w14:schemeClr w14:val="tx1"/>
                  </w14:solidFill>
                </w14:textFill>
              </w:rPr>
            </w:pPr>
            <w:r>
              <w:rPr>
                <w:color w:val="000000" w:themeColor="text1"/>
                <w:u w:val="none"/>
                <w14:textFill>
                  <w14:solidFill>
                    <w14:schemeClr w14:val="tx1"/>
                  </w14:solidFill>
                </w14:textFill>
              </w:rPr>
              <w:t>调节沉淀池，其目的是调节均和污水的水质和水量。消减高峰负荷，大颗粒可沉固体和悬浮物得以沉淀分离，以利于下一步的处理，减少处理构筑物的体积和节省投资费用。</w:t>
            </w:r>
          </w:p>
          <w:p>
            <w:pPr>
              <w:pStyle w:val="7"/>
              <w:ind w:firstLine="480"/>
              <w:rPr>
                <w:rFonts w:hint="default"/>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③</w:t>
            </w:r>
            <w:r>
              <w:rPr>
                <w:rFonts w:hint="default"/>
                <w:color w:val="000000" w:themeColor="text1"/>
                <w:u w:val="none"/>
                <w14:textFill>
                  <w14:solidFill>
                    <w14:schemeClr w14:val="tx1"/>
                  </w14:solidFill>
                </w14:textFill>
              </w:rPr>
              <w:t>A/O工艺将前段缺氧段和后段好氧段串联在一起，交替处理。在缺氧段异养菌将污水中的淀粉、纤维、碳水化合物等悬浮污染物和可溶性有机物水解为有机酸，使大分子有机物分解为小分子有机物，不溶性的有机物转化成可溶性有机物，可提高污水的可生化性。</w:t>
            </w:r>
          </w:p>
          <w:p>
            <w:pPr>
              <w:pStyle w:val="7"/>
              <w:ind w:firstLine="480"/>
              <w:rPr>
                <w:rFonts w:hint="default"/>
                <w:color w:val="000000" w:themeColor="text1"/>
                <w:u w:val="none"/>
                <w14:textFill>
                  <w14:solidFill>
                    <w14:schemeClr w14:val="tx1"/>
                  </w14:solidFill>
                </w14:textFill>
              </w:rPr>
            </w:pPr>
            <w:r>
              <w:rPr>
                <w:rFonts w:hint="default"/>
                <w:color w:val="000000" w:themeColor="text1"/>
                <w:u w:val="none"/>
                <w14:textFill>
                  <w14:solidFill>
                    <w14:schemeClr w14:val="tx1"/>
                  </w14:solidFill>
                </w14:textFill>
              </w:rPr>
              <w:t>在缺氧段，异养菌将蛋白质、脂肪等污染物进行氨化游离出氨氮。</w:t>
            </w:r>
          </w:p>
          <w:p>
            <w:pPr>
              <w:pStyle w:val="7"/>
              <w:ind w:firstLine="480"/>
              <w:rPr>
                <w:color w:val="000000" w:themeColor="text1"/>
                <w:u w:val="single"/>
                <w14:textFill>
                  <w14:solidFill>
                    <w14:schemeClr w14:val="tx1"/>
                  </w14:solidFill>
                </w14:textFill>
              </w:rPr>
            </w:pPr>
            <w:r>
              <w:rPr>
                <w:rFonts w:hint="default"/>
                <w:color w:val="000000" w:themeColor="text1"/>
                <w:u w:val="none"/>
                <w14:textFill>
                  <w14:solidFill>
                    <w14:schemeClr w14:val="tx1"/>
                  </w14:solidFill>
                </w14:textFill>
              </w:rPr>
              <w:t>在好氧段，硝化菌将氨氮氧化为硝态氮，通过回流控制返回至A池，在缺氧条件下，异氧菌的反硝化作用将硝态氮还原为分子态氮完成C、N、O在生态中的循环，实现污水无害化处理</w:t>
            </w:r>
            <w:r>
              <w:rPr>
                <w:color w:val="000000" w:themeColor="text1"/>
                <w:u w:val="none"/>
                <w14:textFill>
                  <w14:solidFill>
                    <w14:schemeClr w14:val="tx1"/>
                  </w14:solidFill>
                </w14:textFill>
              </w:rPr>
              <w:t>。</w:t>
            </w:r>
          </w:p>
          <w:p>
            <w:pPr>
              <w:pStyle w:val="7"/>
              <w:ind w:firstLine="480"/>
              <w:rPr>
                <w:rFonts w:hint="eastAsia"/>
                <w:color w:val="000000" w:themeColor="text1"/>
                <w:u w:val="none"/>
                <w14:textFill>
                  <w14:solidFill>
                    <w14:schemeClr w14:val="tx1"/>
                  </w14:solidFill>
                </w14:textFill>
              </w:rPr>
            </w:pPr>
            <w:r>
              <w:rPr>
                <w:rFonts w:hint="eastAsia"/>
                <w:lang w:val="en-US" w:eastAsia="zh-CN"/>
              </w:rPr>
              <w:t>本项目废水排放量9.56</w:t>
            </w:r>
            <w:r>
              <w:rPr>
                <w:color w:val="000000" w:themeColor="text1"/>
                <w:u w:val="none"/>
                <w14:textFill>
                  <w14:solidFill>
                    <w14:schemeClr w14:val="tx1"/>
                  </w14:solidFill>
                </w14:textFill>
              </w:rPr>
              <w:t>m³</w:t>
            </w:r>
            <w:r>
              <w:rPr>
                <w:rFonts w:hint="eastAsia"/>
                <w:lang w:val="en-US" w:eastAsia="zh-CN"/>
              </w:rPr>
              <w:t>/d，通过医院内</w:t>
            </w:r>
            <w:r>
              <w:rPr>
                <w:rFonts w:hint="eastAsia"/>
                <w:color w:val="000000" w:themeColor="text1"/>
                <w:u w:val="none"/>
                <w14:textFill>
                  <w14:solidFill>
                    <w14:schemeClr w14:val="tx1"/>
                  </w14:solidFill>
                </w14:textFill>
              </w:rPr>
              <w:t>污水处理站“化粪池+格栅井+调节池+AO工艺+沉淀池+消毒”工艺处理后，达到《医疗机构水污染物排放标准》（GB18466-2005）中表 2 中预处理标准后</w:t>
            </w:r>
            <w:r>
              <w:rPr>
                <w:rFonts w:hint="eastAsia"/>
                <w:color w:val="000000" w:themeColor="text1"/>
                <w:u w:val="none"/>
                <w:lang w:eastAsia="zh-CN"/>
                <w14:textFill>
                  <w14:solidFill>
                    <w14:schemeClr w14:val="tx1"/>
                  </w14:solidFill>
                </w14:textFill>
              </w:rPr>
              <w:t>，</w:t>
            </w:r>
            <w:r>
              <w:rPr>
                <w:rFonts w:hint="eastAsia"/>
                <w:color w:val="000000" w:themeColor="text1"/>
                <w:u w:val="none"/>
                <w14:textFill>
                  <w14:solidFill>
                    <w14:schemeClr w14:val="tx1"/>
                  </w14:solidFill>
                </w14:textFill>
              </w:rPr>
              <w:t>经污水总排口排入市政管网引入</w:t>
            </w:r>
            <w:r>
              <w:rPr>
                <w:rFonts w:hint="eastAsia"/>
                <w:color w:val="000000" w:themeColor="text1"/>
                <w:u w:val="none"/>
                <w:lang w:val="en-US" w:eastAsia="zh-CN"/>
                <w14:textFill>
                  <w14:solidFill>
                    <w14:schemeClr w14:val="tx1"/>
                  </w14:solidFill>
                </w14:textFill>
              </w:rPr>
              <w:t>桃林镇污水处理厂</w:t>
            </w:r>
            <w:r>
              <w:rPr>
                <w:rFonts w:hint="eastAsia"/>
                <w:color w:val="000000" w:themeColor="text1"/>
                <w:u w:val="none"/>
                <w14:textFill>
                  <w14:solidFill>
                    <w14:schemeClr w14:val="tx1"/>
                  </w14:solidFill>
                </w14:textFill>
              </w:rPr>
              <w:t>处理，达到《城镇污水处理厂污染物排放标准》（GB 18918-2002）中一级 A 标准后排放。</w:t>
            </w:r>
          </w:p>
          <w:p>
            <w:pPr>
              <w:pStyle w:val="7"/>
              <w:ind w:firstLine="480"/>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临湘市</w:t>
            </w:r>
            <w:r>
              <w:rPr>
                <w:rFonts w:hint="eastAsia"/>
                <w:color w:val="000000" w:themeColor="text1"/>
                <w:u w:val="single"/>
                <w:lang w:val="en-US" w:eastAsia="zh-CN"/>
                <w14:textFill>
                  <w14:solidFill>
                    <w14:schemeClr w14:val="tx1"/>
                  </w14:solidFill>
                </w14:textFill>
              </w:rPr>
              <w:t>桃林镇</w:t>
            </w:r>
            <w:r>
              <w:rPr>
                <w:rFonts w:hint="eastAsia"/>
                <w:color w:val="000000" w:themeColor="text1"/>
                <w:u w:val="single"/>
                <w14:textFill>
                  <w14:solidFill>
                    <w14:schemeClr w14:val="tx1"/>
                  </w14:solidFill>
                </w14:textFill>
              </w:rPr>
              <w:t>污水</w:t>
            </w:r>
            <w:r>
              <w:rPr>
                <w:rFonts w:hint="eastAsia"/>
                <w:color w:val="000000" w:themeColor="text1"/>
                <w:u w:val="single"/>
                <w:lang w:val="en-US" w:eastAsia="zh-CN"/>
                <w14:textFill>
                  <w14:solidFill>
                    <w14:schemeClr w14:val="tx1"/>
                  </w14:solidFill>
                </w14:textFill>
              </w:rPr>
              <w:t>处理厂</w:t>
            </w:r>
            <w:r>
              <w:rPr>
                <w:rFonts w:hint="eastAsia"/>
                <w:color w:val="000000" w:themeColor="text1"/>
                <w:u w:val="single"/>
                <w14:textFill>
                  <w14:solidFill>
                    <w14:schemeClr w14:val="tx1"/>
                  </w14:solidFill>
                </w14:textFill>
              </w:rPr>
              <w:t>接纳标准如下表。</w:t>
            </w:r>
          </w:p>
          <w:p>
            <w:pPr>
              <w:pStyle w:val="8"/>
              <w:keepNext w:val="0"/>
              <w:keepLines w:val="0"/>
              <w:pageBreakBefore w:val="0"/>
              <w:widowControl w:val="0"/>
              <w:kinsoku/>
              <w:wordWrap/>
              <w:overflowPunct/>
              <w:topLinePunct w:val="0"/>
              <w:autoSpaceDE/>
              <w:autoSpaceDN/>
              <w:bidi w:val="0"/>
              <w:adjustRightInd/>
              <w:snapToGrid/>
              <w:ind w:left="0" w:leftChars="0" w:firstLine="0"/>
              <w:jc w:val="center"/>
              <w:textAlignment w:val="auto"/>
              <w:rPr>
                <w:rFonts w:hint="eastAsia" w:ascii="Times New Roman" w:hAnsi="Times New Roman" w:eastAsia="宋体" w:cs="Times New Roman"/>
                <w:b/>
                <w:color w:val="000000" w:themeColor="text1"/>
                <w:kern w:val="0"/>
                <w:sz w:val="21"/>
                <w:szCs w:val="21"/>
                <w:u w:val="single"/>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0"/>
                <w:sz w:val="21"/>
                <w:szCs w:val="21"/>
                <w:u w:val="single"/>
                <w:lang w:val="en-US" w:eastAsia="zh-CN" w:bidi="ar-SA"/>
                <w14:textFill>
                  <w14:solidFill>
                    <w14:schemeClr w14:val="tx1"/>
                  </w14:solidFill>
                </w14:textFill>
              </w:rPr>
              <w:t xml:space="preserve">表4.2-10 </w:t>
            </w:r>
            <w:r>
              <w:rPr>
                <w:rFonts w:hint="eastAsia" w:cs="Times New Roman"/>
                <w:b/>
                <w:color w:val="000000" w:themeColor="text1"/>
                <w:kern w:val="0"/>
                <w:sz w:val="21"/>
                <w:szCs w:val="21"/>
                <w:u w:val="single"/>
                <w:lang w:val="en-US" w:eastAsia="zh-CN" w:bidi="ar-SA"/>
                <w14:textFill>
                  <w14:solidFill>
                    <w14:schemeClr w14:val="tx1"/>
                  </w14:solidFill>
                </w14:textFill>
              </w:rPr>
              <w:t>桃林镇污水处理厂</w:t>
            </w:r>
            <w:r>
              <w:rPr>
                <w:rFonts w:hint="eastAsia" w:ascii="Times New Roman" w:hAnsi="Times New Roman" w:eastAsia="宋体" w:cs="Times New Roman"/>
                <w:b/>
                <w:color w:val="000000" w:themeColor="text1"/>
                <w:kern w:val="0"/>
                <w:sz w:val="21"/>
                <w:szCs w:val="21"/>
                <w:u w:val="single"/>
                <w:lang w:val="en-US" w:eastAsia="zh-CN" w:bidi="ar-SA"/>
                <w14:textFill>
                  <w14:solidFill>
                    <w14:schemeClr w14:val="tx1"/>
                  </w14:solidFill>
                </w14:textFill>
              </w:rPr>
              <w:t>污水接纳标准</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1132"/>
              <w:gridCol w:w="1132"/>
              <w:gridCol w:w="1131"/>
              <w:gridCol w:w="1131"/>
              <w:gridCol w:w="1131"/>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污染因子</w:t>
                  </w:r>
                </w:p>
              </w:tc>
              <w:tc>
                <w:tcPr>
                  <w:tcW w:w="1133" w:type="dxa"/>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COD</w:t>
                  </w:r>
                </w:p>
              </w:tc>
              <w:tc>
                <w:tcPr>
                  <w:tcW w:w="1133" w:type="dxa"/>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BOD</w:t>
                  </w:r>
                </w:p>
              </w:tc>
              <w:tc>
                <w:tcPr>
                  <w:tcW w:w="1133" w:type="dxa"/>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SS</w:t>
                  </w:r>
                </w:p>
              </w:tc>
              <w:tc>
                <w:tcPr>
                  <w:tcW w:w="1133" w:type="dxa"/>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TP</w:t>
                  </w:r>
                </w:p>
              </w:tc>
              <w:tc>
                <w:tcPr>
                  <w:tcW w:w="1133" w:type="dxa"/>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氨氮</w:t>
                  </w:r>
                </w:p>
              </w:tc>
              <w:tc>
                <w:tcPr>
                  <w:tcW w:w="1134" w:type="dxa"/>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粪大肠菌群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接纳浓度</w:t>
                  </w:r>
                </w:p>
              </w:tc>
              <w:tc>
                <w:tcPr>
                  <w:tcW w:w="1133" w:type="dxa"/>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350</w:t>
                  </w:r>
                </w:p>
              </w:tc>
              <w:tc>
                <w:tcPr>
                  <w:tcW w:w="1133" w:type="dxa"/>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160</w:t>
                  </w:r>
                </w:p>
              </w:tc>
              <w:tc>
                <w:tcPr>
                  <w:tcW w:w="1133" w:type="dxa"/>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150</w:t>
                  </w:r>
                </w:p>
              </w:tc>
              <w:tc>
                <w:tcPr>
                  <w:tcW w:w="1133" w:type="dxa"/>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3.5</w:t>
                  </w:r>
                </w:p>
              </w:tc>
              <w:tc>
                <w:tcPr>
                  <w:tcW w:w="1133" w:type="dxa"/>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40</w:t>
                  </w:r>
                </w:p>
              </w:tc>
              <w:tc>
                <w:tcPr>
                  <w:tcW w:w="1134" w:type="dxa"/>
                </w:tcPr>
                <w:p>
                  <w:pPr>
                    <w:pStyle w:val="48"/>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11000</w:t>
                  </w:r>
                </w:p>
              </w:tc>
            </w:tr>
          </w:tbl>
          <w:p>
            <w:pPr>
              <w:keepNext w:val="0"/>
              <w:keepLines w:val="0"/>
              <w:pageBreakBefore w:val="0"/>
              <w:widowControl/>
              <w:suppressLineNumbers w:val="0"/>
              <w:kinsoku/>
              <w:wordWrap/>
              <w:overflowPunct/>
              <w:topLinePunct w:val="0"/>
              <w:autoSpaceDE/>
              <w:autoSpaceDN/>
              <w:bidi w:val="0"/>
              <w:adjustRightInd/>
              <w:snapToGrid/>
              <w:spacing w:before="313" w:beforeLines="100"/>
              <w:ind w:firstLine="480" w:firstLineChars="200"/>
              <w:jc w:val="both"/>
              <w:textAlignment w:val="auto"/>
              <w:rPr>
                <w:rFonts w:hint="default" w:ascii="Times New Roman" w:hAnsi="Times New Roman" w:eastAsia="宋体" w:cs="Times New Roman"/>
                <w:color w:val="000000"/>
                <w:kern w:val="0"/>
                <w:sz w:val="24"/>
                <w:szCs w:val="24"/>
                <w:u w:val="single"/>
                <w:lang w:val="en-US" w:eastAsia="zh-CN" w:bidi="ar"/>
              </w:rPr>
            </w:pPr>
            <w:r>
              <w:rPr>
                <w:rFonts w:hint="default" w:ascii="Times New Roman" w:hAnsi="Times New Roman" w:cs="Times New Roman"/>
                <w:u w:val="single"/>
                <w:lang w:val="en-US" w:eastAsia="zh-CN"/>
              </w:rPr>
              <w:t>桃林镇污水处理厂位于临湘市桃林镇，总投资6000万元，占地面积4000m</w:t>
            </w:r>
            <w:r>
              <w:rPr>
                <w:rFonts w:hint="default" w:ascii="Times New Roman" w:hAnsi="Times New Roman" w:cs="Times New Roman"/>
                <w:u w:val="single"/>
                <w:vertAlign w:val="superscript"/>
                <w:lang w:val="en-US" w:eastAsia="zh-CN"/>
              </w:rPr>
              <w:t>2</w:t>
            </w:r>
            <w:r>
              <w:rPr>
                <w:rFonts w:hint="default" w:ascii="Times New Roman" w:hAnsi="Times New Roman" w:cs="Times New Roman"/>
                <w:u w:val="single"/>
                <w:vertAlign w:val="baseline"/>
                <w:lang w:val="en-US" w:eastAsia="zh-CN"/>
              </w:rPr>
              <w:t>，设计处理规模</w:t>
            </w:r>
            <w:r>
              <w:rPr>
                <w:rFonts w:hint="default" w:ascii="Times New Roman" w:hAnsi="Times New Roman" w:eastAsia="宋体" w:cs="Times New Roman"/>
                <w:color w:val="000000"/>
                <w:kern w:val="0"/>
                <w:sz w:val="24"/>
                <w:szCs w:val="24"/>
                <w:u w:val="single"/>
                <w:lang w:val="en-US" w:eastAsia="zh-CN" w:bidi="ar"/>
              </w:rPr>
              <w:t>5000m³/d，服务范围为桃林镇集镇区，总纳污面积为138.89ha，桃林镇污水处理厂污水处理工艺采用“粗格栅+集水池+提升泵+细格栅+沉砂池+调节池+A2O+二沉池+纤维转盘过滤器+次氯酸钠消毒”处理工艺，根据桃林镇污水处理厂在线监测数据显示：本项目工艺变更后出水水质可以达到《城镇污水处理厂污染物排放标准》（GB18918-2002）一级 A 标准的要求，然后通过专用管道排入桃林河（</w:t>
            </w:r>
            <w:r>
              <w:rPr>
                <w:rFonts w:hint="eastAsia" w:cs="Times New Roman"/>
                <w:color w:val="000000"/>
                <w:kern w:val="0"/>
                <w:sz w:val="24"/>
                <w:szCs w:val="24"/>
                <w:u w:val="single"/>
                <w:lang w:val="en-US" w:eastAsia="zh-CN" w:bidi="ar"/>
              </w:rPr>
              <w:t>游</w:t>
            </w:r>
            <w:r>
              <w:rPr>
                <w:rFonts w:hint="default" w:ascii="Times New Roman" w:hAnsi="Times New Roman" w:eastAsia="宋体" w:cs="Times New Roman"/>
                <w:color w:val="000000"/>
                <w:kern w:val="0"/>
                <w:sz w:val="24"/>
                <w:szCs w:val="24"/>
                <w:u w:val="single"/>
                <w:lang w:val="en-US" w:eastAsia="zh-CN" w:bidi="ar"/>
              </w:rPr>
              <w:t>港河）。</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u w:val="single"/>
                <w:lang w:val="en-US" w:eastAsia="zh-CN"/>
              </w:rPr>
            </w:pPr>
            <w:r>
              <w:rPr>
                <w:rFonts w:hint="eastAsia"/>
                <w:u w:val="single"/>
                <w:lang w:val="en-US" w:eastAsia="zh-CN"/>
              </w:rPr>
              <w:t>本项目位于桃林镇污水处理站纳管范围内，且项目周边市政管网完善，已接至本项目。同时本项目综合废水经自建污水处理站处理后能够满足桃林镇污水处理站接管标准，废水中污染物均为常见因子，最后项目废水量仅占桃林镇污水处理站处</w:t>
            </w:r>
            <w:r>
              <w:rPr>
                <w:rFonts w:hint="eastAsia"/>
                <w:color w:val="auto"/>
                <w:u w:val="single"/>
                <w:lang w:val="en-US" w:eastAsia="zh-CN"/>
              </w:rPr>
              <w:t>理规模的0.0011</w:t>
            </w:r>
            <w:r>
              <w:rPr>
                <w:rFonts w:hint="default"/>
                <w:color w:val="auto"/>
                <w:u w:val="single"/>
                <w:lang w:val="en-US" w:eastAsia="zh-CN"/>
              </w:rPr>
              <w:t>%</w:t>
            </w:r>
            <w:r>
              <w:rPr>
                <w:rFonts w:hint="eastAsia"/>
                <w:color w:val="auto"/>
                <w:u w:val="single"/>
                <w:lang w:val="en-US" w:eastAsia="zh-CN"/>
              </w:rPr>
              <w:t>，不会对桃林镇污水处理站处理工艺及处理规模造成冲击，对照医疗机构排污单位污水治理可行技术参照表，本项目采用</w:t>
            </w:r>
            <w:r>
              <w:rPr>
                <w:rFonts w:hint="eastAsia"/>
                <w:color w:val="auto"/>
                <w:u w:val="none"/>
              </w:rPr>
              <w:t>“化粪池+格栅</w:t>
            </w:r>
            <w:r>
              <w:rPr>
                <w:rFonts w:hint="eastAsia"/>
                <w:color w:val="000000" w:themeColor="text1"/>
                <w:u w:val="none"/>
                <w14:textFill>
                  <w14:solidFill>
                    <w14:schemeClr w14:val="tx1"/>
                  </w14:solidFill>
                </w14:textFill>
              </w:rPr>
              <w:t>井+调节池+AO工艺+沉淀池+消毒”</w:t>
            </w:r>
            <w:r>
              <w:rPr>
                <w:color w:val="000000" w:themeColor="text1"/>
                <w:u w:val="none"/>
                <w14:textFill>
                  <w14:solidFill>
                    <w14:schemeClr w14:val="tx1"/>
                  </w14:solidFill>
                </w14:textFill>
              </w:rPr>
              <w:t>工艺进行处理，</w:t>
            </w:r>
            <w:r>
              <w:rPr>
                <w:rFonts w:hint="eastAsia"/>
                <w:u w:val="single"/>
                <w:lang w:val="en-US" w:eastAsia="zh-CN"/>
              </w:rPr>
              <w:t>因此，废水通过桃林镇污水处理站处理是可行的。</w:t>
            </w:r>
          </w:p>
          <w:p>
            <w:pPr>
              <w:pStyle w:val="7"/>
              <w:ind w:firstLine="480"/>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4</w:t>
            </w:r>
            <w:r>
              <w:rPr>
                <w:rFonts w:hint="eastAsia" w:cs="Times New Roman"/>
                <w:b/>
                <w:bCs/>
                <w:color w:val="000000"/>
                <w:kern w:val="0"/>
                <w:sz w:val="24"/>
                <w:szCs w:val="24"/>
                <w:lang w:val="en-US" w:eastAsia="zh-CN" w:bidi="ar"/>
              </w:rPr>
              <w:t>、</w:t>
            </w:r>
            <w:r>
              <w:rPr>
                <w:rFonts w:hint="eastAsia" w:ascii="Times New Roman" w:hAnsi="Times New Roman" w:eastAsia="宋体" w:cs="Times New Roman"/>
                <w:b/>
                <w:bCs/>
                <w:color w:val="000000"/>
                <w:kern w:val="0"/>
                <w:sz w:val="24"/>
                <w:szCs w:val="24"/>
                <w:lang w:val="en-US" w:eastAsia="zh-CN" w:bidi="ar"/>
              </w:rPr>
              <w:t>营运期废水污染源监测计划</w:t>
            </w:r>
          </w:p>
          <w:p>
            <w:pPr>
              <w:pStyle w:val="7"/>
              <w:ind w:firstLine="480"/>
              <w:rPr>
                <w:b/>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根据《固定污染源排污许可分类管理名录（2019年版）》本项目属于登记管理，依《排污许可证申请与核发技术规范 医疗机构》（HJ1105—2020）</w:t>
            </w:r>
            <w:r>
              <w:rPr>
                <w:rFonts w:hint="eastAsia"/>
                <w:color w:val="000000" w:themeColor="text1"/>
                <w14:textFill>
                  <w14:solidFill>
                    <w14:schemeClr w14:val="tx1"/>
                  </w14:solidFill>
                </w14:textFill>
              </w:rPr>
              <w:t>，本项目废水污染物自行监测计划如下表。</w:t>
            </w:r>
          </w:p>
          <w:p>
            <w:pPr>
              <w:pStyle w:val="49"/>
              <w:rPr>
                <w:color w:val="000000" w:themeColor="text1"/>
                <w:u w:val="single"/>
                <w14:textFill>
                  <w14:solidFill>
                    <w14:schemeClr w14:val="tx1"/>
                  </w14:solidFill>
                </w14:textFill>
              </w:rPr>
            </w:pPr>
            <w:r>
              <w:rPr>
                <w:color w:val="000000" w:themeColor="text1"/>
                <w:u w:val="single"/>
                <w14:textFill>
                  <w14:solidFill>
                    <w14:schemeClr w14:val="tx1"/>
                  </w14:solidFill>
                </w14:textFill>
              </w:rPr>
              <w:t>表</w:t>
            </w:r>
            <w:r>
              <w:rPr>
                <w:rFonts w:hint="eastAsia"/>
                <w:color w:val="000000" w:themeColor="text1"/>
                <w:u w:val="single"/>
                <w14:textFill>
                  <w14:solidFill>
                    <w14:schemeClr w14:val="tx1"/>
                  </w14:solidFill>
                </w14:textFill>
              </w:rPr>
              <w:t>4.2-13</w:t>
            </w:r>
            <w:r>
              <w:rPr>
                <w:color w:val="000000" w:themeColor="text1"/>
                <w:u w:val="single"/>
                <w14:textFill>
                  <w14:solidFill>
                    <w14:schemeClr w14:val="tx1"/>
                  </w14:solidFill>
                </w14:textFill>
              </w:rPr>
              <w:t>项目废水监测计划及记录信息表</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22"/>
              <w:gridCol w:w="881"/>
              <w:gridCol w:w="578"/>
              <w:gridCol w:w="2044"/>
              <w:gridCol w:w="1286"/>
              <w:gridCol w:w="1441"/>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项目</w:t>
                  </w:r>
                </w:p>
              </w:tc>
              <w:tc>
                <w:tcPr>
                  <w:tcW w:w="437"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监测项目</w:t>
                  </w:r>
                </w:p>
              </w:tc>
              <w:tc>
                <w:tcPr>
                  <w:tcW w:w="426"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监测布点</w:t>
                  </w:r>
                </w:p>
              </w:tc>
              <w:tc>
                <w:tcPr>
                  <w:tcW w:w="409"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排放方式</w:t>
                  </w:r>
                </w:p>
              </w:tc>
              <w:tc>
                <w:tcPr>
                  <w:tcW w:w="1335"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监测因子</w:t>
                  </w:r>
                </w:p>
              </w:tc>
              <w:tc>
                <w:tcPr>
                  <w:tcW w:w="856"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监测频次</w:t>
                  </w:r>
                </w:p>
              </w:tc>
              <w:tc>
                <w:tcPr>
                  <w:tcW w:w="940"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标准限值</w:t>
                  </w:r>
                </w:p>
              </w:tc>
              <w:tc>
                <w:tcPr>
                  <w:tcW w:w="356"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38" w:type="pct"/>
                  <w:vMerge w:val="restar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1</w:t>
                  </w:r>
                </w:p>
              </w:tc>
              <w:tc>
                <w:tcPr>
                  <w:tcW w:w="437" w:type="pct"/>
                  <w:vMerge w:val="restar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医疗废水</w:t>
                  </w:r>
                </w:p>
              </w:tc>
              <w:tc>
                <w:tcPr>
                  <w:tcW w:w="426" w:type="pct"/>
                  <w:vMerge w:val="restar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S1废</w:t>
                  </w:r>
                  <w:r>
                    <w:rPr>
                      <w:color w:val="000000" w:themeColor="text1"/>
                      <w:u w:val="none"/>
                      <w14:textFill>
                        <w14:solidFill>
                          <w14:schemeClr w14:val="tx1"/>
                        </w14:solidFill>
                      </w14:textFill>
                    </w:rPr>
                    <w:t>水</w:t>
                  </w:r>
                  <w:r>
                    <w:rPr>
                      <w:rFonts w:hint="eastAsia"/>
                      <w:color w:val="000000" w:themeColor="text1"/>
                      <w:u w:val="none"/>
                      <w14:textFill>
                        <w14:solidFill>
                          <w14:schemeClr w14:val="tx1"/>
                        </w14:solidFill>
                      </w14:textFill>
                    </w:rPr>
                    <w:t>总</w:t>
                  </w:r>
                  <w:r>
                    <w:rPr>
                      <w:color w:val="000000" w:themeColor="text1"/>
                      <w:u w:val="none"/>
                      <w14:textFill>
                        <w14:solidFill>
                          <w14:schemeClr w14:val="tx1"/>
                        </w14:solidFill>
                      </w14:textFill>
                    </w:rPr>
                    <w:t>排口D</w:t>
                  </w:r>
                  <w:r>
                    <w:rPr>
                      <w:rFonts w:hint="eastAsia"/>
                      <w:color w:val="000000" w:themeColor="text1"/>
                      <w:u w:val="none"/>
                      <w14:textFill>
                        <w14:solidFill>
                          <w14:schemeClr w14:val="tx1"/>
                        </w14:solidFill>
                      </w14:textFill>
                    </w:rPr>
                    <w:t>W</w:t>
                  </w:r>
                  <w:r>
                    <w:rPr>
                      <w:color w:val="000000" w:themeColor="text1"/>
                      <w:u w:val="none"/>
                      <w14:textFill>
                        <w14:solidFill>
                          <w14:schemeClr w14:val="tx1"/>
                        </w14:solidFill>
                      </w14:textFill>
                    </w:rPr>
                    <w:t>001</w:t>
                  </w:r>
                </w:p>
              </w:tc>
              <w:tc>
                <w:tcPr>
                  <w:tcW w:w="409" w:type="pct"/>
                  <w:vMerge w:val="restar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间接排放</w:t>
                  </w:r>
                </w:p>
              </w:tc>
              <w:tc>
                <w:tcPr>
                  <w:tcW w:w="1335"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流量</w:t>
                  </w:r>
                </w:p>
              </w:tc>
              <w:tc>
                <w:tcPr>
                  <w:tcW w:w="856"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自动监测</w:t>
                  </w:r>
                </w:p>
              </w:tc>
              <w:tc>
                <w:tcPr>
                  <w:tcW w:w="940" w:type="pct"/>
                  <w:vMerge w:val="restar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执行</w:t>
                  </w:r>
                  <w:r>
                    <w:rPr>
                      <w:color w:val="000000" w:themeColor="text1"/>
                      <w:u w:val="none"/>
                      <w14:textFill>
                        <w14:solidFill>
                          <w14:schemeClr w14:val="tx1"/>
                        </w14:solidFill>
                      </w14:textFill>
                    </w:rPr>
                    <w:t>《医疗机构水污染物排放标准》</w:t>
                  </w:r>
                </w:p>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（GB 18466-2005）表2中预处理标准</w:t>
                  </w:r>
                </w:p>
              </w:tc>
              <w:tc>
                <w:tcPr>
                  <w:tcW w:w="356" w:type="pct"/>
                  <w:vMerge w:val="restar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记录水温、流量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38" w:type="pct"/>
                  <w:vMerge w:val="continue"/>
                  <w:vAlign w:val="center"/>
                </w:tcPr>
                <w:p>
                  <w:pPr>
                    <w:pStyle w:val="48"/>
                    <w:rPr>
                      <w:color w:val="000000" w:themeColor="text1"/>
                      <w:u w:val="none"/>
                      <w14:textFill>
                        <w14:solidFill>
                          <w14:schemeClr w14:val="tx1"/>
                        </w14:solidFill>
                      </w14:textFill>
                    </w:rPr>
                  </w:pPr>
                </w:p>
              </w:tc>
              <w:tc>
                <w:tcPr>
                  <w:tcW w:w="437" w:type="pct"/>
                  <w:vMerge w:val="continue"/>
                  <w:vAlign w:val="center"/>
                </w:tcPr>
                <w:p>
                  <w:pPr>
                    <w:pStyle w:val="48"/>
                    <w:rPr>
                      <w:color w:val="000000" w:themeColor="text1"/>
                      <w:u w:val="none"/>
                      <w14:textFill>
                        <w14:solidFill>
                          <w14:schemeClr w14:val="tx1"/>
                        </w14:solidFill>
                      </w14:textFill>
                    </w:rPr>
                  </w:pPr>
                </w:p>
              </w:tc>
              <w:tc>
                <w:tcPr>
                  <w:tcW w:w="426" w:type="pct"/>
                  <w:vMerge w:val="continue"/>
                  <w:vAlign w:val="center"/>
                </w:tcPr>
                <w:p>
                  <w:pPr>
                    <w:pStyle w:val="48"/>
                    <w:rPr>
                      <w:color w:val="000000" w:themeColor="text1"/>
                      <w:u w:val="none"/>
                      <w14:textFill>
                        <w14:solidFill>
                          <w14:schemeClr w14:val="tx1"/>
                        </w14:solidFill>
                      </w14:textFill>
                    </w:rPr>
                  </w:pPr>
                </w:p>
              </w:tc>
              <w:tc>
                <w:tcPr>
                  <w:tcW w:w="409" w:type="pct"/>
                  <w:vMerge w:val="continue"/>
                  <w:vAlign w:val="center"/>
                </w:tcPr>
                <w:p>
                  <w:pPr>
                    <w:pStyle w:val="48"/>
                    <w:rPr>
                      <w:color w:val="000000" w:themeColor="text1"/>
                      <w:u w:val="none"/>
                      <w14:textFill>
                        <w14:solidFill>
                          <w14:schemeClr w14:val="tx1"/>
                        </w14:solidFill>
                      </w14:textFill>
                    </w:rPr>
                  </w:pPr>
                </w:p>
              </w:tc>
              <w:tc>
                <w:tcPr>
                  <w:tcW w:w="1335" w:type="pct"/>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pH</w:t>
                  </w:r>
                </w:p>
              </w:tc>
              <w:tc>
                <w:tcPr>
                  <w:tcW w:w="856"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12小时</w:t>
                  </w:r>
                </w:p>
              </w:tc>
              <w:tc>
                <w:tcPr>
                  <w:tcW w:w="940" w:type="pct"/>
                  <w:vMerge w:val="continue"/>
                  <w:vAlign w:val="center"/>
                </w:tcPr>
                <w:p>
                  <w:pPr>
                    <w:pStyle w:val="48"/>
                    <w:rPr>
                      <w:color w:val="000000" w:themeColor="text1"/>
                      <w:u w:val="none"/>
                      <w14:textFill>
                        <w14:solidFill>
                          <w14:schemeClr w14:val="tx1"/>
                        </w14:solidFill>
                      </w14:textFill>
                    </w:rPr>
                  </w:pPr>
                </w:p>
              </w:tc>
              <w:tc>
                <w:tcPr>
                  <w:tcW w:w="356" w:type="pct"/>
                  <w:vMerge w:val="continue"/>
                  <w:vAlign w:val="center"/>
                </w:tcPr>
                <w:p>
                  <w:pPr>
                    <w:pStyle w:val="48"/>
                    <w:rPr>
                      <w:color w:val="000000" w:themeColor="text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38" w:type="pct"/>
                  <w:vMerge w:val="continue"/>
                  <w:vAlign w:val="center"/>
                </w:tcPr>
                <w:p>
                  <w:pPr>
                    <w:pStyle w:val="48"/>
                    <w:rPr>
                      <w:color w:val="000000" w:themeColor="text1"/>
                      <w:u w:val="none"/>
                      <w14:textFill>
                        <w14:solidFill>
                          <w14:schemeClr w14:val="tx1"/>
                        </w14:solidFill>
                      </w14:textFill>
                    </w:rPr>
                  </w:pPr>
                </w:p>
              </w:tc>
              <w:tc>
                <w:tcPr>
                  <w:tcW w:w="437" w:type="pct"/>
                  <w:vMerge w:val="continue"/>
                  <w:vAlign w:val="center"/>
                </w:tcPr>
                <w:p>
                  <w:pPr>
                    <w:pStyle w:val="48"/>
                    <w:rPr>
                      <w:color w:val="000000" w:themeColor="text1"/>
                      <w:u w:val="none"/>
                      <w14:textFill>
                        <w14:solidFill>
                          <w14:schemeClr w14:val="tx1"/>
                        </w14:solidFill>
                      </w14:textFill>
                    </w:rPr>
                  </w:pPr>
                </w:p>
              </w:tc>
              <w:tc>
                <w:tcPr>
                  <w:tcW w:w="426" w:type="pct"/>
                  <w:vMerge w:val="continue"/>
                  <w:vAlign w:val="center"/>
                </w:tcPr>
                <w:p>
                  <w:pPr>
                    <w:pStyle w:val="48"/>
                    <w:rPr>
                      <w:color w:val="000000" w:themeColor="text1"/>
                      <w:u w:val="none"/>
                      <w14:textFill>
                        <w14:solidFill>
                          <w14:schemeClr w14:val="tx1"/>
                        </w14:solidFill>
                      </w14:textFill>
                    </w:rPr>
                  </w:pPr>
                </w:p>
              </w:tc>
              <w:tc>
                <w:tcPr>
                  <w:tcW w:w="409" w:type="pct"/>
                  <w:vMerge w:val="continue"/>
                  <w:vAlign w:val="center"/>
                </w:tcPr>
                <w:p>
                  <w:pPr>
                    <w:pStyle w:val="48"/>
                    <w:rPr>
                      <w:color w:val="000000" w:themeColor="text1"/>
                      <w:u w:val="none"/>
                      <w14:textFill>
                        <w14:solidFill>
                          <w14:schemeClr w14:val="tx1"/>
                        </w14:solidFill>
                      </w14:textFill>
                    </w:rPr>
                  </w:pPr>
                </w:p>
              </w:tc>
              <w:tc>
                <w:tcPr>
                  <w:tcW w:w="1335" w:type="pct"/>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悬浮物、COD</w:t>
                  </w:r>
                  <w:r>
                    <w:rPr>
                      <w:rFonts w:hint="eastAsia" w:ascii="宋体" w:hAnsi="宋体" w:cs="宋体"/>
                      <w:color w:val="000000" w:themeColor="text1"/>
                      <w:u w:val="none"/>
                      <w14:textFill>
                        <w14:solidFill>
                          <w14:schemeClr w14:val="tx1"/>
                        </w14:solidFill>
                      </w14:textFill>
                    </w:rPr>
                    <w:t>cr</w:t>
                  </w:r>
                </w:p>
              </w:tc>
              <w:tc>
                <w:tcPr>
                  <w:tcW w:w="856"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周</w:t>
                  </w:r>
                </w:p>
              </w:tc>
              <w:tc>
                <w:tcPr>
                  <w:tcW w:w="940" w:type="pct"/>
                  <w:vMerge w:val="continue"/>
                  <w:vAlign w:val="center"/>
                </w:tcPr>
                <w:p>
                  <w:pPr>
                    <w:pStyle w:val="48"/>
                    <w:rPr>
                      <w:color w:val="000000" w:themeColor="text1"/>
                      <w:u w:val="none"/>
                      <w14:textFill>
                        <w14:solidFill>
                          <w14:schemeClr w14:val="tx1"/>
                        </w14:solidFill>
                      </w14:textFill>
                    </w:rPr>
                  </w:pPr>
                </w:p>
              </w:tc>
              <w:tc>
                <w:tcPr>
                  <w:tcW w:w="356" w:type="pct"/>
                  <w:vMerge w:val="continue"/>
                  <w:vAlign w:val="center"/>
                </w:tcPr>
                <w:p>
                  <w:pPr>
                    <w:pStyle w:val="48"/>
                    <w:rPr>
                      <w:color w:val="000000" w:themeColor="text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38" w:type="pct"/>
                  <w:vMerge w:val="continue"/>
                  <w:vAlign w:val="center"/>
                </w:tcPr>
                <w:p>
                  <w:pPr>
                    <w:pStyle w:val="48"/>
                    <w:rPr>
                      <w:color w:val="000000" w:themeColor="text1"/>
                      <w:u w:val="none"/>
                      <w14:textFill>
                        <w14:solidFill>
                          <w14:schemeClr w14:val="tx1"/>
                        </w14:solidFill>
                      </w14:textFill>
                    </w:rPr>
                  </w:pPr>
                </w:p>
              </w:tc>
              <w:tc>
                <w:tcPr>
                  <w:tcW w:w="437" w:type="pct"/>
                  <w:vMerge w:val="continue"/>
                  <w:vAlign w:val="center"/>
                </w:tcPr>
                <w:p>
                  <w:pPr>
                    <w:pStyle w:val="48"/>
                    <w:rPr>
                      <w:color w:val="000000" w:themeColor="text1"/>
                      <w:u w:val="none"/>
                      <w14:textFill>
                        <w14:solidFill>
                          <w14:schemeClr w14:val="tx1"/>
                        </w14:solidFill>
                      </w14:textFill>
                    </w:rPr>
                  </w:pPr>
                </w:p>
              </w:tc>
              <w:tc>
                <w:tcPr>
                  <w:tcW w:w="426" w:type="pct"/>
                  <w:vMerge w:val="continue"/>
                  <w:vAlign w:val="center"/>
                </w:tcPr>
                <w:p>
                  <w:pPr>
                    <w:pStyle w:val="48"/>
                    <w:rPr>
                      <w:color w:val="000000" w:themeColor="text1"/>
                      <w:u w:val="none"/>
                      <w14:textFill>
                        <w14:solidFill>
                          <w14:schemeClr w14:val="tx1"/>
                        </w14:solidFill>
                      </w14:textFill>
                    </w:rPr>
                  </w:pPr>
                </w:p>
              </w:tc>
              <w:tc>
                <w:tcPr>
                  <w:tcW w:w="409" w:type="pct"/>
                  <w:vMerge w:val="continue"/>
                  <w:vAlign w:val="center"/>
                </w:tcPr>
                <w:p>
                  <w:pPr>
                    <w:pStyle w:val="48"/>
                    <w:rPr>
                      <w:color w:val="000000" w:themeColor="text1"/>
                      <w:u w:val="none"/>
                      <w14:textFill>
                        <w14:solidFill>
                          <w14:schemeClr w14:val="tx1"/>
                        </w14:solidFill>
                      </w14:textFill>
                    </w:rPr>
                  </w:pPr>
                </w:p>
              </w:tc>
              <w:tc>
                <w:tcPr>
                  <w:tcW w:w="1335" w:type="pct"/>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粪大肠菌群数</w:t>
                  </w:r>
                </w:p>
              </w:tc>
              <w:tc>
                <w:tcPr>
                  <w:tcW w:w="856"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月</w:t>
                  </w:r>
                </w:p>
              </w:tc>
              <w:tc>
                <w:tcPr>
                  <w:tcW w:w="940" w:type="pct"/>
                  <w:vMerge w:val="continue"/>
                  <w:vAlign w:val="center"/>
                </w:tcPr>
                <w:p>
                  <w:pPr>
                    <w:pStyle w:val="48"/>
                    <w:rPr>
                      <w:color w:val="000000" w:themeColor="text1"/>
                      <w:u w:val="none"/>
                      <w14:textFill>
                        <w14:solidFill>
                          <w14:schemeClr w14:val="tx1"/>
                        </w14:solidFill>
                      </w14:textFill>
                    </w:rPr>
                  </w:pPr>
                </w:p>
              </w:tc>
              <w:tc>
                <w:tcPr>
                  <w:tcW w:w="356" w:type="pct"/>
                  <w:vMerge w:val="continue"/>
                  <w:vAlign w:val="center"/>
                </w:tcPr>
                <w:p>
                  <w:pPr>
                    <w:pStyle w:val="48"/>
                    <w:rPr>
                      <w:color w:val="000000" w:themeColor="text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38" w:type="pct"/>
                  <w:vMerge w:val="continue"/>
                  <w:vAlign w:val="center"/>
                </w:tcPr>
                <w:p>
                  <w:pPr>
                    <w:pStyle w:val="48"/>
                    <w:rPr>
                      <w:color w:val="000000" w:themeColor="text1"/>
                      <w:u w:val="none"/>
                      <w14:textFill>
                        <w14:solidFill>
                          <w14:schemeClr w14:val="tx1"/>
                        </w14:solidFill>
                      </w14:textFill>
                    </w:rPr>
                  </w:pPr>
                </w:p>
              </w:tc>
              <w:tc>
                <w:tcPr>
                  <w:tcW w:w="437" w:type="pct"/>
                  <w:vMerge w:val="continue"/>
                  <w:vAlign w:val="center"/>
                </w:tcPr>
                <w:p>
                  <w:pPr>
                    <w:pStyle w:val="48"/>
                    <w:rPr>
                      <w:color w:val="000000" w:themeColor="text1"/>
                      <w:u w:val="none"/>
                      <w14:textFill>
                        <w14:solidFill>
                          <w14:schemeClr w14:val="tx1"/>
                        </w14:solidFill>
                      </w14:textFill>
                    </w:rPr>
                  </w:pPr>
                </w:p>
              </w:tc>
              <w:tc>
                <w:tcPr>
                  <w:tcW w:w="426" w:type="pct"/>
                  <w:vMerge w:val="continue"/>
                  <w:vAlign w:val="center"/>
                </w:tcPr>
                <w:p>
                  <w:pPr>
                    <w:pStyle w:val="48"/>
                    <w:rPr>
                      <w:color w:val="000000" w:themeColor="text1"/>
                      <w:u w:val="none"/>
                      <w14:textFill>
                        <w14:solidFill>
                          <w14:schemeClr w14:val="tx1"/>
                        </w14:solidFill>
                      </w14:textFill>
                    </w:rPr>
                  </w:pPr>
                </w:p>
              </w:tc>
              <w:tc>
                <w:tcPr>
                  <w:tcW w:w="409" w:type="pct"/>
                  <w:vMerge w:val="continue"/>
                  <w:vAlign w:val="center"/>
                </w:tcPr>
                <w:p>
                  <w:pPr>
                    <w:pStyle w:val="48"/>
                    <w:rPr>
                      <w:color w:val="000000" w:themeColor="text1"/>
                      <w:u w:val="none"/>
                      <w14:textFill>
                        <w14:solidFill>
                          <w14:schemeClr w14:val="tx1"/>
                        </w14:solidFill>
                      </w14:textFill>
                    </w:rPr>
                  </w:pPr>
                </w:p>
              </w:tc>
              <w:tc>
                <w:tcPr>
                  <w:tcW w:w="1335" w:type="pct"/>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BOD</w:t>
                  </w:r>
                  <w:r>
                    <w:rPr>
                      <w:color w:val="000000" w:themeColor="text1"/>
                      <w:u w:val="none"/>
                      <w:vertAlign w:val="subscript"/>
                      <w14:textFill>
                        <w14:solidFill>
                          <w14:schemeClr w14:val="tx1"/>
                        </w14:solidFill>
                      </w14:textFill>
                    </w:rPr>
                    <w:t>5</w:t>
                  </w:r>
                  <w:r>
                    <w:rPr>
                      <w:color w:val="000000" w:themeColor="text1"/>
                      <w:u w:val="none"/>
                      <w14:textFill>
                        <w14:solidFill>
                          <w14:schemeClr w14:val="tx1"/>
                        </w14:solidFill>
                      </w14:textFill>
                    </w:rPr>
                    <w:t>、</w:t>
                  </w:r>
                  <w:r>
                    <w:rPr>
                      <w:rFonts w:hint="eastAsia"/>
                      <w:color w:val="000000" w:themeColor="text1"/>
                      <w:u w:val="none"/>
                      <w14:textFill>
                        <w14:solidFill>
                          <w14:schemeClr w14:val="tx1"/>
                        </w14:solidFill>
                      </w14:textFill>
                    </w:rPr>
                    <w:t>石油类、挥发酚、动植物油、</w:t>
                  </w:r>
                  <w:r>
                    <w:rPr>
                      <w:color w:val="000000" w:themeColor="text1"/>
                      <w:u w:val="none"/>
                      <w14:textFill>
                        <w14:solidFill>
                          <w14:schemeClr w14:val="tx1"/>
                        </w14:solidFill>
                      </w14:textFill>
                    </w:rPr>
                    <w:t>阴离子表面活性剂、</w:t>
                  </w:r>
                  <w:r>
                    <w:rPr>
                      <w:rFonts w:hint="eastAsia"/>
                      <w:color w:val="000000" w:themeColor="text1"/>
                      <w:u w:val="none"/>
                      <w14:textFill>
                        <w14:solidFill>
                          <w14:schemeClr w14:val="tx1"/>
                        </w14:solidFill>
                      </w14:textFill>
                    </w:rPr>
                    <w:t>总氰化物</w:t>
                  </w:r>
                </w:p>
              </w:tc>
              <w:tc>
                <w:tcPr>
                  <w:tcW w:w="856"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季度</w:t>
                  </w:r>
                </w:p>
              </w:tc>
              <w:tc>
                <w:tcPr>
                  <w:tcW w:w="940" w:type="pct"/>
                  <w:vMerge w:val="continue"/>
                  <w:vAlign w:val="center"/>
                </w:tcPr>
                <w:p>
                  <w:pPr>
                    <w:pStyle w:val="48"/>
                    <w:rPr>
                      <w:color w:val="000000" w:themeColor="text1"/>
                      <w:u w:val="none"/>
                      <w14:textFill>
                        <w14:solidFill>
                          <w14:schemeClr w14:val="tx1"/>
                        </w14:solidFill>
                      </w14:textFill>
                    </w:rPr>
                  </w:pPr>
                </w:p>
              </w:tc>
              <w:tc>
                <w:tcPr>
                  <w:tcW w:w="356" w:type="pct"/>
                  <w:vMerge w:val="continue"/>
                  <w:vAlign w:val="center"/>
                </w:tcPr>
                <w:p>
                  <w:pPr>
                    <w:pStyle w:val="48"/>
                    <w:rPr>
                      <w:color w:val="000000" w:themeColor="text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38" w:type="pct"/>
                  <w:vMerge w:val="continue"/>
                  <w:vAlign w:val="center"/>
                </w:tcPr>
                <w:p>
                  <w:pPr>
                    <w:pStyle w:val="48"/>
                    <w:rPr>
                      <w:color w:val="000000" w:themeColor="text1"/>
                      <w:u w:val="none"/>
                      <w14:textFill>
                        <w14:solidFill>
                          <w14:schemeClr w14:val="tx1"/>
                        </w14:solidFill>
                      </w14:textFill>
                    </w:rPr>
                  </w:pPr>
                </w:p>
              </w:tc>
              <w:tc>
                <w:tcPr>
                  <w:tcW w:w="437" w:type="pct"/>
                  <w:vMerge w:val="continue"/>
                  <w:vAlign w:val="center"/>
                </w:tcPr>
                <w:p>
                  <w:pPr>
                    <w:pStyle w:val="48"/>
                    <w:rPr>
                      <w:color w:val="000000" w:themeColor="text1"/>
                      <w:u w:val="none"/>
                      <w14:textFill>
                        <w14:solidFill>
                          <w14:schemeClr w14:val="tx1"/>
                        </w14:solidFill>
                      </w14:textFill>
                    </w:rPr>
                  </w:pPr>
                </w:p>
              </w:tc>
              <w:tc>
                <w:tcPr>
                  <w:tcW w:w="426" w:type="pct"/>
                  <w:vMerge w:val="continue"/>
                  <w:vAlign w:val="center"/>
                </w:tcPr>
                <w:p>
                  <w:pPr>
                    <w:pStyle w:val="48"/>
                    <w:rPr>
                      <w:color w:val="000000" w:themeColor="text1"/>
                      <w:u w:val="none"/>
                      <w14:textFill>
                        <w14:solidFill>
                          <w14:schemeClr w14:val="tx1"/>
                        </w14:solidFill>
                      </w14:textFill>
                    </w:rPr>
                  </w:pPr>
                </w:p>
              </w:tc>
              <w:tc>
                <w:tcPr>
                  <w:tcW w:w="409" w:type="pct"/>
                  <w:vMerge w:val="continue"/>
                  <w:vAlign w:val="center"/>
                </w:tcPr>
                <w:p>
                  <w:pPr>
                    <w:pStyle w:val="48"/>
                    <w:rPr>
                      <w:color w:val="000000" w:themeColor="text1"/>
                      <w:u w:val="none"/>
                      <w14:textFill>
                        <w14:solidFill>
                          <w14:schemeClr w14:val="tx1"/>
                        </w14:solidFill>
                      </w14:textFill>
                    </w:rPr>
                  </w:pPr>
                </w:p>
              </w:tc>
              <w:tc>
                <w:tcPr>
                  <w:tcW w:w="1335"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沙门氏菌、色度、氨氮、总余氯</w:t>
                  </w:r>
                </w:p>
              </w:tc>
              <w:tc>
                <w:tcPr>
                  <w:tcW w:w="856" w:type="pct"/>
                  <w:vAlign w:val="center"/>
                </w:tcPr>
                <w:p>
                  <w:pPr>
                    <w:pStyle w:val="48"/>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季度</w:t>
                  </w:r>
                </w:p>
              </w:tc>
              <w:tc>
                <w:tcPr>
                  <w:tcW w:w="940" w:type="pct"/>
                  <w:vMerge w:val="continue"/>
                  <w:vAlign w:val="center"/>
                </w:tcPr>
                <w:p>
                  <w:pPr>
                    <w:pStyle w:val="48"/>
                    <w:rPr>
                      <w:color w:val="000000" w:themeColor="text1"/>
                      <w:u w:val="none"/>
                      <w14:textFill>
                        <w14:solidFill>
                          <w14:schemeClr w14:val="tx1"/>
                        </w14:solidFill>
                      </w14:textFill>
                    </w:rPr>
                  </w:pPr>
                </w:p>
              </w:tc>
              <w:tc>
                <w:tcPr>
                  <w:tcW w:w="356" w:type="pct"/>
                  <w:vMerge w:val="continue"/>
                  <w:vAlign w:val="center"/>
                </w:tcPr>
                <w:p>
                  <w:pPr>
                    <w:pStyle w:val="48"/>
                    <w:rPr>
                      <w:color w:val="000000" w:themeColor="text1"/>
                      <w:u w:val="none"/>
                      <w14:textFill>
                        <w14:solidFill>
                          <w14:schemeClr w14:val="tx1"/>
                        </w14:solidFill>
                      </w14:textFill>
                    </w:rPr>
                  </w:pPr>
                </w:p>
              </w:tc>
            </w:tr>
          </w:tbl>
          <w:p>
            <w:pPr>
              <w:keepNext w:val="0"/>
              <w:keepLines w:val="0"/>
              <w:widowControl/>
              <w:suppressLineNumbers w:val="0"/>
              <w:jc w:val="left"/>
              <w:rPr>
                <w:rFonts w:hint="default" w:eastAsia="宋体"/>
                <w:vertAlign w:val="baseline"/>
                <w:lang w:val="en-US" w:eastAsia="zh-CN"/>
              </w:rPr>
            </w:pPr>
          </w:p>
          <w:p>
            <w:pPr>
              <w:pStyle w:val="7"/>
              <w:ind w:firstLine="48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三</w:t>
            </w:r>
            <w:r>
              <w:rPr>
                <w:b/>
                <w:bCs/>
                <w:color w:val="000000" w:themeColor="text1"/>
                <w14:textFill>
                  <w14:solidFill>
                    <w14:schemeClr w14:val="tx1"/>
                  </w14:solidFill>
                </w14:textFill>
              </w:rPr>
              <w:t>、噪声</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本项目噪声源主要为污水处理站风机、水泵、空调外机等产生的设备噪声以及人群活动产生的生活噪声。噪声源强约为</w:t>
            </w:r>
            <w:r>
              <w:rPr>
                <w:color w:val="000000" w:themeColor="text1"/>
                <w14:textFill>
                  <w14:solidFill>
                    <w14:schemeClr w14:val="tx1"/>
                  </w14:solidFill>
                </w14:textFill>
              </w:rPr>
              <w:t>60~75dB(A)</w:t>
            </w:r>
            <w:r>
              <w:rPr>
                <w:rFonts w:hint="eastAsia"/>
                <w:color w:val="000000" w:themeColor="text1"/>
                <w14:textFill>
                  <w14:solidFill>
                    <w14:schemeClr w14:val="tx1"/>
                  </w14:solidFill>
                </w14:textFill>
              </w:rPr>
              <w:t>。噪声源强见表。</w:t>
            </w:r>
          </w:p>
          <w:p>
            <w:pPr>
              <w:pStyle w:val="49"/>
              <w:rPr>
                <w:color w:val="000000" w:themeColor="text1"/>
                <w:lang w:val="zh-CN"/>
                <w14:textFill>
                  <w14:solidFill>
                    <w14:schemeClr w14:val="tx1"/>
                  </w14:solidFill>
                </w14:textFill>
              </w:rPr>
            </w:pPr>
            <w:r>
              <w:rPr>
                <w:color w:val="000000" w:themeColor="text1"/>
                <w:lang w:val="zh-CN"/>
                <w14:textFill>
                  <w14:solidFill>
                    <w14:schemeClr w14:val="tx1"/>
                  </w14:solidFill>
                </w14:textFill>
              </w:rPr>
              <w:t>表</w:t>
            </w:r>
            <w:r>
              <w:rPr>
                <w:rFonts w:hint="eastAsia"/>
                <w:color w:val="000000" w:themeColor="text1"/>
                <w14:textFill>
                  <w14:solidFill>
                    <w14:schemeClr w14:val="tx1"/>
                  </w14:solidFill>
                </w14:textFill>
              </w:rPr>
              <w:t>4.2-14</w:t>
            </w:r>
            <w:r>
              <w:rPr>
                <w:color w:val="000000" w:themeColor="text1"/>
                <w:lang w:val="zh-CN"/>
                <w14:textFill>
                  <w14:solidFill>
                    <w14:schemeClr w14:val="tx1"/>
                  </w14:solidFill>
                </w14:textFill>
              </w:rPr>
              <w:t>项目主要噪声源及</w:t>
            </w:r>
            <w:r>
              <w:rPr>
                <w:rFonts w:hint="eastAsia"/>
                <w:color w:val="000000" w:themeColor="text1"/>
                <w:lang w:val="zh-CN"/>
                <w14:textFill>
                  <w14:solidFill>
                    <w14:schemeClr w14:val="tx1"/>
                  </w14:solidFill>
                </w14:textFill>
              </w:rPr>
              <w:t>防治</w:t>
            </w:r>
            <w:r>
              <w:rPr>
                <w:color w:val="000000" w:themeColor="text1"/>
                <w:lang w:val="zh-CN"/>
                <w14:textFill>
                  <w14:solidFill>
                    <w14:schemeClr w14:val="tx1"/>
                  </w14:solidFill>
                </w14:textFill>
              </w:rPr>
              <w:t>措施一览表</w:t>
            </w:r>
          </w:p>
          <w:tbl>
            <w:tblPr>
              <w:tblStyle w:val="31"/>
              <w:tblW w:w="79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1"/>
              <w:gridCol w:w="1117"/>
              <w:gridCol w:w="1087"/>
              <w:gridCol w:w="2825"/>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1" w:type="dxa"/>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声源</w:t>
                  </w:r>
                </w:p>
              </w:tc>
              <w:tc>
                <w:tcPr>
                  <w:tcW w:w="1117" w:type="dxa"/>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数量（台/</w:t>
                  </w:r>
                </w:p>
                <w:p>
                  <w:pPr>
                    <w:pStyle w:val="48"/>
                    <w:rPr>
                      <w:color w:val="000000" w:themeColor="text1"/>
                      <w:lang w:val="zh-CN"/>
                      <w14:textFill>
                        <w14:solidFill>
                          <w14:schemeClr w14:val="tx1"/>
                        </w14:solidFill>
                      </w14:textFill>
                    </w:rPr>
                  </w:pPr>
                  <w:r>
                    <w:rPr>
                      <w:color w:val="000000" w:themeColor="text1"/>
                      <w14:textFill>
                        <w14:solidFill>
                          <w14:schemeClr w14:val="tx1"/>
                        </w14:solidFill>
                      </w14:textFill>
                    </w:rPr>
                    <w:t>套）</w:t>
                  </w:r>
                </w:p>
              </w:tc>
              <w:tc>
                <w:tcPr>
                  <w:tcW w:w="1087" w:type="dxa"/>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噪声源强dB（A）</w:t>
                  </w:r>
                </w:p>
              </w:tc>
              <w:tc>
                <w:tcPr>
                  <w:tcW w:w="2825"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防治措施</w:t>
                  </w:r>
                </w:p>
              </w:tc>
              <w:tc>
                <w:tcPr>
                  <w:tcW w:w="1076"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排放强度</w:t>
                  </w:r>
                  <w:r>
                    <w:rPr>
                      <w:color w:val="000000" w:themeColor="text1"/>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1" w:type="dxa"/>
                  <w:vAlign w:val="center"/>
                </w:tcPr>
                <w:p>
                  <w:pPr>
                    <w:pStyle w:val="48"/>
                    <w:rPr>
                      <w:color w:val="000000" w:themeColor="text1"/>
                      <w:lang w:val="zh-CN"/>
                      <w14:textFill>
                        <w14:solidFill>
                          <w14:schemeClr w14:val="tx1"/>
                        </w14:solidFill>
                      </w14:textFill>
                    </w:rPr>
                  </w:pPr>
                  <w:r>
                    <w:rPr>
                      <w:color w:val="000000" w:themeColor="text1"/>
                      <w14:textFill>
                        <w14:solidFill>
                          <w14:schemeClr w14:val="tx1"/>
                        </w14:solidFill>
                      </w14:textFill>
                    </w:rPr>
                    <w:t>污水处理站风机</w:t>
                  </w:r>
                </w:p>
              </w:tc>
              <w:tc>
                <w:tcPr>
                  <w:tcW w:w="1117"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087" w:type="dxa"/>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70~75</w:t>
                  </w:r>
                </w:p>
              </w:tc>
              <w:tc>
                <w:tcPr>
                  <w:tcW w:w="2825" w:type="dxa"/>
                  <w:vMerge w:val="restart"/>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选用低噪声设备</w:t>
                  </w:r>
                  <w:r>
                    <w:rPr>
                      <w:rFonts w:hint="eastAsia"/>
                      <w:color w:val="000000" w:themeColor="text1"/>
                      <w14:textFill>
                        <w14:solidFill>
                          <w14:schemeClr w14:val="tx1"/>
                        </w14:solidFill>
                      </w14:textFill>
                    </w:rPr>
                    <w:t>，建筑隔声，基础减震，</w:t>
                  </w:r>
                  <w:r>
                    <w:rPr>
                      <w:color w:val="000000" w:themeColor="text1"/>
                      <w14:textFill>
                        <w14:solidFill>
                          <w14:schemeClr w14:val="tx1"/>
                        </w14:solidFill>
                      </w14:textFill>
                    </w:rPr>
                    <w:t>加强设备的保养和维护</w:t>
                  </w:r>
                  <w:r>
                    <w:rPr>
                      <w:rFonts w:hint="eastAsia"/>
                      <w:color w:val="000000" w:themeColor="text1"/>
                      <w14:textFill>
                        <w14:solidFill>
                          <w14:schemeClr w14:val="tx1"/>
                        </w14:solidFill>
                      </w14:textFill>
                    </w:rPr>
                    <w:t>后降低20</w:t>
                  </w:r>
                  <w:r>
                    <w:rPr>
                      <w:color w:val="000000" w:themeColor="text1"/>
                      <w14:textFill>
                        <w14:solidFill>
                          <w14:schemeClr w14:val="tx1"/>
                        </w14:solidFill>
                      </w14:textFill>
                    </w:rPr>
                    <w:t>dB（A）</w:t>
                  </w:r>
                </w:p>
              </w:tc>
              <w:tc>
                <w:tcPr>
                  <w:tcW w:w="1076"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1" w:type="dxa"/>
                  <w:vAlign w:val="center"/>
                </w:tcPr>
                <w:p>
                  <w:pPr>
                    <w:pStyle w:val="48"/>
                    <w:rPr>
                      <w:color w:val="000000" w:themeColor="text1"/>
                      <w:lang w:val="zh-CN"/>
                      <w14:textFill>
                        <w14:solidFill>
                          <w14:schemeClr w14:val="tx1"/>
                        </w14:solidFill>
                      </w14:textFill>
                    </w:rPr>
                  </w:pPr>
                  <w:r>
                    <w:rPr>
                      <w:color w:val="000000" w:themeColor="text1"/>
                      <w14:textFill>
                        <w14:solidFill>
                          <w14:schemeClr w14:val="tx1"/>
                        </w14:solidFill>
                      </w14:textFill>
                    </w:rPr>
                    <w:t>污水处理站水泵</w:t>
                  </w:r>
                </w:p>
              </w:tc>
              <w:tc>
                <w:tcPr>
                  <w:tcW w:w="1117"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087" w:type="dxa"/>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60~70</w:t>
                  </w:r>
                </w:p>
              </w:tc>
              <w:tc>
                <w:tcPr>
                  <w:tcW w:w="2825" w:type="dxa"/>
                  <w:vMerge w:val="continue"/>
                  <w:vAlign w:val="center"/>
                </w:tcPr>
                <w:p>
                  <w:pPr>
                    <w:pStyle w:val="48"/>
                    <w:rPr>
                      <w:color w:val="000000" w:themeColor="text1"/>
                      <w14:textFill>
                        <w14:solidFill>
                          <w14:schemeClr w14:val="tx1"/>
                        </w14:solidFill>
                      </w14:textFill>
                    </w:rPr>
                  </w:pPr>
                </w:p>
              </w:tc>
              <w:tc>
                <w:tcPr>
                  <w:tcW w:w="1076"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1" w:type="dxa"/>
                  <w:vAlign w:val="center"/>
                </w:tcPr>
                <w:p>
                  <w:pPr>
                    <w:pStyle w:val="48"/>
                    <w:rPr>
                      <w:color w:val="000000" w:themeColor="text1"/>
                      <w:lang w:val="zh-CN"/>
                      <w14:textFill>
                        <w14:solidFill>
                          <w14:schemeClr w14:val="tx1"/>
                        </w14:solidFill>
                      </w14:textFill>
                    </w:rPr>
                  </w:pPr>
                  <w:r>
                    <w:rPr>
                      <w:color w:val="000000" w:themeColor="text1"/>
                      <w14:textFill>
                        <w14:solidFill>
                          <w14:schemeClr w14:val="tx1"/>
                        </w14:solidFill>
                      </w14:textFill>
                    </w:rPr>
                    <w:t>空调外机</w:t>
                  </w:r>
                </w:p>
              </w:tc>
              <w:tc>
                <w:tcPr>
                  <w:tcW w:w="1117"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087" w:type="dxa"/>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60</w:t>
                  </w:r>
                </w:p>
              </w:tc>
              <w:tc>
                <w:tcPr>
                  <w:tcW w:w="2825" w:type="dxa"/>
                  <w:vMerge w:val="continue"/>
                  <w:vAlign w:val="center"/>
                </w:tcPr>
                <w:p>
                  <w:pPr>
                    <w:pStyle w:val="48"/>
                    <w:rPr>
                      <w:color w:val="000000" w:themeColor="text1"/>
                      <w14:textFill>
                        <w14:solidFill>
                          <w14:schemeClr w14:val="tx1"/>
                        </w14:solidFill>
                      </w14:textFill>
                    </w:rPr>
                  </w:pPr>
                </w:p>
              </w:tc>
              <w:tc>
                <w:tcPr>
                  <w:tcW w:w="1076"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1" w:type="dxa"/>
                  <w:vAlign w:val="center"/>
                </w:tcPr>
                <w:p>
                  <w:pPr>
                    <w:pStyle w:val="48"/>
                    <w:rPr>
                      <w:color w:val="000000" w:themeColor="text1"/>
                      <w:lang w:val="zh-CN"/>
                      <w14:textFill>
                        <w14:solidFill>
                          <w14:schemeClr w14:val="tx1"/>
                        </w14:solidFill>
                      </w14:textFill>
                    </w:rPr>
                  </w:pPr>
                  <w:r>
                    <w:rPr>
                      <w:color w:val="000000" w:themeColor="text1"/>
                      <w14:textFill>
                        <w14:solidFill>
                          <w14:schemeClr w14:val="tx1"/>
                        </w14:solidFill>
                      </w14:textFill>
                    </w:rPr>
                    <w:t>人群活动噪声</w:t>
                  </w:r>
                </w:p>
              </w:tc>
              <w:tc>
                <w:tcPr>
                  <w:tcW w:w="1117"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7" w:type="dxa"/>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60~70</w:t>
                  </w:r>
                </w:p>
              </w:tc>
              <w:tc>
                <w:tcPr>
                  <w:tcW w:w="2825"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经加强管理，强化医护人员及病人意识，噪声通过墙体</w:t>
                  </w:r>
                </w:p>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隔声和距离衰减后降低20</w:t>
                  </w:r>
                  <w:r>
                    <w:rPr>
                      <w:color w:val="000000" w:themeColor="text1"/>
                      <w14:textFill>
                        <w14:solidFill>
                          <w14:schemeClr w14:val="tx1"/>
                        </w14:solidFill>
                      </w14:textFill>
                    </w:rPr>
                    <w:t>dB（A）</w:t>
                  </w:r>
                </w:p>
              </w:tc>
              <w:tc>
                <w:tcPr>
                  <w:tcW w:w="1076" w:type="dxa"/>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r>
          </w:tbl>
          <w:p>
            <w:pPr>
              <w:pStyle w:val="7"/>
              <w:ind w:firstLine="48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1、</w:t>
            </w:r>
            <w:r>
              <w:rPr>
                <w:rFonts w:hint="eastAsia"/>
                <w:b/>
                <w:bCs/>
                <w:color w:val="000000" w:themeColor="text1"/>
                <w14:textFill>
                  <w14:solidFill>
                    <w14:schemeClr w14:val="tx1"/>
                  </w14:solidFill>
                </w14:textFill>
              </w:rPr>
              <w:t>声达标分析</w:t>
            </w:r>
          </w:p>
          <w:p>
            <w:pPr>
              <w:pStyle w:val="8"/>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为进一步降低噪声对周围环境的影响，应该从声源和传播途径上采取一定的噪声防治措施。为降低噪声源对本项目边界噪声的影响，本项目</w:t>
            </w:r>
            <w:r>
              <w:rPr>
                <w:rFonts w:hint="eastAsia"/>
                <w:color w:val="000000" w:themeColor="text1"/>
                <w:lang w:val="en-US" w:eastAsia="zh-CN"/>
                <w14:textFill>
                  <w14:solidFill>
                    <w14:schemeClr w14:val="tx1"/>
                  </w14:solidFill>
                </w14:textFill>
              </w:rPr>
              <w:t>已</w:t>
            </w:r>
            <w:r>
              <w:rPr>
                <w:rFonts w:hint="eastAsia"/>
                <w:color w:val="000000" w:themeColor="text1"/>
                <w14:textFill>
                  <w14:solidFill>
                    <w14:schemeClr w14:val="tx1"/>
                  </w14:solidFill>
                </w14:textFill>
              </w:rPr>
              <w:t>采取下列措施：</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将空调外机均设置在靠道路的一侧，窗户均采用双层隔音玻璃；</w:t>
            </w:r>
          </w:p>
          <w:p>
            <w:pPr>
              <w:pStyle w:val="7"/>
              <w:ind w:firstLine="48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设备机房（设备间）采用吸声消声材料处理，所有有振动的设备均设减振基础或吊架，接管设柔性减振接头</w:t>
            </w:r>
            <w:r>
              <w:rPr>
                <w:rFonts w:hint="eastAsia"/>
                <w:color w:val="000000" w:themeColor="text1"/>
                <w:lang w:eastAsia="zh-CN"/>
                <w14:textFill>
                  <w14:solidFill>
                    <w14:schemeClr w14:val="tx1"/>
                  </w14:solidFill>
                </w14:textFill>
              </w:rPr>
              <w:t>；</w:t>
            </w:r>
          </w:p>
          <w:p>
            <w:pPr>
              <w:pStyle w:val="7"/>
              <w:ind w:firstLine="48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对噪声较大的机房拟采用特殊处理以将其与建筑的其他部分隔离，包括采用双层墙夹吸音材料、双道门等</w:t>
            </w:r>
            <w:r>
              <w:rPr>
                <w:rFonts w:hint="eastAsia"/>
                <w:color w:val="000000" w:themeColor="text1"/>
                <w:lang w:eastAsia="zh-CN"/>
                <w14:textFill>
                  <w14:solidFill>
                    <w14:schemeClr w14:val="tx1"/>
                  </w14:solidFill>
                </w14:textFill>
              </w:rPr>
              <w:t>；</w:t>
            </w:r>
          </w:p>
          <w:p>
            <w:pPr>
              <w:pStyle w:val="7"/>
              <w:ind w:firstLine="48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设置封闭的发电机房，对风机、水泵等高噪声设备进行基础隔声处理</w:t>
            </w:r>
            <w:r>
              <w:rPr>
                <w:rFonts w:hint="eastAsia"/>
                <w:color w:val="000000" w:themeColor="text1"/>
                <w:lang w:eastAsia="zh-CN"/>
                <w14:textFill>
                  <w14:solidFill>
                    <w14:schemeClr w14:val="tx1"/>
                  </w14:solidFill>
                </w14:textFill>
              </w:rPr>
              <w:t>；</w:t>
            </w:r>
          </w:p>
          <w:p>
            <w:pPr>
              <w:pStyle w:val="7"/>
              <w:ind w:firstLine="48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（5）社会生活噪声采取加强管理，强化医护人员及病人意识</w:t>
            </w:r>
            <w:r>
              <w:rPr>
                <w:rFonts w:hint="eastAsia"/>
                <w:color w:val="000000" w:themeColor="text1"/>
                <w:lang w:eastAsia="zh-CN"/>
                <w14:textFill>
                  <w14:solidFill>
                    <w14:schemeClr w14:val="tx1"/>
                  </w14:solidFill>
                </w14:textFill>
              </w:rPr>
              <w:t>。</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本次环评委托湖南</w:t>
            </w:r>
            <w:r>
              <w:rPr>
                <w:rFonts w:hint="eastAsia"/>
                <w:color w:val="000000" w:themeColor="text1"/>
                <w:lang w:val="en-US" w:eastAsia="zh-CN"/>
                <w14:textFill>
                  <w14:solidFill>
                    <w14:schemeClr w14:val="tx1"/>
                  </w14:solidFill>
                </w14:textFill>
              </w:rPr>
              <w:t>衡润科技</w:t>
            </w:r>
            <w:r>
              <w:rPr>
                <w:rFonts w:hint="eastAsia"/>
                <w:color w:val="000000" w:themeColor="text1"/>
                <w14:textFill>
                  <w14:solidFill>
                    <w14:schemeClr w14:val="tx1"/>
                  </w14:solidFill>
                </w14:textFill>
              </w:rPr>
              <w:t>有限公司对本项目噪声进行了监测，</w:t>
            </w:r>
            <w:r>
              <w:rPr>
                <w:color w:val="000000" w:themeColor="text1"/>
                <w14:textFill>
                  <w14:solidFill>
                    <w14:schemeClr w14:val="tx1"/>
                  </w14:solidFill>
                </w14:textFill>
              </w:rPr>
              <w:t>根据噪声现状监测结果，</w:t>
            </w:r>
            <w:r>
              <w:rPr>
                <w:rFonts w:hint="eastAsia"/>
                <w:color w:val="000000" w:themeColor="text1"/>
                <w14:textFill>
                  <w14:solidFill>
                    <w14:schemeClr w14:val="tx1"/>
                  </w14:solidFill>
                </w14:textFill>
              </w:rPr>
              <w:t>厂界噪声能满足《工业企业厂界环境噪声排放标准》（GB12348-2008）中的2类标准限值要求，</w:t>
            </w:r>
            <w:r>
              <w:rPr>
                <w:color w:val="000000" w:themeColor="text1"/>
                <w14:textFill>
                  <w14:solidFill>
                    <w14:schemeClr w14:val="tx1"/>
                  </w14:solidFill>
                </w14:textFill>
              </w:rPr>
              <w:t>周边居民能满足《声环境质量标准》（GB3096-2008）</w:t>
            </w:r>
            <w:r>
              <w:rPr>
                <w:rFonts w:hint="eastAsia"/>
                <w:color w:val="000000" w:themeColor="text1"/>
                <w14:textFill>
                  <w14:solidFill>
                    <w14:schemeClr w14:val="tx1"/>
                  </w14:solidFill>
                </w14:textFill>
              </w:rPr>
              <w:t>中</w:t>
            </w:r>
            <w:r>
              <w:rPr>
                <w:color w:val="000000" w:themeColor="text1"/>
                <w14:textFill>
                  <w14:solidFill>
                    <w14:schemeClr w14:val="tx1"/>
                  </w14:solidFill>
                </w14:textFill>
              </w:rPr>
              <w:t>2类标准</w:t>
            </w:r>
            <w:r>
              <w:rPr>
                <w:rFonts w:hint="eastAsia"/>
                <w:color w:val="000000" w:themeColor="text1"/>
                <w14:textFill>
                  <w14:solidFill>
                    <w14:schemeClr w14:val="tx1"/>
                  </w14:solidFill>
                </w14:textFill>
              </w:rPr>
              <w:t>要求。</w:t>
            </w:r>
          </w:p>
          <w:p>
            <w:pPr>
              <w:pStyle w:val="7"/>
              <w:ind w:firstLine="48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2、</w:t>
            </w:r>
            <w:r>
              <w:rPr>
                <w:rFonts w:hint="eastAsia"/>
                <w:b/>
                <w:bCs/>
                <w:color w:val="000000" w:themeColor="text1"/>
                <w14:textFill>
                  <w14:solidFill>
                    <w14:schemeClr w14:val="tx1"/>
                  </w14:solidFill>
                </w14:textFill>
              </w:rPr>
              <w:t>噪声</w:t>
            </w:r>
            <w:r>
              <w:rPr>
                <w:b/>
                <w:bCs/>
                <w:color w:val="000000" w:themeColor="text1"/>
                <w14:textFill>
                  <w14:solidFill>
                    <w14:schemeClr w14:val="tx1"/>
                  </w14:solidFill>
                </w14:textFill>
              </w:rPr>
              <w:t>污染防</w:t>
            </w:r>
            <w:r>
              <w:rPr>
                <w:rFonts w:hint="eastAsia"/>
                <w:b/>
                <w:bCs/>
                <w:color w:val="000000" w:themeColor="text1"/>
                <w14:textFill>
                  <w14:solidFill>
                    <w14:schemeClr w14:val="tx1"/>
                  </w14:solidFill>
                </w14:textFill>
              </w:rPr>
              <w:t>治</w:t>
            </w:r>
            <w:r>
              <w:rPr>
                <w:b/>
                <w:bCs/>
                <w:color w:val="000000" w:themeColor="text1"/>
                <w14:textFill>
                  <w14:solidFill>
                    <w14:schemeClr w14:val="tx1"/>
                  </w14:solidFill>
                </w14:textFill>
              </w:rPr>
              <w:t>的</w:t>
            </w:r>
            <w:r>
              <w:rPr>
                <w:rFonts w:hint="eastAsia"/>
                <w:b/>
                <w:bCs/>
                <w:color w:val="000000" w:themeColor="text1"/>
                <w14:textFill>
                  <w14:solidFill>
                    <w14:schemeClr w14:val="tx1"/>
                  </w14:solidFill>
                </w14:textFill>
              </w:rPr>
              <w:t>可</w:t>
            </w:r>
            <w:r>
              <w:rPr>
                <w:b/>
                <w:bCs/>
                <w:color w:val="000000" w:themeColor="text1"/>
                <w14:textFill>
                  <w14:solidFill>
                    <w14:schemeClr w14:val="tx1"/>
                  </w14:solidFill>
                </w14:textFill>
              </w:rPr>
              <w:t>行</w:t>
            </w:r>
            <w:r>
              <w:rPr>
                <w:rFonts w:hint="eastAsia"/>
                <w:b/>
                <w:bCs/>
                <w:color w:val="000000" w:themeColor="text1"/>
                <w14:textFill>
                  <w14:solidFill>
                    <w14:schemeClr w14:val="tx1"/>
                  </w14:solidFill>
                </w14:textFill>
              </w:rPr>
              <w:t>性分</w:t>
            </w:r>
            <w:r>
              <w:rPr>
                <w:b/>
                <w:bCs/>
                <w:color w:val="000000" w:themeColor="text1"/>
                <w14:textFill>
                  <w14:solidFill>
                    <w14:schemeClr w14:val="tx1"/>
                  </w14:solidFill>
                </w14:textFill>
              </w:rPr>
              <w:t>析</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综上所述，项目选择低噪型设备、合理布局、将高噪声设备置于室内并尽可能远离附近居民点，并采取适当的隔声降噪措施后，可以确保营运期机器设备运转噪声厂界可达《工业企业厂界环境噪声排放标准》（</w:t>
            </w:r>
            <w:r>
              <w:rPr>
                <w:color w:val="000000" w:themeColor="text1"/>
                <w14:textFill>
                  <w14:solidFill>
                    <w14:schemeClr w14:val="tx1"/>
                  </w14:solidFill>
                </w14:textFill>
              </w:rPr>
              <w:t>GB12348-2008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类标准要求。对周围环境影响较小。</w:t>
            </w:r>
          </w:p>
          <w:p>
            <w:pPr>
              <w:pStyle w:val="7"/>
              <w:ind w:firstLine="48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3、</w:t>
            </w:r>
            <w:r>
              <w:rPr>
                <w:rFonts w:hint="eastAsia"/>
                <w:b/>
                <w:bCs/>
                <w:color w:val="000000" w:themeColor="text1"/>
                <w14:textFill>
                  <w14:solidFill>
                    <w14:schemeClr w14:val="tx1"/>
                  </w14:solidFill>
                </w14:textFill>
              </w:rPr>
              <w:t>监测要求</w:t>
            </w:r>
          </w:p>
          <w:p>
            <w:pPr>
              <w:pStyle w:val="49"/>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 xml:space="preserve">表4.2-15环境监测计划一览表 </w:t>
            </w:r>
          </w:p>
          <w:tbl>
            <w:tblPr>
              <w:tblStyle w:val="31"/>
              <w:tblW w:w="791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99"/>
              <w:gridCol w:w="2889"/>
              <w:gridCol w:w="2148"/>
              <w:gridCol w:w="15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99" w:type="dxa"/>
                  <w:tcBorders>
                    <w:top w:val="single" w:color="auto" w:sz="4" w:space="0"/>
                    <w:left w:val="single" w:color="auto" w:sz="4" w:space="0"/>
                    <w:bottom w:val="single" w:color="auto" w:sz="4" w:space="0"/>
                    <w:right w:val="single" w:color="auto" w:sz="4" w:space="0"/>
                  </w:tcBorders>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类别</w:t>
                  </w:r>
                </w:p>
              </w:tc>
              <w:tc>
                <w:tcPr>
                  <w:tcW w:w="2889" w:type="dxa"/>
                  <w:tcBorders>
                    <w:top w:val="single" w:color="auto" w:sz="4" w:space="0"/>
                    <w:left w:val="single" w:color="auto" w:sz="4" w:space="0"/>
                    <w:bottom w:val="single" w:color="auto" w:sz="4" w:space="0"/>
                    <w:right w:val="single" w:color="auto" w:sz="4" w:space="0"/>
                  </w:tcBorders>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监测点位置</w:t>
                  </w:r>
                </w:p>
              </w:tc>
              <w:tc>
                <w:tcPr>
                  <w:tcW w:w="2148" w:type="dxa"/>
                  <w:tcBorders>
                    <w:top w:val="single" w:color="auto" w:sz="4" w:space="0"/>
                    <w:left w:val="single" w:color="auto" w:sz="4" w:space="0"/>
                    <w:bottom w:val="single" w:color="auto" w:sz="4" w:space="0"/>
                    <w:right w:val="single" w:color="auto" w:sz="4" w:space="0"/>
                  </w:tcBorders>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监测项目</w:t>
                  </w:r>
                </w:p>
              </w:tc>
              <w:tc>
                <w:tcPr>
                  <w:tcW w:w="1575" w:type="dxa"/>
                  <w:tcBorders>
                    <w:top w:val="single" w:color="auto" w:sz="4" w:space="0"/>
                    <w:left w:val="single" w:color="auto" w:sz="4" w:space="0"/>
                    <w:bottom w:val="single" w:color="auto" w:sz="4" w:space="0"/>
                    <w:right w:val="single" w:color="auto" w:sz="4" w:space="0"/>
                  </w:tcBorders>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监测频次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99" w:type="dxa"/>
                  <w:tcBorders>
                    <w:top w:val="single" w:color="auto" w:sz="4" w:space="0"/>
                    <w:left w:val="single" w:color="auto" w:sz="4" w:space="0"/>
                    <w:bottom w:val="single" w:color="auto" w:sz="4" w:space="0"/>
                    <w:right w:val="single" w:color="auto" w:sz="4" w:space="0"/>
                  </w:tcBorders>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噪声</w:t>
                  </w:r>
                </w:p>
              </w:tc>
              <w:tc>
                <w:tcPr>
                  <w:tcW w:w="2889" w:type="dxa"/>
                  <w:tcBorders>
                    <w:top w:val="single" w:color="auto" w:sz="4" w:space="0"/>
                    <w:left w:val="single" w:color="auto" w:sz="4" w:space="0"/>
                    <w:bottom w:val="single" w:color="auto" w:sz="4" w:space="0"/>
                    <w:right w:val="single" w:color="auto" w:sz="4" w:space="0"/>
                  </w:tcBorders>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厂界四周外1m处</w:t>
                  </w:r>
                </w:p>
              </w:tc>
              <w:tc>
                <w:tcPr>
                  <w:tcW w:w="2148" w:type="dxa"/>
                  <w:tcBorders>
                    <w:top w:val="single" w:color="auto" w:sz="4" w:space="0"/>
                    <w:left w:val="single" w:color="auto" w:sz="4" w:space="0"/>
                    <w:bottom w:val="single" w:color="auto" w:sz="4" w:space="0"/>
                    <w:right w:val="single" w:color="auto" w:sz="4" w:space="0"/>
                  </w:tcBorders>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厂界噪声</w:t>
                  </w:r>
                </w:p>
              </w:tc>
              <w:tc>
                <w:tcPr>
                  <w:tcW w:w="1575" w:type="dxa"/>
                  <w:tcBorders>
                    <w:top w:val="single" w:color="auto" w:sz="4" w:space="0"/>
                    <w:left w:val="single" w:color="auto" w:sz="4" w:space="0"/>
                    <w:bottom w:val="single" w:color="auto" w:sz="4" w:space="0"/>
                    <w:right w:val="single" w:color="auto" w:sz="4" w:space="0"/>
                  </w:tcBorders>
                  <w:vAlign w:val="center"/>
                </w:tcPr>
                <w:p>
                  <w:pPr>
                    <w:pStyle w:val="48"/>
                    <w:rPr>
                      <w:color w:val="000000" w:themeColor="text1"/>
                      <w:u w:val="none"/>
                      <w14:textFill>
                        <w14:solidFill>
                          <w14:schemeClr w14:val="tx1"/>
                        </w14:solidFill>
                      </w14:textFill>
                    </w:rPr>
                  </w:pPr>
                  <w:r>
                    <w:rPr>
                      <w:color w:val="000000" w:themeColor="text1"/>
                      <w:u w:val="none"/>
                      <w14:textFill>
                        <w14:solidFill>
                          <w14:schemeClr w14:val="tx1"/>
                        </w14:solidFill>
                      </w14:textFill>
                    </w:rPr>
                    <w:t>1</w:t>
                  </w:r>
                  <w:r>
                    <w:rPr>
                      <w:rFonts w:hint="eastAsia"/>
                      <w:color w:val="000000" w:themeColor="text1"/>
                      <w:u w:val="none"/>
                      <w14:textFill>
                        <w14:solidFill>
                          <w14:schemeClr w14:val="tx1"/>
                        </w14:solidFill>
                      </w14:textFill>
                    </w:rPr>
                    <w:t>次</w:t>
                  </w:r>
                  <w:r>
                    <w:rPr>
                      <w:color w:val="000000" w:themeColor="text1"/>
                      <w:u w:val="none"/>
                      <w14:textFill>
                        <w14:solidFill>
                          <w14:schemeClr w14:val="tx1"/>
                        </w14:solidFill>
                      </w14:textFill>
                    </w:rPr>
                    <w:t>/</w:t>
                  </w:r>
                  <w:r>
                    <w:rPr>
                      <w:rFonts w:hint="eastAsia"/>
                      <w:color w:val="000000" w:themeColor="text1"/>
                      <w:u w:val="none"/>
                      <w14:textFill>
                        <w14:solidFill>
                          <w14:schemeClr w14:val="tx1"/>
                        </w14:solidFill>
                      </w14:textFill>
                    </w:rPr>
                    <w:t>季度</w:t>
                  </w:r>
                </w:p>
              </w:tc>
            </w:tr>
          </w:tbl>
          <w:p>
            <w:pPr>
              <w:pStyle w:val="7"/>
              <w:numPr>
                <w:ilvl w:val="0"/>
                <w:numId w:val="0"/>
              </w:numPr>
              <w:ind w:firstLine="482" w:firstLineChars="200"/>
              <w:rPr>
                <w:b/>
                <w:bCs/>
                <w:color w:val="000000" w:themeColor="text1"/>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四</w:t>
            </w:r>
            <w:r>
              <w:rPr>
                <w:rFonts w:ascii="Times New Roman" w:hAnsi="Times New Roman" w:eastAsia="宋体" w:cs="Times New Roman"/>
                <w:b/>
                <w:bCs/>
                <w:color w:val="000000" w:themeColor="text1"/>
                <w:kern w:val="2"/>
                <w:sz w:val="24"/>
                <w:szCs w:val="24"/>
                <w:lang w:val="en-US" w:eastAsia="zh-CN" w:bidi="ar-SA"/>
                <w14:textFill>
                  <w14:solidFill>
                    <w14:schemeClr w14:val="tx1"/>
                  </w14:solidFill>
                </w14:textFill>
              </w:rPr>
              <w:t>、</w:t>
            </w:r>
            <w:r>
              <w:rPr>
                <w:rFonts w:hint="eastAsia"/>
                <w:b/>
                <w:bCs/>
                <w:color w:val="000000" w:themeColor="text1"/>
                <w14:textFill>
                  <w14:solidFill>
                    <w14:schemeClr w14:val="tx1"/>
                  </w14:solidFill>
                </w14:textFill>
              </w:rPr>
              <w:t>固废</w:t>
            </w:r>
          </w:p>
          <w:p>
            <w:pPr>
              <w:pStyle w:val="7"/>
              <w:ind w:firstLine="48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b/>
                <w:bCs/>
                <w:color w:val="000000" w:themeColor="text1"/>
                <w14:textFill>
                  <w14:solidFill>
                    <w14:schemeClr w14:val="tx1"/>
                  </w14:solidFill>
                </w14:textFill>
              </w:rPr>
              <w:t>、固体</w:t>
            </w:r>
            <w:r>
              <w:rPr>
                <w:rFonts w:hint="eastAsia"/>
                <w:b/>
                <w:bCs/>
                <w:color w:val="000000" w:themeColor="text1"/>
                <w14:textFill>
                  <w14:solidFill>
                    <w14:schemeClr w14:val="tx1"/>
                  </w14:solidFill>
                </w14:textFill>
              </w:rPr>
              <w:t>废物产生情况及处置情况</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项目运营期产生的固体废弃物主要包括生活垃圾、医疗废物、污水处理站污泥、废包装材料、未污染的一次性塑料输液瓶（袋）等。 </w:t>
            </w:r>
          </w:p>
          <w:p>
            <w:pPr>
              <w:pStyle w:val="7"/>
              <w:ind w:firstLine="480"/>
              <w:rPr>
                <w:color w:val="000000" w:themeColor="text1"/>
                <w14:textFill>
                  <w14:solidFill>
                    <w14:schemeClr w14:val="tx1"/>
                  </w14:solidFill>
                </w14:textFill>
              </w:rPr>
            </w:pPr>
            <w:r>
              <w:rPr>
                <w:color w:val="000000" w:themeColor="text1"/>
                <w14:textFill>
                  <w14:solidFill>
                    <w14:schemeClr w14:val="tx1"/>
                  </w14:solidFill>
                </w14:textFill>
              </w:rPr>
              <w:t>（1）生活垃圾</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项目医院工作人员</w:t>
            </w:r>
            <w:r>
              <w:rPr>
                <w:rFonts w:hint="eastAsia"/>
                <w:color w:val="000000" w:themeColor="text1"/>
                <w:lang w:val="en-US" w:eastAsia="zh-CN"/>
                <w14:textFill>
                  <w14:solidFill>
                    <w14:schemeClr w14:val="tx1"/>
                  </w14:solidFill>
                </w14:textFill>
              </w:rPr>
              <w:t>45</w:t>
            </w:r>
            <w:r>
              <w:rPr>
                <w:rFonts w:hint="eastAsia"/>
                <w:color w:val="000000" w:themeColor="text1"/>
                <w14:textFill>
                  <w14:solidFill>
                    <w14:schemeClr w14:val="tx1"/>
                  </w14:solidFill>
                </w14:textFill>
              </w:rPr>
              <w:t>人，按工作人员每人每天产生量约</w:t>
            </w:r>
            <w:r>
              <w:rPr>
                <w:color w:val="000000" w:themeColor="text1"/>
                <w14:textFill>
                  <w14:solidFill>
                    <w14:schemeClr w14:val="tx1"/>
                  </w14:solidFill>
                </w14:textFill>
              </w:rPr>
              <w:t>0.5kg</w:t>
            </w:r>
            <w:r>
              <w:rPr>
                <w:rFonts w:hint="eastAsia"/>
                <w:color w:val="000000" w:themeColor="text1"/>
                <w14:textFill>
                  <w14:solidFill>
                    <w14:schemeClr w14:val="tx1"/>
                  </w14:solidFill>
                </w14:textFill>
              </w:rPr>
              <w:t>计，生活垃圾产生量为</w:t>
            </w:r>
            <w:r>
              <w:rPr>
                <w:rFonts w:hint="eastAsia"/>
                <w:color w:val="000000" w:themeColor="text1"/>
                <w:lang w:val="en-US" w:eastAsia="zh-CN"/>
                <w14:textFill>
                  <w14:solidFill>
                    <w14:schemeClr w14:val="tx1"/>
                  </w14:solidFill>
                </w14:textFill>
              </w:rPr>
              <w:t>22.5</w:t>
            </w:r>
            <w:r>
              <w:rPr>
                <w:rFonts w:eastAsia="Times New Roman"/>
                <w:color w:val="000000" w:themeColor="text1"/>
                <w14:textFill>
                  <w14:solidFill>
                    <w14:schemeClr w14:val="tx1"/>
                  </w14:solidFill>
                </w14:textFill>
              </w:rPr>
              <w:t>kg/d</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8.21</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本项目设置病床</w:t>
            </w:r>
            <w:r>
              <w:rPr>
                <w:rFonts w:hint="eastAsia"/>
                <w:color w:val="000000" w:themeColor="text1"/>
                <w:lang w:val="en-US" w:eastAsia="zh-CN"/>
                <w14:textFill>
                  <w14:solidFill>
                    <w14:schemeClr w14:val="tx1"/>
                  </w14:solidFill>
                </w14:textFill>
              </w:rPr>
              <w:t>40</w:t>
            </w:r>
            <w:r>
              <w:rPr>
                <w:rFonts w:hint="eastAsia"/>
                <w:color w:val="000000" w:themeColor="text1"/>
                <w14:textFill>
                  <w14:solidFill>
                    <w14:schemeClr w14:val="tx1"/>
                  </w14:solidFill>
                </w14:textFill>
              </w:rPr>
              <w:t>张，按每床每天产生</w:t>
            </w:r>
            <w:r>
              <w:rPr>
                <w:color w:val="000000" w:themeColor="text1"/>
                <w14:textFill>
                  <w14:solidFill>
                    <w14:schemeClr w14:val="tx1"/>
                  </w14:solidFill>
                </w14:textFill>
              </w:rPr>
              <w:t>1kg</w:t>
            </w:r>
            <w:r>
              <w:rPr>
                <w:rFonts w:hint="eastAsia"/>
                <w:color w:val="000000" w:themeColor="text1"/>
                <w14:textFill>
                  <w14:solidFill>
                    <w14:schemeClr w14:val="tx1"/>
                  </w14:solidFill>
                </w14:textFill>
              </w:rPr>
              <w:t>计算，病人生活垃圾产生量约为</w:t>
            </w:r>
            <w:r>
              <w:rPr>
                <w:rFonts w:hint="eastAsia"/>
                <w:color w:val="000000" w:themeColor="text1"/>
                <w:lang w:val="en-US" w:eastAsia="zh-CN"/>
                <w14:textFill>
                  <w14:solidFill>
                    <w14:schemeClr w14:val="tx1"/>
                  </w14:solidFill>
                </w14:textFill>
              </w:rPr>
              <w:t>40</w:t>
            </w:r>
            <w:r>
              <w:rPr>
                <w:rFonts w:eastAsia="Times New Roman"/>
                <w:color w:val="000000" w:themeColor="text1"/>
                <w14:textFill>
                  <w14:solidFill>
                    <w14:schemeClr w14:val="tx1"/>
                  </w14:solidFill>
                </w14:textFill>
              </w:rPr>
              <w:t>kg/d</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4.6</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）。生活垃圾经分类收集后由环卫部门定期进行清运，不会对外环境造成大的影响。</w:t>
            </w:r>
          </w:p>
          <w:p>
            <w:pPr>
              <w:pStyle w:val="7"/>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医疗废物</w:t>
            </w:r>
          </w:p>
          <w:p>
            <w:pPr>
              <w:pStyle w:val="7"/>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ascii="宋体" w:hAnsi="宋体" w:cs="宋体"/>
                <w:color w:val="000000" w:themeColor="text1"/>
                <w:kern w:val="0"/>
                <w14:textFill>
                  <w14:solidFill>
                    <w14:schemeClr w14:val="tx1"/>
                  </w14:solidFill>
                </w14:textFill>
              </w:rPr>
              <w:t>《危险废物名录》（</w:t>
            </w:r>
            <w:r>
              <w:rPr>
                <w:color w:val="000000" w:themeColor="text1"/>
                <w:kern w:val="0"/>
                <w14:textFill>
                  <w14:solidFill>
                    <w14:schemeClr w14:val="tx1"/>
                  </w14:solidFill>
                </w14:textFill>
              </w:rPr>
              <w:t>202</w:t>
            </w:r>
            <w:r>
              <w:rPr>
                <w:rFonts w:hint="eastAsia"/>
                <w:color w:val="000000" w:themeColor="text1"/>
                <w:kern w:val="0"/>
                <w14:textFill>
                  <w14:solidFill>
                    <w14:schemeClr w14:val="tx1"/>
                  </w14:solidFill>
                </w14:textFill>
              </w:rPr>
              <w:t>1</w:t>
            </w:r>
            <w:r>
              <w:rPr>
                <w:rFonts w:hint="eastAsia" w:ascii="宋体" w:hAnsi="宋体" w:cs="宋体"/>
                <w:color w:val="000000" w:themeColor="text1"/>
                <w:kern w:val="0"/>
                <w14:textFill>
                  <w14:solidFill>
                    <w14:schemeClr w14:val="tx1"/>
                  </w14:solidFill>
                </w14:textFill>
              </w:rPr>
              <w:t>年版）</w:t>
            </w:r>
            <w:r>
              <w:rPr>
                <w:color w:val="000000" w:themeColor="text1"/>
                <w14:textFill>
                  <w14:solidFill>
                    <w14:schemeClr w14:val="tx1"/>
                  </w14:solidFill>
                </w14:textFill>
              </w:rPr>
              <w:t>，医疗废物包括感染性废物、损伤性废物、病理性废物、药物性废物和化学性废物，废物类别为HW01。本项目医疗废物主要包括被病人血液或人体体液污染的医疗材料、医疗仪器、废药品等。</w:t>
            </w:r>
          </w:p>
          <w:p>
            <w:pPr>
              <w:pStyle w:val="7"/>
              <w:ind w:firstLine="480"/>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感染性废物</w:t>
            </w:r>
          </w:p>
          <w:p>
            <w:pPr>
              <w:pStyle w:val="7"/>
              <w:keepNext w:val="0"/>
              <w:keepLines w:val="0"/>
              <w:pageBreakBefore w:val="0"/>
              <w:widowControl w:val="0"/>
              <w:kinsoku/>
              <w:wordWrap/>
              <w:overflowPunct/>
              <w:topLinePunct w:val="0"/>
              <w:autoSpaceDE/>
              <w:autoSpaceDN/>
              <w:bidi w:val="0"/>
              <w:adjustRightInd/>
              <w:snapToGrid/>
              <w:ind w:firstLine="48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病人产生废物属于感染性废物，废物类别为HW01，废物代码</w:t>
            </w:r>
            <w:r>
              <w:rPr>
                <w:rFonts w:hint="eastAsia"/>
                <w:color w:val="000000" w:themeColor="text1"/>
                <w14:textFill>
                  <w14:solidFill>
                    <w14:schemeClr w14:val="tx1"/>
                  </w14:solidFill>
                </w14:textFill>
              </w:rPr>
              <w:t>841-001-01</w:t>
            </w:r>
            <w:r>
              <w:rPr>
                <w:color w:val="000000" w:themeColor="text1"/>
                <w14:textFill>
                  <w14:solidFill>
                    <w14:schemeClr w14:val="tx1"/>
                  </w14:solidFill>
                </w14:textFill>
              </w:rPr>
              <w:t>1，</w:t>
            </w:r>
            <w:r>
              <w:rPr>
                <w:rFonts w:hint="eastAsia"/>
                <w:color w:val="000000" w:themeColor="text1"/>
                <w:u w:val="single"/>
                <w:lang w:val="en-US" w:eastAsia="zh-CN"/>
                <w14:textFill>
                  <w14:solidFill>
                    <w14:schemeClr w14:val="tx1"/>
                  </w14:solidFill>
                </w14:textFill>
              </w:rPr>
              <w:t>住院</w:t>
            </w:r>
            <w:r>
              <w:rPr>
                <w:color w:val="000000" w:themeColor="text1"/>
                <w:u w:val="single"/>
                <w14:textFill>
                  <w14:solidFill>
                    <w14:schemeClr w14:val="tx1"/>
                  </w14:solidFill>
                </w14:textFill>
              </w:rPr>
              <w:t>病人按0.1kg/</w:t>
            </w:r>
            <w:r>
              <w:rPr>
                <w:rFonts w:hint="eastAsia"/>
                <w:color w:val="000000" w:themeColor="text1"/>
                <w:u w:val="single"/>
                <w:lang w:val="en-US" w:eastAsia="zh-CN"/>
                <w14:textFill>
                  <w14:solidFill>
                    <w14:schemeClr w14:val="tx1"/>
                  </w14:solidFill>
                </w14:textFill>
              </w:rPr>
              <w:t>床</w:t>
            </w:r>
            <w:r>
              <w:rPr>
                <w:color w:val="000000" w:themeColor="text1"/>
                <w:u w:val="single"/>
                <w14:textFill>
                  <w14:solidFill>
                    <w14:schemeClr w14:val="tx1"/>
                  </w14:solidFill>
                </w14:textFill>
              </w:rPr>
              <w:t>·d计（其中包含日常治疗产生的医疗垃圾），产生医疗废物</w:t>
            </w:r>
            <w:r>
              <w:rPr>
                <w:rFonts w:hint="eastAsia"/>
                <w:color w:val="000000" w:themeColor="text1"/>
                <w:u w:val="single"/>
                <w:lang w:val="en-US" w:eastAsia="zh-CN"/>
                <w14:textFill>
                  <w14:solidFill>
                    <w14:schemeClr w14:val="tx1"/>
                  </w14:solidFill>
                </w14:textFill>
              </w:rPr>
              <w:t>4</w:t>
            </w:r>
            <w:r>
              <w:rPr>
                <w:color w:val="000000" w:themeColor="text1"/>
                <w:u w:val="single"/>
                <w14:textFill>
                  <w14:solidFill>
                    <w14:schemeClr w14:val="tx1"/>
                  </w14:solidFill>
                </w14:textFill>
              </w:rPr>
              <w:t>kg/d</w:t>
            </w:r>
            <w:r>
              <w:rPr>
                <w:rFonts w:hint="eastAsia"/>
                <w:color w:val="000000" w:themeColor="text1"/>
                <w:u w:val="single"/>
                <w14:textFill>
                  <w14:solidFill>
                    <w14:schemeClr w14:val="tx1"/>
                  </w14:solidFill>
                </w14:textFill>
              </w:rPr>
              <w:t>；</w:t>
            </w:r>
            <w:r>
              <w:rPr>
                <w:color w:val="000000" w:themeColor="text1"/>
                <w:u w:val="single"/>
                <w14:textFill>
                  <w14:solidFill>
                    <w14:schemeClr w14:val="tx1"/>
                  </w14:solidFill>
                </w14:textFill>
              </w:rPr>
              <w:t>门诊产生的废物按0.05kg/人·次计，产生医疗废物</w:t>
            </w:r>
            <w:r>
              <w:rPr>
                <w:rFonts w:hint="eastAsia"/>
                <w:color w:val="000000" w:themeColor="text1"/>
                <w:u w:val="single"/>
                <w:lang w:val="en-US" w:eastAsia="zh-CN"/>
                <w14:textFill>
                  <w14:solidFill>
                    <w14:schemeClr w14:val="tx1"/>
                  </w14:solidFill>
                </w14:textFill>
              </w:rPr>
              <w:t>4</w:t>
            </w:r>
            <w:r>
              <w:rPr>
                <w:color w:val="000000" w:themeColor="text1"/>
                <w:u w:val="single"/>
                <w14:textFill>
                  <w14:solidFill>
                    <w14:schemeClr w14:val="tx1"/>
                  </w14:solidFill>
                </w14:textFill>
              </w:rPr>
              <w:t>kg/d。因此本工程产生的感染性废物总量为</w:t>
            </w:r>
            <w:r>
              <w:rPr>
                <w:rFonts w:hint="eastAsia"/>
                <w:color w:val="000000" w:themeColor="text1"/>
                <w:u w:val="single"/>
                <w:lang w:val="en-US" w:eastAsia="zh-CN"/>
                <w14:textFill>
                  <w14:solidFill>
                    <w14:schemeClr w14:val="tx1"/>
                  </w14:solidFill>
                </w14:textFill>
              </w:rPr>
              <w:t>8</w:t>
            </w:r>
            <w:r>
              <w:rPr>
                <w:color w:val="000000" w:themeColor="text1"/>
                <w:u w:val="single"/>
                <w14:textFill>
                  <w14:solidFill>
                    <w14:schemeClr w14:val="tx1"/>
                  </w14:solidFill>
                </w14:textFill>
              </w:rPr>
              <w:t>kg/d（</w:t>
            </w:r>
            <w:r>
              <w:rPr>
                <w:rFonts w:hint="eastAsia"/>
                <w:color w:val="000000" w:themeColor="text1"/>
                <w:u w:val="single"/>
                <w:lang w:val="en-US" w:eastAsia="zh-CN"/>
                <w14:textFill>
                  <w14:solidFill>
                    <w14:schemeClr w14:val="tx1"/>
                  </w14:solidFill>
                </w14:textFill>
              </w:rPr>
              <w:t>2.92</w:t>
            </w:r>
            <w:r>
              <w:rPr>
                <w:color w:val="000000" w:themeColor="text1"/>
                <w:u w:val="single"/>
                <w14:textFill>
                  <w14:solidFill>
                    <w14:schemeClr w14:val="tx1"/>
                  </w14:solidFill>
                </w14:textFill>
              </w:rPr>
              <w:t>t/a）。</w:t>
            </w:r>
          </w:p>
          <w:p>
            <w:pPr>
              <w:pStyle w:val="7"/>
              <w:ind w:firstLine="480"/>
              <w:rPr>
                <w:color w:val="000000" w:themeColor="text1"/>
                <w14:textFill>
                  <w14:solidFill>
                    <w14:schemeClr w14:val="tx1"/>
                  </w14:solidFill>
                </w14:textFill>
              </w:rPr>
            </w:pPr>
            <w:r>
              <w:rPr>
                <w:color w:val="000000" w:themeColor="text1"/>
                <w14:textFill>
                  <w14:solidFill>
                    <w14:schemeClr w14:val="tx1"/>
                  </w14:solidFill>
                </w14:textFill>
              </w:rPr>
              <w:t>B</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损伤性废物</w:t>
            </w:r>
          </w:p>
          <w:p>
            <w:pPr>
              <w:pStyle w:val="7"/>
              <w:keepNext w:val="0"/>
              <w:keepLines w:val="0"/>
              <w:pageBreakBefore w:val="0"/>
              <w:widowControl w:val="0"/>
              <w:kinsoku/>
              <w:wordWrap/>
              <w:overflowPunct/>
              <w:topLinePunct w:val="0"/>
              <w:autoSpaceDE/>
              <w:autoSpaceDN/>
              <w:bidi w:val="0"/>
              <w:adjustRightInd/>
              <w:snapToGrid/>
              <w:ind w:firstLine="48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废弃的或一次性的注射器、针头、化验器皿、玻璃、药盒</w:t>
            </w:r>
            <w:r>
              <w:rPr>
                <w:rFonts w:hint="eastAsia"/>
                <w:color w:val="000000" w:themeColor="text1"/>
                <w:lang w:eastAsia="zh-CN"/>
                <w14:textFill>
                  <w14:solidFill>
                    <w14:schemeClr w14:val="tx1"/>
                  </w14:solidFill>
                </w14:textFill>
              </w:rPr>
              <w:t>及其他</w:t>
            </w:r>
            <w:r>
              <w:rPr>
                <w:color w:val="000000" w:themeColor="text1"/>
                <w14:textFill>
                  <w14:solidFill>
                    <w14:schemeClr w14:val="tx1"/>
                  </w14:solidFill>
                </w14:textFill>
              </w:rPr>
              <w:t>可能引起切伤刺伤的器物，属于损伤性废物，废物类别为HW01，废物代码</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41-002-01，住院病人按每病床每日产生锐器0.1kg计（其中包含日常治疗产生的医疗垃圾），</w:t>
            </w:r>
            <w:r>
              <w:rPr>
                <w:color w:val="000000" w:themeColor="text1"/>
                <w:u w:val="single"/>
                <w14:textFill>
                  <w14:solidFill>
                    <w14:schemeClr w14:val="tx1"/>
                  </w14:solidFill>
                </w14:textFill>
              </w:rPr>
              <w:t>产生医疗废物</w:t>
            </w:r>
            <w:r>
              <w:rPr>
                <w:rFonts w:hint="eastAsia"/>
                <w:color w:val="000000" w:themeColor="text1"/>
                <w:u w:val="single"/>
                <w:lang w:val="en-US" w:eastAsia="zh-CN"/>
                <w14:textFill>
                  <w14:solidFill>
                    <w14:schemeClr w14:val="tx1"/>
                  </w14:solidFill>
                </w14:textFill>
              </w:rPr>
              <w:t>4</w:t>
            </w:r>
            <w:r>
              <w:rPr>
                <w:color w:val="000000" w:themeColor="text1"/>
                <w:u w:val="single"/>
                <w14:textFill>
                  <w14:solidFill>
                    <w14:schemeClr w14:val="tx1"/>
                  </w14:solidFill>
                </w14:textFill>
              </w:rPr>
              <w:t>kg/d</w:t>
            </w:r>
            <w:r>
              <w:rPr>
                <w:rFonts w:hint="eastAsia"/>
                <w:color w:val="000000" w:themeColor="text1"/>
                <w:u w:val="single"/>
                <w14:textFill>
                  <w14:solidFill>
                    <w14:schemeClr w14:val="tx1"/>
                  </w14:solidFill>
                </w14:textFill>
              </w:rPr>
              <w:t>；</w:t>
            </w:r>
            <w:r>
              <w:rPr>
                <w:color w:val="000000" w:themeColor="text1"/>
                <w:u w:val="single"/>
                <w14:textFill>
                  <w14:solidFill>
                    <w14:schemeClr w14:val="tx1"/>
                  </w14:solidFill>
                </w14:textFill>
              </w:rPr>
              <w:t>门诊产生的锐器按每日每人次产生0.025kg计，产生医疗废物</w:t>
            </w:r>
            <w:r>
              <w:rPr>
                <w:rFonts w:hint="eastAsia"/>
                <w:color w:val="000000" w:themeColor="text1"/>
                <w:u w:val="single"/>
                <w:lang w:val="en-US" w:eastAsia="zh-CN"/>
                <w14:textFill>
                  <w14:solidFill>
                    <w14:schemeClr w14:val="tx1"/>
                  </w14:solidFill>
                </w14:textFill>
              </w:rPr>
              <w:t>2</w:t>
            </w:r>
            <w:r>
              <w:rPr>
                <w:color w:val="000000" w:themeColor="text1"/>
                <w:u w:val="single"/>
                <w14:textFill>
                  <w14:solidFill>
                    <w14:schemeClr w14:val="tx1"/>
                  </w14:solidFill>
                </w14:textFill>
              </w:rPr>
              <w:t>kg/d。因此本项目产生的损伤性废物量为</w:t>
            </w:r>
            <w:r>
              <w:rPr>
                <w:rFonts w:hint="eastAsia"/>
                <w:color w:val="000000" w:themeColor="text1"/>
                <w:u w:val="single"/>
                <w:lang w:val="en-US" w:eastAsia="zh-CN"/>
                <w14:textFill>
                  <w14:solidFill>
                    <w14:schemeClr w14:val="tx1"/>
                  </w14:solidFill>
                </w14:textFill>
              </w:rPr>
              <w:t>6</w:t>
            </w:r>
            <w:r>
              <w:rPr>
                <w:color w:val="000000" w:themeColor="text1"/>
                <w:u w:val="single"/>
                <w14:textFill>
                  <w14:solidFill>
                    <w14:schemeClr w14:val="tx1"/>
                  </w14:solidFill>
                </w14:textFill>
              </w:rPr>
              <w:t>kg/d（</w:t>
            </w:r>
            <w:r>
              <w:rPr>
                <w:rFonts w:hint="eastAsia"/>
                <w:color w:val="000000" w:themeColor="text1"/>
                <w:u w:val="single"/>
                <w:lang w:val="en-US" w:eastAsia="zh-CN"/>
                <w14:textFill>
                  <w14:solidFill>
                    <w14:schemeClr w14:val="tx1"/>
                  </w14:solidFill>
                </w14:textFill>
              </w:rPr>
              <w:t>2.19</w:t>
            </w:r>
            <w:r>
              <w:rPr>
                <w:color w:val="000000" w:themeColor="text1"/>
                <w:u w:val="single"/>
                <w14:textFill>
                  <w14:solidFill>
                    <w14:schemeClr w14:val="tx1"/>
                  </w14:solidFill>
                </w14:textFill>
              </w:rPr>
              <w:t>t/a）。</w:t>
            </w:r>
          </w:p>
          <w:p>
            <w:pPr>
              <w:pStyle w:val="7"/>
              <w:ind w:firstLine="480"/>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病理性废物</w:t>
            </w:r>
          </w:p>
          <w:p>
            <w:pPr>
              <w:pStyle w:val="7"/>
              <w:ind w:firstLine="480"/>
              <w:rPr>
                <w:color w:val="000000" w:themeColor="text1"/>
                <w14:textFill>
                  <w14:solidFill>
                    <w14:schemeClr w14:val="tx1"/>
                  </w14:solidFill>
                </w14:textFill>
              </w:rPr>
            </w:pPr>
            <w:r>
              <w:rPr>
                <w:color w:val="000000" w:themeColor="text1"/>
                <w14:textFill>
                  <w14:solidFill>
                    <w14:schemeClr w14:val="tx1"/>
                  </w14:solidFill>
                </w14:textFill>
              </w:rPr>
              <w:t>病理性废物主要包括手术及其他诊疗过程</w:t>
            </w:r>
            <w:r>
              <w:rPr>
                <w:rFonts w:hint="eastAsia"/>
                <w:color w:val="000000" w:themeColor="text1"/>
                <w:lang w:eastAsia="zh-CN"/>
                <w14:textFill>
                  <w14:solidFill>
                    <w14:schemeClr w14:val="tx1"/>
                  </w14:solidFill>
                </w14:textFill>
              </w:rPr>
              <w:t>病理切片</w:t>
            </w:r>
            <w:r>
              <w:rPr>
                <w:color w:val="000000" w:themeColor="text1"/>
                <w14:textFill>
                  <w14:solidFill>
                    <w14:schemeClr w14:val="tx1"/>
                  </w14:solidFill>
                </w14:textFill>
              </w:rPr>
              <w:t>后废弃的人体组织、病理蜡块等，属于医疗废物，废物类别为HW</w:t>
            </w:r>
            <w:r>
              <w:rPr>
                <w:rFonts w:hint="eastAsia"/>
                <w:color w:val="000000" w:themeColor="text1"/>
                <w14:textFill>
                  <w14:solidFill>
                    <w14:schemeClr w14:val="tx1"/>
                  </w14:solidFill>
                </w14:textFill>
              </w:rPr>
              <w:t>01</w:t>
            </w:r>
            <w:r>
              <w:rPr>
                <w:color w:val="000000" w:themeColor="text1"/>
                <w14:textFill>
                  <w14:solidFill>
                    <w14:schemeClr w14:val="tx1"/>
                  </w14:solidFill>
                </w14:textFill>
              </w:rPr>
              <w:t>，废物代码8</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1-003-01。类比同规模</w:t>
            </w:r>
            <w:r>
              <w:rPr>
                <w:rFonts w:hint="eastAsia"/>
                <w:color w:val="000000" w:themeColor="text1"/>
                <w14:textFill>
                  <w14:solidFill>
                    <w14:schemeClr w14:val="tx1"/>
                  </w14:solidFill>
                </w14:textFill>
              </w:rPr>
              <w:t>乡镇卫生院</w:t>
            </w:r>
            <w:r>
              <w:rPr>
                <w:color w:val="000000" w:themeColor="text1"/>
                <w14:textFill>
                  <w14:solidFill>
                    <w14:schemeClr w14:val="tx1"/>
                  </w14:solidFill>
                </w14:textFill>
              </w:rPr>
              <w:t>现状产生量为1kg/d（0.365t/a）。</w:t>
            </w:r>
          </w:p>
          <w:p>
            <w:pPr>
              <w:pStyle w:val="7"/>
              <w:ind w:firstLine="480"/>
              <w:rPr>
                <w:color w:val="000000" w:themeColor="text1"/>
                <w14:textFill>
                  <w14:solidFill>
                    <w14:schemeClr w14:val="tx1"/>
                  </w14:solidFill>
                </w14:textFill>
              </w:rPr>
            </w:pPr>
            <w:r>
              <w:rPr>
                <w:color w:val="000000" w:themeColor="text1"/>
                <w14:textFill>
                  <w14:solidFill>
                    <w14:schemeClr w14:val="tx1"/>
                  </w14:solidFill>
                </w14:textFill>
              </w:rPr>
              <w:t>D</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化学性废物</w:t>
            </w:r>
          </w:p>
          <w:p>
            <w:pPr>
              <w:pStyle w:val="7"/>
              <w:ind w:firstLine="480"/>
              <w:rPr>
                <w:color w:val="000000" w:themeColor="text1"/>
                <w14:textFill>
                  <w14:solidFill>
                    <w14:schemeClr w14:val="tx1"/>
                  </w14:solidFill>
                </w14:textFill>
              </w:rPr>
            </w:pPr>
            <w:r>
              <w:rPr>
                <w:color w:val="000000" w:themeColor="text1"/>
                <w14:textFill>
                  <w14:solidFill>
                    <w14:schemeClr w14:val="tx1"/>
                  </w14:solidFill>
                </w14:textFill>
              </w:rPr>
              <w:t>化学性废物主要包括废弃的化学消毒剂，废弃的汞血压计、汞温度计等，属于医疗废物，废物类别为HW01，废物代码8</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1-004-01。类比同规模综合性医院现状产生量为产生量约为0.1kg/d（0.037t/a）。</w:t>
            </w:r>
          </w:p>
          <w:p>
            <w:pPr>
              <w:pStyle w:val="7"/>
              <w:ind w:firstLine="480"/>
              <w:rPr>
                <w:color w:val="000000" w:themeColor="text1"/>
                <w14:textFill>
                  <w14:solidFill>
                    <w14:schemeClr w14:val="tx1"/>
                  </w14:solidFill>
                </w14:textFill>
              </w:rPr>
            </w:pPr>
            <w:r>
              <w:rPr>
                <w:color w:val="000000" w:themeColor="text1"/>
                <w14:textFill>
                  <w14:solidFill>
                    <w14:schemeClr w14:val="tx1"/>
                  </w14:solidFill>
                </w14:textFill>
              </w:rPr>
              <w:t>E</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药物性废物</w:t>
            </w:r>
          </w:p>
          <w:p>
            <w:pPr>
              <w:pStyle w:val="7"/>
              <w:ind w:firstLine="480"/>
              <w:rPr>
                <w:color w:val="000000" w:themeColor="text1"/>
                <w14:textFill>
                  <w14:solidFill>
                    <w14:schemeClr w14:val="tx1"/>
                  </w14:solidFill>
                </w14:textFill>
              </w:rPr>
            </w:pPr>
            <w:r>
              <w:rPr>
                <w:color w:val="000000" w:themeColor="text1"/>
                <w14:textFill>
                  <w14:solidFill>
                    <w14:schemeClr w14:val="tx1"/>
                  </w14:solidFill>
                </w14:textFill>
              </w:rPr>
              <w:t>药物性废物主要是医院过期的、废弃的药品、疫苗、从病房处退回的药品和淘汰的药物等，属于医疗废物，废物类别为HW</w:t>
            </w:r>
            <w:r>
              <w:rPr>
                <w:rFonts w:hint="eastAsia"/>
                <w:color w:val="000000" w:themeColor="text1"/>
                <w14:textFill>
                  <w14:solidFill>
                    <w14:schemeClr w14:val="tx1"/>
                  </w14:solidFill>
                </w14:textFill>
              </w:rPr>
              <w:t>01</w:t>
            </w:r>
            <w:r>
              <w:rPr>
                <w:color w:val="000000" w:themeColor="text1"/>
                <w14:textFill>
                  <w14:solidFill>
                    <w14:schemeClr w14:val="tx1"/>
                  </w14:solidFill>
                </w14:textFill>
              </w:rPr>
              <w:t>，废物代码8</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1-005-01。类比同规模</w:t>
            </w:r>
            <w:r>
              <w:rPr>
                <w:rFonts w:hint="eastAsia"/>
                <w:color w:val="000000" w:themeColor="text1"/>
                <w14:textFill>
                  <w14:solidFill>
                    <w14:schemeClr w14:val="tx1"/>
                  </w14:solidFill>
                </w14:textFill>
              </w:rPr>
              <w:t>乡镇卫生院</w:t>
            </w:r>
            <w:r>
              <w:rPr>
                <w:color w:val="000000" w:themeColor="text1"/>
                <w14:textFill>
                  <w14:solidFill>
                    <w14:schemeClr w14:val="tx1"/>
                  </w14:solidFill>
                </w14:textFill>
              </w:rPr>
              <w:t>现状产生量为0.2kg/d（0.073t/a）。</w:t>
            </w:r>
          </w:p>
          <w:p>
            <w:pPr>
              <w:pStyle w:val="7"/>
              <w:ind w:firstLine="480"/>
              <w:rPr>
                <w:color w:val="000000" w:themeColor="text1"/>
                <w14:textFill>
                  <w14:solidFill>
                    <w14:schemeClr w14:val="tx1"/>
                  </w14:solidFill>
                </w14:textFill>
              </w:rPr>
            </w:pPr>
            <w:r>
              <w:rPr>
                <w:color w:val="000000" w:themeColor="text1"/>
                <w:u w:val="single"/>
                <w14:textFill>
                  <w14:solidFill>
                    <w14:schemeClr w14:val="tx1"/>
                  </w14:solidFill>
                </w14:textFill>
              </w:rPr>
              <w:t>项目医疗废物总产生量为</w:t>
            </w:r>
            <w:r>
              <w:rPr>
                <w:rFonts w:hint="eastAsia"/>
                <w:color w:val="000000" w:themeColor="text1"/>
                <w:u w:val="single"/>
                <w14:textFill>
                  <w14:solidFill>
                    <w14:schemeClr w14:val="tx1"/>
                  </w14:solidFill>
                </w14:textFill>
              </w:rPr>
              <w:t>1</w:t>
            </w:r>
            <w:r>
              <w:rPr>
                <w:rFonts w:hint="eastAsia"/>
                <w:color w:val="000000" w:themeColor="text1"/>
                <w:u w:val="single"/>
                <w:lang w:val="en-US" w:eastAsia="zh-CN"/>
                <w14:textFill>
                  <w14:solidFill>
                    <w14:schemeClr w14:val="tx1"/>
                  </w14:solidFill>
                </w14:textFill>
              </w:rPr>
              <w:t>5.3</w:t>
            </w:r>
            <w:r>
              <w:rPr>
                <w:color w:val="000000" w:themeColor="text1"/>
                <w:u w:val="single"/>
                <w14:textFill>
                  <w14:solidFill>
                    <w14:schemeClr w14:val="tx1"/>
                  </w14:solidFill>
                </w14:textFill>
              </w:rPr>
              <w:t>kg/d（</w:t>
            </w:r>
            <w:r>
              <w:rPr>
                <w:rFonts w:hint="eastAsia"/>
                <w:color w:val="000000" w:themeColor="text1"/>
                <w:u w:val="single"/>
                <w:lang w:val="en-US" w:eastAsia="zh-CN"/>
                <w14:textFill>
                  <w14:solidFill>
                    <w14:schemeClr w14:val="tx1"/>
                  </w14:solidFill>
                </w14:textFill>
              </w:rPr>
              <w:t>5.58</w:t>
            </w:r>
            <w:r>
              <w:rPr>
                <w:color w:val="000000" w:themeColor="text1"/>
                <w:u w:val="single"/>
                <w14:textFill>
                  <w14:solidFill>
                    <w14:schemeClr w14:val="tx1"/>
                  </w14:solidFill>
                </w14:textFill>
              </w:rPr>
              <w:t>t/a）</w:t>
            </w:r>
            <w:r>
              <w:rPr>
                <w:color w:val="000000" w:themeColor="text1"/>
                <w14:textFill>
                  <w14:solidFill>
                    <w14:schemeClr w14:val="tx1"/>
                  </w14:solidFill>
                </w14:textFill>
              </w:rPr>
              <w:t>。</w:t>
            </w:r>
          </w:p>
          <w:p>
            <w:pPr>
              <w:pStyle w:val="7"/>
              <w:ind w:firstLine="480"/>
              <w:rPr>
                <w:color w:val="000000" w:themeColor="text1"/>
                <w14:textFill>
                  <w14:solidFill>
                    <w14:schemeClr w14:val="tx1"/>
                  </w14:solidFill>
                </w14:textFill>
              </w:rPr>
            </w:pPr>
            <w:r>
              <w:rPr>
                <w:color w:val="000000" w:themeColor="text1"/>
                <w14:textFill>
                  <w14:solidFill>
                    <w14:schemeClr w14:val="tx1"/>
                  </w14:solidFill>
                </w14:textFill>
              </w:rPr>
              <w:t>（3）污水处理站产生的污泥</w:t>
            </w:r>
          </w:p>
          <w:p>
            <w:pPr>
              <w:pStyle w:val="7"/>
              <w:ind w:firstLine="480"/>
              <w:jc w:val="both"/>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污水处理设备产生的污泥量一般每立方米污水产泥量约有</w:t>
            </w:r>
            <w:r>
              <w:rPr>
                <w:color w:val="000000" w:themeColor="text1"/>
                <w:u w:val="single"/>
                <w14:textFill>
                  <w14:solidFill>
                    <w14:schemeClr w14:val="tx1"/>
                  </w14:solidFill>
                </w14:textFill>
              </w:rPr>
              <w:t>0.15kg</w:t>
            </w:r>
            <w:r>
              <w:rPr>
                <w:rFonts w:hint="eastAsia"/>
                <w:color w:val="000000" w:themeColor="text1"/>
                <w:u w:val="single"/>
                <w14:textFill>
                  <w14:solidFill>
                    <w14:schemeClr w14:val="tx1"/>
                  </w14:solidFill>
                </w14:textFill>
              </w:rPr>
              <w:t>（含水率</w:t>
            </w:r>
            <w:r>
              <w:rPr>
                <w:color w:val="000000" w:themeColor="text1"/>
                <w:u w:val="single"/>
                <w14:textFill>
                  <w14:solidFill>
                    <w14:schemeClr w14:val="tx1"/>
                  </w14:solidFill>
                </w14:textFill>
              </w:rPr>
              <w:t>98%</w:t>
            </w:r>
            <w:r>
              <w:rPr>
                <w:rFonts w:hint="eastAsia"/>
                <w:color w:val="000000" w:themeColor="text1"/>
                <w:u w:val="single"/>
                <w14:textFill>
                  <w14:solidFill>
                    <w14:schemeClr w14:val="tx1"/>
                  </w14:solidFill>
                </w14:textFill>
              </w:rPr>
              <w:t>），本项目污水排放量为</w:t>
            </w:r>
            <w:r>
              <w:rPr>
                <w:rFonts w:hint="eastAsia"/>
                <w:color w:val="000000" w:themeColor="text1"/>
                <w:u w:val="single"/>
                <w:lang w:val="en-US" w:eastAsia="zh-CN"/>
                <w14:textFill>
                  <w14:solidFill>
                    <w14:schemeClr w14:val="tx1"/>
                  </w14:solidFill>
                </w14:textFill>
              </w:rPr>
              <w:t>9.56</w:t>
            </w:r>
            <w:r>
              <w:rPr>
                <w:color w:val="000000" w:themeColor="text1"/>
                <w:u w:val="single"/>
                <w14:textFill>
                  <w14:solidFill>
                    <w14:schemeClr w14:val="tx1"/>
                  </w14:solidFill>
                </w14:textFill>
              </w:rPr>
              <w:t>m³/d</w:t>
            </w:r>
            <w:r>
              <w:rPr>
                <w:rFonts w:hint="eastAsia"/>
                <w:color w:val="000000" w:themeColor="text1"/>
                <w:u w:val="single"/>
                <w14:textFill>
                  <w14:solidFill>
                    <w14:schemeClr w14:val="tx1"/>
                  </w14:solidFill>
                </w14:textFill>
              </w:rPr>
              <w:t>，则污泥产生量为</w:t>
            </w:r>
            <w:r>
              <w:rPr>
                <w:rFonts w:hint="eastAsia"/>
                <w:color w:val="000000" w:themeColor="text1"/>
                <w:u w:val="single"/>
                <w:lang w:val="en-US" w:eastAsia="zh-CN"/>
                <w14:textFill>
                  <w14:solidFill>
                    <w14:schemeClr w14:val="tx1"/>
                  </w14:solidFill>
                </w14:textFill>
              </w:rPr>
              <w:t>1.43</w:t>
            </w:r>
            <w:r>
              <w:rPr>
                <w:color w:val="000000" w:themeColor="text1"/>
                <w:u w:val="single"/>
                <w14:textFill>
                  <w14:solidFill>
                    <w14:schemeClr w14:val="tx1"/>
                  </w14:solidFill>
                </w14:textFill>
              </w:rPr>
              <w:t>kg/d</w:t>
            </w:r>
            <w:r>
              <w:rPr>
                <w:rFonts w:hint="eastAsia"/>
                <w:color w:val="000000" w:themeColor="text1"/>
                <w:u w:val="single"/>
                <w14:textFill>
                  <w14:solidFill>
                    <w14:schemeClr w14:val="tx1"/>
                  </w14:solidFill>
                </w14:textFill>
              </w:rPr>
              <w:t>，0.</w:t>
            </w:r>
            <w:r>
              <w:rPr>
                <w:rFonts w:hint="eastAsia"/>
                <w:color w:val="000000" w:themeColor="text1"/>
                <w:u w:val="single"/>
                <w:lang w:val="en-US" w:eastAsia="zh-CN"/>
                <w14:textFill>
                  <w14:solidFill>
                    <w14:schemeClr w14:val="tx1"/>
                  </w14:solidFill>
                </w14:textFill>
              </w:rPr>
              <w:t>52</w:t>
            </w:r>
            <w:r>
              <w:rPr>
                <w:color w:val="000000" w:themeColor="text1"/>
                <w:u w:val="single"/>
                <w14:textFill>
                  <w14:solidFill>
                    <w14:schemeClr w14:val="tx1"/>
                  </w14:solidFill>
                </w14:textFill>
              </w:rPr>
              <w:t>t/a</w:t>
            </w:r>
            <w:r>
              <w:rPr>
                <w:rFonts w:hint="eastAsia"/>
                <w:color w:val="000000" w:themeColor="text1"/>
                <w:u w:val="single"/>
                <w14:textFill>
                  <w14:solidFill>
                    <w14:schemeClr w14:val="tx1"/>
                  </w14:solidFill>
                </w14:textFill>
              </w:rPr>
              <w:t>。根据《危险废物名录》（</w:t>
            </w:r>
            <w:r>
              <w:rPr>
                <w:color w:val="000000" w:themeColor="text1"/>
                <w:u w:val="single"/>
                <w14:textFill>
                  <w14:solidFill>
                    <w14:schemeClr w14:val="tx1"/>
                  </w14:solidFill>
                </w14:textFill>
              </w:rPr>
              <w:t>202</w:t>
            </w:r>
            <w:r>
              <w:rPr>
                <w:rFonts w:hint="eastAsia"/>
                <w:color w:val="000000" w:themeColor="text1"/>
                <w:u w:val="single"/>
                <w14:textFill>
                  <w14:solidFill>
                    <w14:schemeClr w14:val="tx1"/>
                  </w14:solidFill>
                </w14:textFill>
              </w:rPr>
              <w:t>1年版），该部分废物属于危险废物HW01（841-001-01）。</w:t>
            </w:r>
          </w:p>
          <w:p>
            <w:pPr>
              <w:pStyle w:val="7"/>
              <w:ind w:firstLine="480"/>
              <w:rPr>
                <w:rFonts w:hint="eastAsia"/>
                <w:color w:val="000000" w:themeColor="text1"/>
                <w:u w:val="none"/>
                <w:lang w:eastAsia="zh-CN"/>
                <w14:textFill>
                  <w14:solidFill>
                    <w14:schemeClr w14:val="tx1"/>
                  </w14:solidFill>
                </w14:textFill>
              </w:rPr>
            </w:pPr>
            <w:r>
              <w:rPr>
                <w:color w:val="000000" w:themeColor="text1"/>
                <w:u w:val="none"/>
                <w14:textFill>
                  <w14:solidFill>
                    <w14:schemeClr w14:val="tx1"/>
                  </w14:solidFill>
                </w14:textFill>
              </w:rPr>
              <w:t>根据《医疗机构水污染物排放标准》（GB18466-2005）4.3条栅渣、化粪池和污水处理站污泥属危险废物，应按危险废物进行处理和处置。根据《医院污水处理工程技术规范》（HJ2029-2013）6.3.5.3条规定，医院污泥按危险废物处理处置要求，由具有危险废物处理处置资质的单位进行集中处置。环评要求建设单位按照标准及规范要求，</w:t>
            </w:r>
            <w:r>
              <w:rPr>
                <w:rFonts w:hint="eastAsia"/>
                <w:color w:val="auto"/>
                <w:u w:val="none"/>
              </w:rPr>
              <w:t>产生的污泥需脱水消毒（投加石灰），污泥清掏前应进行监测，当粪大肠菌群数≤100MPN/kg、蛔虫卵死亡率/%＞95时，污泥才可进行清掏，由岳阳市方向固废安全处置有限公司负责清掏、转运及处置，一年清掏1次，本项目不设置污泥处理池，不自行设置污泥处置场所。</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（4）废包装材料</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医院使用的药品、设备等的外包装材料塑料袋、纸盒等，类比同类型医院，一般的医药包装材料遗弃物，如盒、纸箱类等，产生量约为</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，收集后交资源回收公司处理。</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（5）未污染的一次性塑料输液瓶</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袋</w:t>
            </w:r>
            <w:r>
              <w:rPr>
                <w:rFonts w:hint="eastAsia"/>
                <w:color w:val="000000" w:themeColor="text1"/>
                <w:lang w:eastAsia="zh-CN"/>
                <w14:textFill>
                  <w14:solidFill>
                    <w14:schemeClr w14:val="tx1"/>
                  </w14:solidFill>
                </w14:textFill>
              </w:rPr>
              <w:t>）</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医疗机构运营期间会产生大量废塑料瓶</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袋</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及输液胶管，根据《关于在医疗机构推进生活垃圾分类管理的通知》</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国卫办医发</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2017</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30号的规定，对于未被患者血液、体液和排泄物等污染的输液瓶</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袋</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，应当在其与输液管连接处去除输液管后单独集中回收、存放。据类比过往数据，本未被污染的一次性塑料输液瓶</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袋</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产生量1.0t/a，一次性塑料输液瓶</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袋</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集中收集交专门单位回收处置。</w:t>
            </w:r>
          </w:p>
          <w:p>
            <w:pPr>
              <w:pStyle w:val="7"/>
              <w:ind w:firstLine="48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本项目固体废物产生情况见下表。</w:t>
            </w:r>
          </w:p>
          <w:p>
            <w:pPr>
              <w:pStyle w:val="49"/>
              <w:rPr>
                <w:color w:val="000000" w:themeColor="text1"/>
                <w14:textFill>
                  <w14:solidFill>
                    <w14:schemeClr w14:val="tx1"/>
                  </w14:solidFill>
                </w14:textFill>
              </w:rPr>
            </w:pPr>
            <w:r>
              <w:rPr>
                <w:rFonts w:hint="eastAsia"/>
                <w:color w:val="000000" w:themeColor="text1"/>
                <w14:textFill>
                  <w14:solidFill>
                    <w14:schemeClr w14:val="tx1"/>
                  </w14:solidFill>
                </w14:textFill>
              </w:rPr>
              <w:t>表4.2-16 本项目固体废物产生情况一览表</w:t>
            </w:r>
          </w:p>
          <w:tbl>
            <w:tblPr>
              <w:tblStyle w:val="32"/>
              <w:tblW w:w="79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1532"/>
              <w:gridCol w:w="1480"/>
              <w:gridCol w:w="1253"/>
              <w:gridCol w:w="2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6" w:type="dxa"/>
                  <w:tcBorders>
                    <w:tl2br w:val="nil"/>
                    <w:tr2bl w:val="nil"/>
                  </w:tcBorders>
                  <w:vAlign w:val="center"/>
                </w:tcPr>
                <w:p>
                  <w:pPr>
                    <w:pStyle w:val="48"/>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532" w:type="dxa"/>
                  <w:tcBorders>
                    <w:tl2br w:val="nil"/>
                    <w:tr2bl w:val="nil"/>
                  </w:tcBorders>
                  <w:vAlign w:val="center"/>
                </w:tcPr>
                <w:p>
                  <w:pPr>
                    <w:pStyle w:val="48"/>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污染物名称</w:t>
                  </w:r>
                </w:p>
              </w:tc>
              <w:tc>
                <w:tcPr>
                  <w:tcW w:w="1480" w:type="dxa"/>
                  <w:tcBorders>
                    <w:tl2br w:val="nil"/>
                    <w:tr2bl w:val="nil"/>
                  </w:tcBorders>
                  <w:vAlign w:val="center"/>
                </w:tcPr>
                <w:p>
                  <w:pPr>
                    <w:pStyle w:val="48"/>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产生量（</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w:t>
                  </w:r>
                </w:p>
              </w:tc>
              <w:tc>
                <w:tcPr>
                  <w:tcW w:w="1253" w:type="dxa"/>
                  <w:tcBorders>
                    <w:tl2br w:val="nil"/>
                    <w:tr2bl w:val="nil"/>
                  </w:tcBorders>
                  <w:vAlign w:val="center"/>
                </w:tcPr>
                <w:p>
                  <w:pPr>
                    <w:pStyle w:val="48"/>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废物属性</w:t>
                  </w:r>
                </w:p>
              </w:tc>
              <w:tc>
                <w:tcPr>
                  <w:tcW w:w="2815" w:type="dxa"/>
                  <w:tcBorders>
                    <w:tl2br w:val="nil"/>
                    <w:tr2bl w:val="nil"/>
                  </w:tcBorders>
                  <w:vAlign w:val="center"/>
                </w:tcPr>
                <w:p>
                  <w:pPr>
                    <w:pStyle w:val="48"/>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836" w:type="dxa"/>
                  <w:tcBorders>
                    <w:tl2br w:val="nil"/>
                    <w:tr2bl w:val="nil"/>
                  </w:tcBorders>
                  <w:vAlign w:val="center"/>
                </w:tcPr>
                <w:p>
                  <w:pPr>
                    <w:pStyle w:val="48"/>
                    <w:spacing w:line="276" w:lineRule="auto"/>
                    <w:rPr>
                      <w:color w:val="000000" w:themeColor="text1"/>
                      <w14:textFill>
                        <w14:solidFill>
                          <w14:schemeClr w14:val="tx1"/>
                        </w14:solidFill>
                      </w14:textFill>
                    </w:rPr>
                  </w:pPr>
                  <w:r>
                    <w:rPr>
                      <w:color w:val="000000" w:themeColor="text1"/>
                      <w14:textFill>
                        <w14:solidFill>
                          <w14:schemeClr w14:val="tx1"/>
                        </w14:solidFill>
                      </w14:textFill>
                    </w:rPr>
                    <w:t>1</w:t>
                  </w:r>
                </w:p>
              </w:tc>
              <w:tc>
                <w:tcPr>
                  <w:tcW w:w="1532" w:type="dxa"/>
                  <w:tcBorders>
                    <w:tl2br w:val="nil"/>
                    <w:tr2bl w:val="nil"/>
                  </w:tcBorders>
                  <w:vAlign w:val="center"/>
                </w:tcPr>
                <w:p>
                  <w:pPr>
                    <w:pStyle w:val="48"/>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1480" w:type="dxa"/>
                  <w:tcBorders>
                    <w:tl2br w:val="nil"/>
                    <w:tr2bl w:val="nil"/>
                  </w:tcBorders>
                  <w:vAlign w:val="center"/>
                </w:tcPr>
                <w:p>
                  <w:pPr>
                    <w:pStyle w:val="48"/>
                    <w:spacing w:line="276" w:lineRule="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22.81</w:t>
                  </w:r>
                </w:p>
              </w:tc>
              <w:tc>
                <w:tcPr>
                  <w:tcW w:w="1253" w:type="dxa"/>
                  <w:tcBorders>
                    <w:tl2br w:val="nil"/>
                    <w:tr2bl w:val="nil"/>
                  </w:tcBorders>
                  <w:vAlign w:val="center"/>
                </w:tcPr>
                <w:p>
                  <w:pPr>
                    <w:pStyle w:val="48"/>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一般</w:t>
                  </w:r>
                  <w:r>
                    <w:rPr>
                      <w:color w:val="000000" w:themeColor="text1"/>
                      <w14:textFill>
                        <w14:solidFill>
                          <w14:schemeClr w14:val="tx1"/>
                        </w14:solidFill>
                      </w14:textFill>
                    </w:rPr>
                    <w:t>废物</w:t>
                  </w:r>
                </w:p>
              </w:tc>
              <w:tc>
                <w:tcPr>
                  <w:tcW w:w="2815" w:type="dxa"/>
                  <w:tcBorders>
                    <w:tl2br w:val="nil"/>
                    <w:tr2bl w:val="nil"/>
                  </w:tcBorders>
                  <w:vAlign w:val="center"/>
                </w:tcPr>
                <w:p>
                  <w:pPr>
                    <w:pStyle w:val="48"/>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分类收集后由环卫部门处理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6" w:type="dxa"/>
                  <w:tcBorders>
                    <w:tl2br w:val="nil"/>
                    <w:tr2bl w:val="nil"/>
                  </w:tcBorders>
                  <w:vAlign w:val="center"/>
                </w:tcPr>
                <w:p>
                  <w:pPr>
                    <w:pStyle w:val="48"/>
                    <w:spacing w:line="276" w:lineRule="auto"/>
                    <w:rPr>
                      <w:color w:val="000000" w:themeColor="text1"/>
                      <w14:textFill>
                        <w14:solidFill>
                          <w14:schemeClr w14:val="tx1"/>
                        </w14:solidFill>
                      </w14:textFill>
                    </w:rPr>
                  </w:pPr>
                  <w:r>
                    <w:rPr>
                      <w:color w:val="000000" w:themeColor="text1"/>
                      <w14:textFill>
                        <w14:solidFill>
                          <w14:schemeClr w14:val="tx1"/>
                        </w14:solidFill>
                      </w14:textFill>
                    </w:rPr>
                    <w:t>2</w:t>
                  </w:r>
                </w:p>
              </w:tc>
              <w:tc>
                <w:tcPr>
                  <w:tcW w:w="1532" w:type="dxa"/>
                  <w:tcBorders>
                    <w:tl2br w:val="nil"/>
                    <w:tr2bl w:val="nil"/>
                  </w:tcBorders>
                  <w:vAlign w:val="center"/>
                </w:tcPr>
                <w:p>
                  <w:pPr>
                    <w:pStyle w:val="48"/>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废包装材料</w:t>
                  </w:r>
                </w:p>
              </w:tc>
              <w:tc>
                <w:tcPr>
                  <w:tcW w:w="1480" w:type="dxa"/>
                  <w:tcBorders>
                    <w:tl2br w:val="nil"/>
                    <w:tr2bl w:val="nil"/>
                  </w:tcBorders>
                  <w:vAlign w:val="center"/>
                </w:tcPr>
                <w:p>
                  <w:pPr>
                    <w:pStyle w:val="48"/>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253" w:type="dxa"/>
                  <w:tcBorders>
                    <w:tl2br w:val="nil"/>
                    <w:tr2bl w:val="nil"/>
                  </w:tcBorders>
                  <w:vAlign w:val="center"/>
                </w:tcPr>
                <w:p>
                  <w:pPr>
                    <w:pStyle w:val="48"/>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一般</w:t>
                  </w:r>
                  <w:r>
                    <w:rPr>
                      <w:color w:val="000000" w:themeColor="text1"/>
                      <w14:textFill>
                        <w14:solidFill>
                          <w14:schemeClr w14:val="tx1"/>
                        </w14:solidFill>
                      </w14:textFill>
                    </w:rPr>
                    <w:t>废物</w:t>
                  </w:r>
                </w:p>
              </w:tc>
              <w:tc>
                <w:tcPr>
                  <w:tcW w:w="2815" w:type="dxa"/>
                  <w:tcBorders>
                    <w:tl2br w:val="nil"/>
                    <w:tr2bl w:val="nil"/>
                  </w:tcBorders>
                  <w:vAlign w:val="center"/>
                </w:tcPr>
                <w:p>
                  <w:pPr>
                    <w:pStyle w:val="48"/>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收集后交资源回收公司处理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6" w:type="dxa"/>
                  <w:tcBorders>
                    <w:tl2br w:val="nil"/>
                    <w:tr2bl w:val="nil"/>
                  </w:tcBorders>
                  <w:vAlign w:val="center"/>
                </w:tcPr>
                <w:p>
                  <w:pPr>
                    <w:pStyle w:val="48"/>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532" w:type="dxa"/>
                  <w:tcBorders>
                    <w:tl2br w:val="nil"/>
                    <w:tr2bl w:val="nil"/>
                  </w:tcBorders>
                  <w:vAlign w:val="center"/>
                </w:tcPr>
                <w:p>
                  <w:pPr>
                    <w:pStyle w:val="48"/>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未污染的一次性塑料输液瓶</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袋</w:t>
                  </w:r>
                  <w:r>
                    <w:rPr>
                      <w:rFonts w:hint="eastAsia"/>
                      <w:color w:val="000000" w:themeColor="text1"/>
                      <w:lang w:eastAsia="zh-CN"/>
                      <w14:textFill>
                        <w14:solidFill>
                          <w14:schemeClr w14:val="tx1"/>
                        </w14:solidFill>
                      </w14:textFill>
                    </w:rPr>
                    <w:t>）</w:t>
                  </w:r>
                </w:p>
              </w:tc>
              <w:tc>
                <w:tcPr>
                  <w:tcW w:w="1480" w:type="dxa"/>
                  <w:tcBorders>
                    <w:tl2br w:val="nil"/>
                    <w:tr2bl w:val="nil"/>
                  </w:tcBorders>
                  <w:vAlign w:val="center"/>
                </w:tcPr>
                <w:p>
                  <w:pPr>
                    <w:pStyle w:val="48"/>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253" w:type="dxa"/>
                  <w:tcBorders>
                    <w:tl2br w:val="nil"/>
                    <w:tr2bl w:val="nil"/>
                  </w:tcBorders>
                  <w:vAlign w:val="center"/>
                </w:tcPr>
                <w:p>
                  <w:pPr>
                    <w:pStyle w:val="48"/>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一般</w:t>
                  </w:r>
                  <w:r>
                    <w:rPr>
                      <w:color w:val="000000" w:themeColor="text1"/>
                      <w14:textFill>
                        <w14:solidFill>
                          <w14:schemeClr w14:val="tx1"/>
                        </w14:solidFill>
                      </w14:textFill>
                    </w:rPr>
                    <w:t>废物</w:t>
                  </w:r>
                </w:p>
              </w:tc>
              <w:tc>
                <w:tcPr>
                  <w:tcW w:w="2815" w:type="dxa"/>
                  <w:tcBorders>
                    <w:tl2br w:val="nil"/>
                    <w:tr2bl w:val="nil"/>
                  </w:tcBorders>
                  <w:vAlign w:val="center"/>
                </w:tcPr>
                <w:p>
                  <w:pPr>
                    <w:pStyle w:val="48"/>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委托专门单位回收处置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6" w:type="dxa"/>
                  <w:tcBorders>
                    <w:tl2br w:val="nil"/>
                    <w:tr2bl w:val="nil"/>
                  </w:tcBorders>
                  <w:vAlign w:val="center"/>
                </w:tcPr>
                <w:p>
                  <w:pPr>
                    <w:pStyle w:val="48"/>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532" w:type="dxa"/>
                  <w:tcBorders>
                    <w:tl2br w:val="nil"/>
                    <w:tr2bl w:val="nil"/>
                  </w:tcBorders>
                  <w:vAlign w:val="center"/>
                </w:tcPr>
                <w:p>
                  <w:pPr>
                    <w:pStyle w:val="48"/>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医疗废物</w:t>
                  </w:r>
                </w:p>
              </w:tc>
              <w:tc>
                <w:tcPr>
                  <w:tcW w:w="1480" w:type="dxa"/>
                  <w:tcBorders>
                    <w:tl2br w:val="nil"/>
                    <w:tr2bl w:val="nil"/>
                  </w:tcBorders>
                  <w:vAlign w:val="center"/>
                </w:tcPr>
                <w:p>
                  <w:pPr>
                    <w:pStyle w:val="48"/>
                    <w:spacing w:line="276" w:lineRule="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5.58</w:t>
                  </w:r>
                </w:p>
              </w:tc>
              <w:tc>
                <w:tcPr>
                  <w:tcW w:w="1253" w:type="dxa"/>
                  <w:tcBorders>
                    <w:tl2br w:val="nil"/>
                    <w:tr2bl w:val="nil"/>
                  </w:tcBorders>
                  <w:vAlign w:val="center"/>
                </w:tcPr>
                <w:p>
                  <w:pPr>
                    <w:pStyle w:val="48"/>
                    <w:spacing w:line="276" w:lineRule="auto"/>
                    <w:rPr>
                      <w:color w:val="000000" w:themeColor="text1"/>
                      <w14:textFill>
                        <w14:solidFill>
                          <w14:schemeClr w14:val="tx1"/>
                        </w14:solidFill>
                      </w14:textFill>
                    </w:rPr>
                  </w:pPr>
                  <w:r>
                    <w:rPr>
                      <w:color w:val="000000" w:themeColor="text1"/>
                      <w14:textFill>
                        <w14:solidFill>
                          <w14:schemeClr w14:val="tx1"/>
                        </w14:solidFill>
                      </w14:textFill>
                    </w:rPr>
                    <w:t>危险废物</w:t>
                  </w:r>
                </w:p>
              </w:tc>
              <w:tc>
                <w:tcPr>
                  <w:tcW w:w="2815" w:type="dxa"/>
                  <w:vMerge w:val="restart"/>
                  <w:tcBorders>
                    <w:tl2br w:val="nil"/>
                    <w:tr2bl w:val="nil"/>
                  </w:tcBorders>
                  <w:vAlign w:val="center"/>
                </w:tcPr>
                <w:p>
                  <w:pPr>
                    <w:pStyle w:val="48"/>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暂存于医疗废物暂存间后委</w:t>
                  </w:r>
                </w:p>
                <w:p>
                  <w:pPr>
                    <w:pStyle w:val="48"/>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托岳阳市方向固废安全处置有限公司定期清运和处置，该公司属于岳阳市定点的医疗废物集中处置单位，具备危险废物经营许可证。该公司危废资质类别包括HW01中的5类，能满足危废处置的要求，见附件。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6" w:type="dxa"/>
                  <w:tcBorders>
                    <w:tl2br w:val="nil"/>
                    <w:tr2bl w:val="nil"/>
                  </w:tcBorders>
                  <w:vAlign w:val="center"/>
                </w:tcPr>
                <w:p>
                  <w:pPr>
                    <w:pStyle w:val="48"/>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532" w:type="dxa"/>
                  <w:tcBorders>
                    <w:tl2br w:val="nil"/>
                    <w:tr2bl w:val="nil"/>
                  </w:tcBorders>
                  <w:vAlign w:val="center"/>
                </w:tcPr>
                <w:p>
                  <w:pPr>
                    <w:pStyle w:val="48"/>
                    <w:spacing w:line="276" w:lineRule="auto"/>
                    <w:rPr>
                      <w:color w:val="000000" w:themeColor="text1"/>
                      <w14:textFill>
                        <w14:solidFill>
                          <w14:schemeClr w14:val="tx1"/>
                        </w14:solidFill>
                      </w14:textFill>
                    </w:rPr>
                  </w:pPr>
                  <w:r>
                    <w:rPr>
                      <w:color w:val="000000" w:themeColor="text1"/>
                      <w14:textFill>
                        <w14:solidFill>
                          <w14:schemeClr w14:val="tx1"/>
                        </w14:solidFill>
                      </w14:textFill>
                    </w:rPr>
                    <w:t>污泥</w:t>
                  </w:r>
                </w:p>
              </w:tc>
              <w:tc>
                <w:tcPr>
                  <w:tcW w:w="1480" w:type="dxa"/>
                  <w:tcBorders>
                    <w:tl2br w:val="nil"/>
                    <w:tr2bl w:val="nil"/>
                  </w:tcBorders>
                  <w:vAlign w:val="center"/>
                </w:tcPr>
                <w:p>
                  <w:pPr>
                    <w:pStyle w:val="48"/>
                    <w:spacing w:line="276" w:lineRule="auto"/>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52</w:t>
                  </w:r>
                </w:p>
              </w:tc>
              <w:tc>
                <w:tcPr>
                  <w:tcW w:w="1253" w:type="dxa"/>
                  <w:tcBorders>
                    <w:tl2br w:val="nil"/>
                    <w:tr2bl w:val="nil"/>
                  </w:tcBorders>
                  <w:vAlign w:val="center"/>
                </w:tcPr>
                <w:p>
                  <w:pPr>
                    <w:pStyle w:val="48"/>
                    <w:spacing w:line="276" w:lineRule="auto"/>
                    <w:rPr>
                      <w:color w:val="000000" w:themeColor="text1"/>
                      <w14:textFill>
                        <w14:solidFill>
                          <w14:schemeClr w14:val="tx1"/>
                        </w14:solidFill>
                      </w14:textFill>
                    </w:rPr>
                  </w:pPr>
                  <w:r>
                    <w:rPr>
                      <w:color w:val="000000" w:themeColor="text1"/>
                      <w14:textFill>
                        <w14:solidFill>
                          <w14:schemeClr w14:val="tx1"/>
                        </w14:solidFill>
                      </w14:textFill>
                    </w:rPr>
                    <w:t>危险废物</w:t>
                  </w:r>
                </w:p>
              </w:tc>
              <w:tc>
                <w:tcPr>
                  <w:tcW w:w="2815" w:type="dxa"/>
                  <w:vMerge w:val="continue"/>
                  <w:tcBorders>
                    <w:tl2br w:val="nil"/>
                    <w:tr2bl w:val="nil"/>
                  </w:tcBorders>
                  <w:vAlign w:val="center"/>
                </w:tcPr>
                <w:p>
                  <w:pPr>
                    <w:pStyle w:val="48"/>
                    <w:spacing w:line="276" w:lineRule="auto"/>
                    <w:rPr>
                      <w:color w:val="000000" w:themeColor="text1"/>
                      <w14:textFill>
                        <w14:solidFill>
                          <w14:schemeClr w14:val="tx1"/>
                        </w14:solidFill>
                      </w14:textFill>
                    </w:rPr>
                  </w:pPr>
                </w:p>
              </w:tc>
            </w:tr>
          </w:tbl>
          <w:p>
            <w:pPr>
              <w:pStyle w:val="13"/>
              <w:widowControl/>
              <w:adjustRightInd/>
              <w:spacing w:line="360" w:lineRule="auto"/>
              <w:ind w:firstLine="480" w:firstLineChars="200"/>
              <w:textAlignment w:val="auto"/>
              <w:rPr>
                <w:b/>
                <w:bCs/>
                <w:color w:val="000000" w:themeColor="text1"/>
                <w:sz w:val="21"/>
                <w:szCs w:val="21"/>
                <w14:textFill>
                  <w14:solidFill>
                    <w14:schemeClr w14:val="tx1"/>
                  </w14:solidFill>
                </w14:textFill>
              </w:rPr>
            </w:pPr>
            <w:r>
              <w:rPr>
                <w:rFonts w:hint="eastAsia"/>
                <w:color w:val="000000" w:themeColor="text1"/>
                <w:szCs w:val="24"/>
                <w14:textFill>
                  <w14:solidFill>
                    <w14:schemeClr w14:val="tx1"/>
                  </w14:solidFill>
                </w14:textFill>
              </w:rPr>
              <w:t>根据《建设项目危险废物环境影响评价指南》，危险废物分析结果汇总见下表。</w:t>
            </w:r>
          </w:p>
          <w:p>
            <w:pPr>
              <w:pStyle w:val="49"/>
              <w:rPr>
                <w:rFonts w:hint="default"/>
                <w:color w:val="4472C4" w:themeColor="accent5"/>
                <w:u w:val="single"/>
                <w14:textFill>
                  <w14:solidFill>
                    <w14:schemeClr w14:val="accent5"/>
                  </w14:solidFill>
                </w14:textFill>
              </w:rPr>
            </w:pPr>
            <w:r>
              <w:rPr>
                <w:rFonts w:hint="eastAsia"/>
                <w:color w:val="000000" w:themeColor="text1"/>
                <w:u w:val="single"/>
                <w14:textFill>
                  <w14:solidFill>
                    <w14:schemeClr w14:val="tx1"/>
                  </w14:solidFill>
                </w14:textFill>
              </w:rPr>
              <w:t>表4.2-17 项目危险废物汇总表</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878"/>
              <w:gridCol w:w="841"/>
              <w:gridCol w:w="1298"/>
              <w:gridCol w:w="917"/>
              <w:gridCol w:w="775"/>
              <w:gridCol w:w="670"/>
              <w:gridCol w:w="825"/>
              <w:gridCol w:w="529"/>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序号</w:t>
                  </w:r>
                </w:p>
              </w:tc>
              <w:tc>
                <w:tcPr>
                  <w:tcW w:w="554"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危险废物名称</w:t>
                  </w:r>
                </w:p>
              </w:tc>
              <w:tc>
                <w:tcPr>
                  <w:tcW w:w="531"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危险废物类别</w:t>
                  </w:r>
                </w:p>
              </w:tc>
              <w:tc>
                <w:tcPr>
                  <w:tcW w:w="819"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危险废物代码</w:t>
                  </w:r>
                </w:p>
              </w:tc>
              <w:tc>
                <w:tcPr>
                  <w:tcW w:w="579"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产生量（</w:t>
                  </w:r>
                  <w:r>
                    <w:rPr>
                      <w:color w:val="000000" w:themeColor="text1"/>
                      <w:u w:val="single"/>
                      <w14:textFill>
                        <w14:solidFill>
                          <w14:schemeClr w14:val="tx1"/>
                        </w14:solidFill>
                      </w14:textFill>
                    </w:rPr>
                    <w:t>t</w:t>
                  </w:r>
                  <w:r>
                    <w:rPr>
                      <w:rFonts w:hint="eastAsia"/>
                      <w:color w:val="000000" w:themeColor="text1"/>
                      <w:u w:val="single"/>
                      <w14:textFill>
                        <w14:solidFill>
                          <w14:schemeClr w14:val="tx1"/>
                        </w14:solidFill>
                      </w14:textFill>
                    </w:rPr>
                    <w:t>/</w:t>
                  </w:r>
                  <w:r>
                    <w:rPr>
                      <w:color w:val="000000" w:themeColor="text1"/>
                      <w:u w:val="single"/>
                      <w14:textFill>
                        <w14:solidFill>
                          <w14:schemeClr w14:val="tx1"/>
                        </w14:solidFill>
                      </w14:textFill>
                    </w:rPr>
                    <w:t>a</w:t>
                  </w:r>
                  <w:r>
                    <w:rPr>
                      <w:rFonts w:hint="eastAsia"/>
                      <w:color w:val="000000" w:themeColor="text1"/>
                      <w:u w:val="single"/>
                      <w14:textFill>
                        <w14:solidFill>
                          <w14:schemeClr w14:val="tx1"/>
                        </w14:solidFill>
                      </w14:textFill>
                    </w:rPr>
                    <w:t>）</w:t>
                  </w:r>
                </w:p>
              </w:tc>
              <w:tc>
                <w:tcPr>
                  <w:tcW w:w="489"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产生</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工序</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及装</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置</w:t>
                  </w:r>
                </w:p>
              </w:tc>
              <w:tc>
                <w:tcPr>
                  <w:tcW w:w="423"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形</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态</w:t>
                  </w:r>
                </w:p>
              </w:tc>
              <w:tc>
                <w:tcPr>
                  <w:tcW w:w="521"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有毒有害物质</w:t>
                  </w:r>
                </w:p>
              </w:tc>
              <w:tc>
                <w:tcPr>
                  <w:tcW w:w="334"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产生周期</w:t>
                  </w:r>
                </w:p>
              </w:tc>
              <w:tc>
                <w:tcPr>
                  <w:tcW w:w="456"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1</w:t>
                  </w:r>
                </w:p>
              </w:tc>
              <w:tc>
                <w:tcPr>
                  <w:tcW w:w="554"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感染性废物</w:t>
                  </w:r>
                </w:p>
              </w:tc>
              <w:tc>
                <w:tcPr>
                  <w:tcW w:w="531"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 xml:space="preserve">HW01 </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医疗</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废物</w:t>
                  </w:r>
                </w:p>
              </w:tc>
              <w:tc>
                <w:tcPr>
                  <w:tcW w:w="819"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841-001-01</w:t>
                  </w:r>
                </w:p>
              </w:tc>
              <w:tc>
                <w:tcPr>
                  <w:tcW w:w="579" w:type="pct"/>
                  <w:tcBorders>
                    <w:tl2br w:val="nil"/>
                    <w:tr2bl w:val="nil"/>
                  </w:tcBorders>
                  <w:vAlign w:val="center"/>
                </w:tcPr>
                <w:p>
                  <w:pPr>
                    <w:pStyle w:val="48"/>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2.92</w:t>
                  </w:r>
                </w:p>
              </w:tc>
              <w:tc>
                <w:tcPr>
                  <w:tcW w:w="489"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诊疗</w:t>
                  </w:r>
                </w:p>
              </w:tc>
              <w:tc>
                <w:tcPr>
                  <w:tcW w:w="423"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固</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态</w:t>
                  </w:r>
                </w:p>
              </w:tc>
              <w:tc>
                <w:tcPr>
                  <w:tcW w:w="521"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病菌</w:t>
                  </w:r>
                </w:p>
              </w:tc>
              <w:tc>
                <w:tcPr>
                  <w:tcW w:w="334"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日</w:t>
                  </w:r>
                </w:p>
              </w:tc>
              <w:tc>
                <w:tcPr>
                  <w:tcW w:w="456"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2</w:t>
                  </w:r>
                </w:p>
              </w:tc>
              <w:tc>
                <w:tcPr>
                  <w:tcW w:w="554"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损伤</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性废</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物</w:t>
                  </w:r>
                </w:p>
              </w:tc>
              <w:tc>
                <w:tcPr>
                  <w:tcW w:w="531"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 xml:space="preserve">HW01 </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医疗</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废物</w:t>
                  </w:r>
                </w:p>
              </w:tc>
              <w:tc>
                <w:tcPr>
                  <w:tcW w:w="819"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841-00</w:t>
                  </w:r>
                  <w:r>
                    <w:rPr>
                      <w:rFonts w:hint="eastAsia"/>
                      <w:color w:val="000000" w:themeColor="text1"/>
                      <w:u w:val="single"/>
                      <w14:textFill>
                        <w14:solidFill>
                          <w14:schemeClr w14:val="tx1"/>
                        </w14:solidFill>
                      </w14:textFill>
                    </w:rPr>
                    <w:t>2</w:t>
                  </w:r>
                  <w:r>
                    <w:rPr>
                      <w:color w:val="000000" w:themeColor="text1"/>
                      <w:u w:val="single"/>
                      <w14:textFill>
                        <w14:solidFill>
                          <w14:schemeClr w14:val="tx1"/>
                        </w14:solidFill>
                      </w14:textFill>
                    </w:rPr>
                    <w:t>-01</w:t>
                  </w:r>
                </w:p>
              </w:tc>
              <w:tc>
                <w:tcPr>
                  <w:tcW w:w="579" w:type="pct"/>
                  <w:tcBorders>
                    <w:tl2br w:val="nil"/>
                    <w:tr2bl w:val="nil"/>
                  </w:tcBorders>
                  <w:vAlign w:val="center"/>
                </w:tcPr>
                <w:p>
                  <w:pPr>
                    <w:pStyle w:val="48"/>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2.19</w:t>
                  </w:r>
                </w:p>
              </w:tc>
              <w:tc>
                <w:tcPr>
                  <w:tcW w:w="489"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诊疗</w:t>
                  </w:r>
                </w:p>
              </w:tc>
              <w:tc>
                <w:tcPr>
                  <w:tcW w:w="423"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固</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态</w:t>
                  </w:r>
                </w:p>
              </w:tc>
              <w:tc>
                <w:tcPr>
                  <w:tcW w:w="521"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有机</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物</w:t>
                  </w:r>
                </w:p>
              </w:tc>
              <w:tc>
                <w:tcPr>
                  <w:tcW w:w="334"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日</w:t>
                  </w:r>
                </w:p>
              </w:tc>
              <w:tc>
                <w:tcPr>
                  <w:tcW w:w="456"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3</w:t>
                  </w:r>
                </w:p>
              </w:tc>
              <w:tc>
                <w:tcPr>
                  <w:tcW w:w="554"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病理</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性废</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物</w:t>
                  </w:r>
                </w:p>
              </w:tc>
              <w:tc>
                <w:tcPr>
                  <w:tcW w:w="531"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 xml:space="preserve">HW01 </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医疗</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废物</w:t>
                  </w:r>
                </w:p>
              </w:tc>
              <w:tc>
                <w:tcPr>
                  <w:tcW w:w="819"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841-00</w:t>
                  </w:r>
                  <w:r>
                    <w:rPr>
                      <w:rFonts w:hint="eastAsia"/>
                      <w:color w:val="000000" w:themeColor="text1"/>
                      <w:u w:val="single"/>
                      <w14:textFill>
                        <w14:solidFill>
                          <w14:schemeClr w14:val="tx1"/>
                        </w14:solidFill>
                      </w14:textFill>
                    </w:rPr>
                    <w:t>3</w:t>
                  </w:r>
                  <w:r>
                    <w:rPr>
                      <w:color w:val="000000" w:themeColor="text1"/>
                      <w:u w:val="single"/>
                      <w14:textFill>
                        <w14:solidFill>
                          <w14:schemeClr w14:val="tx1"/>
                        </w14:solidFill>
                      </w14:textFill>
                    </w:rPr>
                    <w:t>-01</w:t>
                  </w:r>
                </w:p>
              </w:tc>
              <w:tc>
                <w:tcPr>
                  <w:tcW w:w="579"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0.365</w:t>
                  </w:r>
                </w:p>
              </w:tc>
              <w:tc>
                <w:tcPr>
                  <w:tcW w:w="489"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诊疗</w:t>
                  </w:r>
                </w:p>
              </w:tc>
              <w:tc>
                <w:tcPr>
                  <w:tcW w:w="423"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固</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态</w:t>
                  </w:r>
                </w:p>
              </w:tc>
              <w:tc>
                <w:tcPr>
                  <w:tcW w:w="521"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病菌</w:t>
                  </w:r>
                </w:p>
              </w:tc>
              <w:tc>
                <w:tcPr>
                  <w:tcW w:w="334"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日</w:t>
                  </w:r>
                </w:p>
              </w:tc>
              <w:tc>
                <w:tcPr>
                  <w:tcW w:w="456"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4</w:t>
                  </w:r>
                </w:p>
              </w:tc>
              <w:tc>
                <w:tcPr>
                  <w:tcW w:w="554"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化学</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性废</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物</w:t>
                  </w:r>
                </w:p>
              </w:tc>
              <w:tc>
                <w:tcPr>
                  <w:tcW w:w="531"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 xml:space="preserve">HW01 </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医疗</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废物</w:t>
                  </w:r>
                </w:p>
              </w:tc>
              <w:tc>
                <w:tcPr>
                  <w:tcW w:w="819"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841-00</w:t>
                  </w:r>
                  <w:r>
                    <w:rPr>
                      <w:rFonts w:hint="eastAsia"/>
                      <w:color w:val="000000" w:themeColor="text1"/>
                      <w:u w:val="single"/>
                      <w14:textFill>
                        <w14:solidFill>
                          <w14:schemeClr w14:val="tx1"/>
                        </w14:solidFill>
                      </w14:textFill>
                    </w:rPr>
                    <w:t>4</w:t>
                  </w:r>
                  <w:r>
                    <w:rPr>
                      <w:color w:val="000000" w:themeColor="text1"/>
                      <w:u w:val="single"/>
                      <w14:textFill>
                        <w14:solidFill>
                          <w14:schemeClr w14:val="tx1"/>
                        </w14:solidFill>
                      </w14:textFill>
                    </w:rPr>
                    <w:t>-01</w:t>
                  </w:r>
                </w:p>
              </w:tc>
              <w:tc>
                <w:tcPr>
                  <w:tcW w:w="579"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0.037</w:t>
                  </w:r>
                </w:p>
              </w:tc>
              <w:tc>
                <w:tcPr>
                  <w:tcW w:w="489"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检验</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室</w:t>
                  </w:r>
                </w:p>
              </w:tc>
              <w:tc>
                <w:tcPr>
                  <w:tcW w:w="423"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固</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态</w:t>
                  </w:r>
                  <w:r>
                    <w:rPr>
                      <w:color w:val="000000" w:themeColor="text1"/>
                      <w:u w:val="single"/>
                      <w14:textFill>
                        <w14:solidFill>
                          <w14:schemeClr w14:val="tx1"/>
                        </w14:solidFill>
                      </w14:textFill>
                    </w:rPr>
                    <w:t>/</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液</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态</w:t>
                  </w:r>
                </w:p>
              </w:tc>
              <w:tc>
                <w:tcPr>
                  <w:tcW w:w="521"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化学物</w:t>
                  </w:r>
                </w:p>
              </w:tc>
              <w:tc>
                <w:tcPr>
                  <w:tcW w:w="334"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日</w:t>
                  </w:r>
                </w:p>
              </w:tc>
              <w:tc>
                <w:tcPr>
                  <w:tcW w:w="456"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5</w:t>
                  </w:r>
                </w:p>
              </w:tc>
              <w:tc>
                <w:tcPr>
                  <w:tcW w:w="554"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药物</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性废</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物</w:t>
                  </w:r>
                </w:p>
              </w:tc>
              <w:tc>
                <w:tcPr>
                  <w:tcW w:w="531"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 xml:space="preserve">HW01 </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医疗</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废物</w:t>
                  </w:r>
                </w:p>
              </w:tc>
              <w:tc>
                <w:tcPr>
                  <w:tcW w:w="819"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841-00</w:t>
                  </w:r>
                  <w:r>
                    <w:rPr>
                      <w:rFonts w:hint="eastAsia"/>
                      <w:color w:val="000000" w:themeColor="text1"/>
                      <w:u w:val="single"/>
                      <w14:textFill>
                        <w14:solidFill>
                          <w14:schemeClr w14:val="tx1"/>
                        </w14:solidFill>
                      </w14:textFill>
                    </w:rPr>
                    <w:t>5</w:t>
                  </w:r>
                  <w:r>
                    <w:rPr>
                      <w:color w:val="000000" w:themeColor="text1"/>
                      <w:u w:val="single"/>
                      <w14:textFill>
                        <w14:solidFill>
                          <w14:schemeClr w14:val="tx1"/>
                        </w14:solidFill>
                      </w14:textFill>
                    </w:rPr>
                    <w:t>-01</w:t>
                  </w:r>
                </w:p>
              </w:tc>
              <w:tc>
                <w:tcPr>
                  <w:tcW w:w="579" w:type="pct"/>
                  <w:tcBorders>
                    <w:tl2br w:val="nil"/>
                    <w:tr2bl w:val="nil"/>
                  </w:tcBorders>
                  <w:vAlign w:val="center"/>
                </w:tcPr>
                <w:p>
                  <w:pPr>
                    <w:pStyle w:val="48"/>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0.073</w:t>
                  </w:r>
                </w:p>
              </w:tc>
              <w:tc>
                <w:tcPr>
                  <w:tcW w:w="489"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诊疗</w:t>
                  </w:r>
                </w:p>
              </w:tc>
              <w:tc>
                <w:tcPr>
                  <w:tcW w:w="423"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固</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态</w:t>
                  </w:r>
                  <w:r>
                    <w:rPr>
                      <w:color w:val="000000" w:themeColor="text1"/>
                      <w:u w:val="single"/>
                      <w14:textFill>
                        <w14:solidFill>
                          <w14:schemeClr w14:val="tx1"/>
                        </w14:solidFill>
                      </w14:textFill>
                    </w:rPr>
                    <w:t>/</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液</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态</w:t>
                  </w:r>
                </w:p>
              </w:tc>
              <w:tc>
                <w:tcPr>
                  <w:tcW w:w="521"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药物</w:t>
                  </w:r>
                </w:p>
              </w:tc>
              <w:tc>
                <w:tcPr>
                  <w:tcW w:w="334"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日</w:t>
                  </w:r>
                </w:p>
              </w:tc>
              <w:tc>
                <w:tcPr>
                  <w:tcW w:w="456"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6</w:t>
                  </w:r>
                </w:p>
              </w:tc>
              <w:tc>
                <w:tcPr>
                  <w:tcW w:w="554"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污水</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站污</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泥</w:t>
                  </w:r>
                </w:p>
              </w:tc>
              <w:tc>
                <w:tcPr>
                  <w:tcW w:w="531"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HW01</w:t>
                  </w:r>
                  <w:r>
                    <w:rPr>
                      <w:color w:val="000000" w:themeColor="text1"/>
                      <w:u w:val="single"/>
                      <w14:textFill>
                        <w14:solidFill>
                          <w14:schemeClr w14:val="tx1"/>
                        </w14:solidFill>
                      </w14:textFill>
                    </w:rPr>
                    <w:t xml:space="preserve"> </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医疗</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废物</w:t>
                  </w:r>
                </w:p>
              </w:tc>
              <w:tc>
                <w:tcPr>
                  <w:tcW w:w="819"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841-001-01</w:t>
                  </w:r>
                </w:p>
              </w:tc>
              <w:tc>
                <w:tcPr>
                  <w:tcW w:w="579" w:type="pct"/>
                  <w:tcBorders>
                    <w:tl2br w:val="nil"/>
                    <w:tr2bl w:val="nil"/>
                  </w:tcBorders>
                  <w:vAlign w:val="center"/>
                </w:tcPr>
                <w:p>
                  <w:pPr>
                    <w:pStyle w:val="48"/>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14:textFill>
                        <w14:solidFill>
                          <w14:schemeClr w14:val="tx1"/>
                        </w14:solidFill>
                      </w14:textFill>
                    </w:rPr>
                    <w:t>0.</w:t>
                  </w:r>
                  <w:r>
                    <w:rPr>
                      <w:rFonts w:hint="eastAsia"/>
                      <w:color w:val="000000" w:themeColor="text1"/>
                      <w:u w:val="single"/>
                      <w:lang w:val="en-US" w:eastAsia="zh-CN"/>
                      <w14:textFill>
                        <w14:solidFill>
                          <w14:schemeClr w14:val="tx1"/>
                        </w14:solidFill>
                      </w14:textFill>
                    </w:rPr>
                    <w:t>52</w:t>
                  </w:r>
                </w:p>
              </w:tc>
              <w:tc>
                <w:tcPr>
                  <w:tcW w:w="489"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医疗</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污水</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处理</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站</w:t>
                  </w:r>
                </w:p>
              </w:tc>
              <w:tc>
                <w:tcPr>
                  <w:tcW w:w="423"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固</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态</w:t>
                  </w:r>
                </w:p>
              </w:tc>
              <w:tc>
                <w:tcPr>
                  <w:tcW w:w="521"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有机</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物，药</w:t>
                  </w:r>
                </w:p>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物</w:t>
                  </w:r>
                </w:p>
              </w:tc>
              <w:tc>
                <w:tcPr>
                  <w:tcW w:w="334" w:type="pct"/>
                  <w:tcBorders>
                    <w:tl2br w:val="nil"/>
                    <w:tr2bl w:val="nil"/>
                  </w:tcBorders>
                  <w:vAlign w:val="center"/>
                </w:tcPr>
                <w:p>
                  <w:pPr>
                    <w:pStyle w:val="48"/>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日</w:t>
                  </w:r>
                </w:p>
              </w:tc>
              <w:tc>
                <w:tcPr>
                  <w:tcW w:w="456" w:type="pct"/>
                  <w:tcBorders>
                    <w:tl2br w:val="nil"/>
                    <w:tr2bl w:val="nil"/>
                  </w:tcBorders>
                  <w:vAlign w:val="center"/>
                </w:tcPr>
                <w:p>
                  <w:pPr>
                    <w:pStyle w:val="48"/>
                    <w:rPr>
                      <w:color w:val="000000" w:themeColor="text1"/>
                      <w:u w:val="single"/>
                      <w14:textFill>
                        <w14:solidFill>
                          <w14:schemeClr w14:val="tx1"/>
                        </w14:solidFill>
                      </w14:textFill>
                    </w:rPr>
                  </w:pPr>
                  <w:r>
                    <w:rPr>
                      <w:color w:val="000000" w:themeColor="text1"/>
                      <w:u w:val="single"/>
                      <w14:textFill>
                        <w14:solidFill>
                          <w14:schemeClr w14:val="tx1"/>
                        </w14:solidFill>
                      </w14:textFill>
                    </w:rPr>
                    <w:t>In</w:t>
                  </w:r>
                </w:p>
              </w:tc>
            </w:tr>
          </w:tbl>
          <w:p>
            <w:pPr>
              <w:pStyle w:val="7"/>
              <w:ind w:firstLine="48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固体废物环境影响分析</w:t>
            </w:r>
          </w:p>
          <w:p>
            <w:pPr>
              <w:pStyle w:val="7"/>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一般固体废物</w:t>
            </w:r>
          </w:p>
          <w:p>
            <w:pPr>
              <w:pStyle w:val="7"/>
              <w:ind w:firstLine="480"/>
              <w:jc w:val="both"/>
              <w:rPr>
                <w:color w:val="000000" w:themeColor="text1"/>
                <w14:textFill>
                  <w14:solidFill>
                    <w14:schemeClr w14:val="tx1"/>
                  </w14:solidFill>
                </w14:textFill>
              </w:rPr>
            </w:pPr>
            <w:r>
              <w:rPr>
                <w:color w:val="000000" w:themeColor="text1"/>
                <w14:textFill>
                  <w14:solidFill>
                    <w14:schemeClr w14:val="tx1"/>
                  </w14:solidFill>
                </w14:textFill>
              </w:rPr>
              <w:t>本项目运营期产生的一般固废主要为生活垃圾、未污染的一次性塑料输液瓶</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袋</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、一般包装材料</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药品外包装）；按照国家卫生健康委会同生态环境部等10部门联合印发的《医疗机构废弃物综合治理工作方案》（国卫医发〔2020〕3号）做好医疗机构内部废弃物分类和管理，本项目生活垃圾收集后存放于垃圾收集点交由环卫部门统一清运处理；未污染的一次性塑料输液瓶</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袋</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委托</w:t>
            </w:r>
            <w:r>
              <w:rPr>
                <w:rFonts w:hint="eastAsia"/>
                <w:color w:val="000000" w:themeColor="text1"/>
                <w14:textFill>
                  <w14:solidFill>
                    <w14:schemeClr w14:val="tx1"/>
                  </w14:solidFill>
                </w14:textFill>
              </w:rPr>
              <w:t>专门单位</w:t>
            </w:r>
            <w:r>
              <w:rPr>
                <w:color w:val="000000" w:themeColor="text1"/>
                <w14:textFill>
                  <w14:solidFill>
                    <w14:schemeClr w14:val="tx1"/>
                  </w14:solidFill>
                </w14:textFill>
              </w:rPr>
              <w:t>回收处置。一般包装材料</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药品外包装</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作为一般资源回收处置。在做好分类的基础上，严格做好废弃物的分类投放、分类收集、分类贮存、分类交接、分类转运等工作。</w:t>
            </w:r>
          </w:p>
          <w:p>
            <w:pPr>
              <w:pStyle w:val="7"/>
              <w:ind w:firstLine="480"/>
              <w:rPr>
                <w:rFonts w:hint="eastAsia" w:eastAsia="宋体"/>
                <w:color w:val="0000FF"/>
                <w:lang w:eastAsia="zh-CN"/>
              </w:rPr>
            </w:pP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医疗废物暂存间和危险废物暂存间设置要求</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u w:val="single"/>
              </w:rPr>
            </w:pPr>
            <w:r>
              <w:rPr>
                <w:rFonts w:hint="eastAsia" w:ascii="Times New Roman" w:hAnsi="Times New Roman" w:eastAsia="宋体" w:cs="Times New Roman"/>
                <w:kern w:val="2"/>
                <w:sz w:val="24"/>
                <w:szCs w:val="24"/>
                <w:u w:val="single"/>
                <w:lang w:val="en-US" w:eastAsia="zh-CN" w:bidi="ar-SA"/>
              </w:rPr>
              <w:t>根据现状调查，项目现有的医疗废物暂存间位于医院的地下一层，位于门诊住院楼院东北侧，面积约</w:t>
            </w:r>
            <w:r>
              <w:rPr>
                <w:rFonts w:hint="eastAsia" w:cs="Times New Roman"/>
                <w:kern w:val="2"/>
                <w:sz w:val="24"/>
                <w:szCs w:val="24"/>
                <w:u w:val="single"/>
                <w:lang w:val="en-US" w:eastAsia="zh-CN" w:bidi="ar-SA"/>
              </w:rPr>
              <w:t>12</w:t>
            </w:r>
            <w:r>
              <w:rPr>
                <w:rFonts w:hint="default" w:ascii="Times New Roman" w:hAnsi="Times New Roman" w:eastAsia="宋体" w:cs="Times New Roman"/>
                <w:kern w:val="2"/>
                <w:sz w:val="24"/>
                <w:szCs w:val="24"/>
                <w:u w:val="single"/>
                <w:lang w:val="en-US" w:eastAsia="zh-CN" w:bidi="ar-SA"/>
              </w:rPr>
              <w:t>㎡</w:t>
            </w:r>
            <w:r>
              <w:rPr>
                <w:rFonts w:hint="eastAsia" w:ascii="Times New Roman" w:hAnsi="Times New Roman" w:eastAsia="宋体" w:cs="Times New Roman"/>
                <w:kern w:val="2"/>
                <w:sz w:val="24"/>
                <w:szCs w:val="24"/>
                <w:u w:val="single"/>
                <w:lang w:val="en-US" w:eastAsia="zh-CN" w:bidi="ar-SA"/>
              </w:rPr>
              <w:t>，医疗废物暂存间的建设已基本严格按相关规范进行，并且医疗废物已委托岳阳市方向固废安全处置有限公司集中处置。医院还需进一步从医疗废物管理、收集、消毒、交接等工作中按照要求落实到位，因此重点对医疗废物治理和处置措施进行论证并提出要求。</w:t>
            </w:r>
          </w:p>
          <w:p>
            <w:pPr>
              <w:pStyle w:val="7"/>
              <w:ind w:firstLine="480"/>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①</w:t>
            </w:r>
            <w:r>
              <w:rPr>
                <w:rFonts w:hint="eastAsia"/>
                <w:color w:val="000000" w:themeColor="text1"/>
                <w:u w:val="single"/>
                <w:lang w:val="en-US" w:eastAsia="zh-CN"/>
                <w14:textFill>
                  <w14:solidFill>
                    <w14:schemeClr w14:val="tx1"/>
                  </w14:solidFill>
                </w14:textFill>
              </w:rPr>
              <w:t>危险废物管理</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根据《医疗废物管理条例》，医院还需按照以下条例加强医疗废物的管理：</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1)医院对本单位产生的固体废物从收集、运输、贮存到交接（交接给有资质单位处置）的全过程进行管理，制定并落实相应的规章制度、工作程序和要求、以及有关人员的工作职责及发生医疗废物流失、泄漏、扩散和意外事故的应急方案。</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2)</w:t>
            </w:r>
            <w:r>
              <w:rPr>
                <w:rFonts w:hint="eastAsia" w:ascii="Times New Roman" w:hAnsi="Times New Roman" w:eastAsia="宋体" w:cs="Times New Roman"/>
                <w:kern w:val="2"/>
                <w:sz w:val="24"/>
                <w:szCs w:val="24"/>
                <w:u w:val="single"/>
                <w:lang w:val="en-US" w:eastAsia="zh-CN" w:bidi="ar-SA"/>
              </w:rPr>
              <w:t>设置负责医疗废物管理的监控部门或者专</w:t>
            </w:r>
            <w:r>
              <w:rPr>
                <w:rFonts w:hint="default" w:ascii="Times New Roman" w:hAnsi="Times New Roman" w:eastAsia="宋体" w:cs="Times New Roman"/>
                <w:kern w:val="2"/>
                <w:sz w:val="24"/>
                <w:szCs w:val="24"/>
                <w:u w:val="single"/>
                <w:lang w:val="en-US" w:eastAsia="zh-CN" w:bidi="ar-SA"/>
              </w:rPr>
              <w:t>(</w:t>
            </w:r>
            <w:r>
              <w:rPr>
                <w:rFonts w:hint="eastAsia" w:ascii="Times New Roman" w:hAnsi="Times New Roman" w:eastAsia="宋体" w:cs="Times New Roman"/>
                <w:kern w:val="2"/>
                <w:sz w:val="24"/>
                <w:szCs w:val="24"/>
                <w:u w:val="single"/>
                <w:lang w:val="en-US" w:eastAsia="zh-CN" w:bidi="ar-SA"/>
              </w:rPr>
              <w:t>兼</w:t>
            </w:r>
            <w:r>
              <w:rPr>
                <w:rFonts w:hint="default" w:ascii="Times New Roman" w:hAnsi="Times New Roman" w:eastAsia="宋体" w:cs="Times New Roman"/>
                <w:kern w:val="2"/>
                <w:sz w:val="24"/>
                <w:szCs w:val="24"/>
                <w:u w:val="single"/>
                <w:lang w:val="en-US" w:eastAsia="zh-CN" w:bidi="ar-SA"/>
              </w:rPr>
              <w:t>)</w:t>
            </w:r>
            <w:r>
              <w:rPr>
                <w:rFonts w:hint="eastAsia" w:ascii="Times New Roman" w:hAnsi="Times New Roman" w:eastAsia="宋体" w:cs="Times New Roman"/>
                <w:kern w:val="2"/>
                <w:sz w:val="24"/>
                <w:szCs w:val="24"/>
                <w:u w:val="single"/>
                <w:lang w:val="en-US" w:eastAsia="zh-CN" w:bidi="ar-SA"/>
              </w:rPr>
              <w:t>职人员，负责检查、督促、落实本单位医疗废物的管理工作，建立医疗废物管理责任制。</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3)</w:t>
            </w:r>
            <w:r>
              <w:rPr>
                <w:rFonts w:hint="eastAsia" w:ascii="Times New Roman" w:hAnsi="Times New Roman" w:eastAsia="宋体" w:cs="Times New Roman"/>
                <w:kern w:val="2"/>
                <w:sz w:val="24"/>
                <w:szCs w:val="24"/>
                <w:u w:val="single"/>
                <w:lang w:val="en-US" w:eastAsia="zh-CN" w:bidi="ar-SA"/>
              </w:rPr>
              <w:t>专职负责人对医疗废物进行登记，登记内容应当包括医疗废物的来源、种类、重量或者数量、交接时间、处置方法、最终去向以及经办人签名等项目。登记资料至少保存</w:t>
            </w:r>
            <w:r>
              <w:rPr>
                <w:rFonts w:hint="default" w:ascii="Times New Roman" w:hAnsi="Times New Roman" w:eastAsia="宋体" w:cs="Times New Roman"/>
                <w:kern w:val="2"/>
                <w:sz w:val="24"/>
                <w:szCs w:val="24"/>
                <w:u w:val="single"/>
                <w:lang w:val="en-US" w:eastAsia="zh-CN" w:bidi="ar-SA"/>
              </w:rPr>
              <w:t>3</w:t>
            </w:r>
            <w:r>
              <w:rPr>
                <w:rFonts w:hint="eastAsia" w:ascii="Times New Roman" w:hAnsi="Times New Roman" w:eastAsia="宋体" w:cs="Times New Roman"/>
                <w:kern w:val="2"/>
                <w:sz w:val="24"/>
                <w:szCs w:val="24"/>
                <w:u w:val="single"/>
                <w:lang w:val="en-US" w:eastAsia="zh-CN" w:bidi="ar-SA"/>
              </w:rPr>
              <w:t>年。</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4)</w:t>
            </w:r>
            <w:r>
              <w:rPr>
                <w:rFonts w:hint="eastAsia" w:ascii="Times New Roman" w:hAnsi="Times New Roman" w:eastAsia="宋体" w:cs="Times New Roman"/>
                <w:kern w:val="2"/>
                <w:sz w:val="24"/>
                <w:szCs w:val="24"/>
                <w:u w:val="single"/>
                <w:lang w:val="en-US" w:eastAsia="zh-CN" w:bidi="ar-SA"/>
              </w:rPr>
              <w:t xml:space="preserve">医院对本单位从事医疗废物收集、运送、贮存等工作的人员和管理人员，进行相关法律和专业技术、安全防护以及紧急处理等知识的培训。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5)</w:t>
            </w:r>
            <w:r>
              <w:rPr>
                <w:rFonts w:hint="eastAsia" w:ascii="Times New Roman" w:hAnsi="Times New Roman" w:eastAsia="宋体" w:cs="Times New Roman"/>
                <w:kern w:val="2"/>
                <w:sz w:val="24"/>
                <w:szCs w:val="24"/>
                <w:u w:val="single"/>
                <w:lang w:val="en-US" w:eastAsia="zh-CN" w:bidi="ar-SA"/>
              </w:rPr>
              <w:t xml:space="preserve">医院采取有效的职业卫生防护措施，为从事医疗废物收集、运送、贮存等工作的人员和管理人员，配备必要的防护用品，定期进行健康检查；必要时，对有关人员进行免疫接种，防止其受到健康损害。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②危险废物收集</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 xml:space="preserve">医疗垃圾的收集是否完善彻底、是否分类是医院废弃物处理处置的关键。医院需要严格按照以下要求加强医疗废物收集工作：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1)</w:t>
            </w:r>
            <w:r>
              <w:rPr>
                <w:rFonts w:hint="eastAsia" w:ascii="Times New Roman" w:hAnsi="Times New Roman" w:eastAsia="宋体" w:cs="Times New Roman"/>
                <w:kern w:val="2"/>
                <w:sz w:val="24"/>
                <w:szCs w:val="24"/>
                <w:u w:val="single"/>
                <w:lang w:val="en-US" w:eastAsia="zh-CN" w:bidi="ar-SA"/>
              </w:rPr>
              <w:t xml:space="preserve">根据医疗废物的类别，将医疗废物分类置于符合《医疗废物专用包装物、容器的标准和警示标识的规定》的包装物或者容器内；收集容器应符合规定要求，盛装医疗废物的每个单位、产生日期、类别及需要的特别说明等。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2)</w:t>
            </w:r>
            <w:r>
              <w:rPr>
                <w:rFonts w:hint="eastAsia" w:ascii="Times New Roman" w:hAnsi="Times New Roman" w:eastAsia="宋体" w:cs="Times New Roman"/>
                <w:kern w:val="2"/>
                <w:sz w:val="24"/>
                <w:szCs w:val="24"/>
                <w:u w:val="single"/>
                <w:lang w:val="en-US" w:eastAsia="zh-CN" w:bidi="ar-SA"/>
              </w:rPr>
              <w:t>在盛装医疗废物前，应当对医疗废物包装物或者容器进行认真检查，确保无破损、渗漏和其它缺陷。</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3)</w:t>
            </w:r>
            <w:r>
              <w:rPr>
                <w:rFonts w:hint="eastAsia" w:ascii="Times New Roman" w:hAnsi="Times New Roman" w:eastAsia="宋体" w:cs="Times New Roman"/>
                <w:kern w:val="2"/>
                <w:sz w:val="24"/>
                <w:szCs w:val="24"/>
                <w:u w:val="single"/>
                <w:lang w:val="en-US" w:eastAsia="zh-CN" w:bidi="ar-SA"/>
              </w:rPr>
              <w:t xml:space="preserve">各类医疗废物不能混合收集；有机、无机，液体、固体必须分开收集。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4)</w:t>
            </w:r>
            <w:r>
              <w:rPr>
                <w:rFonts w:hint="eastAsia" w:ascii="Times New Roman" w:hAnsi="Times New Roman" w:eastAsia="宋体" w:cs="Times New Roman"/>
                <w:kern w:val="2"/>
                <w:sz w:val="24"/>
                <w:szCs w:val="24"/>
                <w:u w:val="single"/>
                <w:lang w:val="en-US" w:eastAsia="zh-CN" w:bidi="ar-SA"/>
              </w:rPr>
              <w:t xml:space="preserve">在住院室、诊室等高危区必须采用双层废物袋或可密封处理的聚丙烯塑料桶，针头等锐器不应和其他废物混放，使用后要稳妥安全地放入防漏、防刺的专用锐器容器中。锐器容器要求有盖，并做好明显的标识，防止转运人员被锐器划伤引起疾病感染。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5)</w:t>
            </w:r>
            <w:r>
              <w:rPr>
                <w:rFonts w:hint="eastAsia" w:ascii="Times New Roman" w:hAnsi="Times New Roman" w:eastAsia="宋体" w:cs="Times New Roman"/>
                <w:kern w:val="2"/>
                <w:sz w:val="24"/>
                <w:szCs w:val="24"/>
                <w:u w:val="single"/>
                <w:lang w:val="en-US" w:eastAsia="zh-CN" w:bidi="ar-SA"/>
              </w:rPr>
              <w:t>医疗废物收集袋的颜色为黄色，印有盛装医疗废物的文字说明和医疗废物警示标识，装满</w:t>
            </w:r>
            <w:r>
              <w:rPr>
                <w:rFonts w:hint="default" w:ascii="Times New Roman" w:hAnsi="Times New Roman" w:eastAsia="宋体" w:cs="Times New Roman"/>
                <w:kern w:val="2"/>
                <w:sz w:val="24"/>
                <w:szCs w:val="24"/>
                <w:u w:val="single"/>
                <w:lang w:val="en-US" w:eastAsia="zh-CN" w:bidi="ar-SA"/>
              </w:rPr>
              <w:t>3/4</w:t>
            </w:r>
            <w:r>
              <w:rPr>
                <w:rFonts w:hint="eastAsia" w:ascii="Times New Roman" w:hAnsi="Times New Roman" w:eastAsia="宋体" w:cs="Times New Roman"/>
                <w:kern w:val="2"/>
                <w:sz w:val="24"/>
                <w:szCs w:val="24"/>
                <w:u w:val="single"/>
                <w:lang w:val="en-US" w:eastAsia="zh-CN" w:bidi="ar-SA"/>
              </w:rPr>
              <w:t xml:space="preserve">后就应当由专人密封清运至医疗垃圾暂存间。医疗废物收集袋口可用带子扎紧，禁止采用订书机之类的简易封口方式。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③危险废物消毒</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1)</w:t>
            </w:r>
            <w:r>
              <w:rPr>
                <w:rFonts w:hint="eastAsia" w:ascii="Times New Roman" w:hAnsi="Times New Roman" w:eastAsia="宋体" w:cs="Times New Roman"/>
                <w:kern w:val="2"/>
                <w:sz w:val="24"/>
                <w:szCs w:val="24"/>
                <w:u w:val="single"/>
                <w:lang w:val="en-US" w:eastAsia="zh-CN" w:bidi="ar-SA"/>
              </w:rPr>
              <w:t xml:space="preserve">医疗废物中病原体的培养基、标本和菌种、毒种保存液等高危险废物，在交医疗废物集中处置单位处置前应当应在产生地点进行压力蒸汽灭菌消毒。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2)</w:t>
            </w:r>
            <w:r>
              <w:rPr>
                <w:rFonts w:hint="eastAsia" w:ascii="Times New Roman" w:hAnsi="Times New Roman" w:eastAsia="宋体" w:cs="Times New Roman"/>
                <w:kern w:val="2"/>
                <w:sz w:val="24"/>
                <w:szCs w:val="24"/>
                <w:u w:val="single"/>
                <w:lang w:val="en-US" w:eastAsia="zh-CN" w:bidi="ar-SA"/>
              </w:rPr>
              <w:t>污水处理产生的污泥经投加石灰进行消毒处理，达到《医疗机构水污染物排放标准》表</w:t>
            </w:r>
            <w:r>
              <w:rPr>
                <w:rFonts w:hint="default" w:ascii="Times New Roman" w:hAnsi="Times New Roman" w:eastAsia="宋体" w:cs="Times New Roman"/>
                <w:kern w:val="2"/>
                <w:sz w:val="24"/>
                <w:szCs w:val="24"/>
                <w:u w:val="single"/>
                <w:lang w:val="en-US" w:eastAsia="zh-CN" w:bidi="ar-SA"/>
              </w:rPr>
              <w:t>4</w:t>
            </w:r>
            <w:r>
              <w:rPr>
                <w:rFonts w:hint="eastAsia" w:ascii="Times New Roman" w:hAnsi="Times New Roman" w:eastAsia="宋体" w:cs="Times New Roman"/>
                <w:kern w:val="2"/>
                <w:sz w:val="24"/>
                <w:szCs w:val="24"/>
                <w:u w:val="single"/>
                <w:lang w:val="en-US" w:eastAsia="zh-CN" w:bidi="ar-SA"/>
              </w:rPr>
              <w:t xml:space="preserve">中医疗机构污泥控制标准。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④危险废物交接</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医疗废物运送人员在接收医疗废物时</w:t>
            </w:r>
            <w:r>
              <w:rPr>
                <w:rFonts w:hint="default" w:ascii="Times New Roman" w:hAnsi="Times New Roman" w:eastAsia="宋体" w:cs="Times New Roman"/>
                <w:kern w:val="2"/>
                <w:sz w:val="24"/>
                <w:szCs w:val="24"/>
                <w:u w:val="single"/>
                <w:lang w:val="en-US" w:eastAsia="zh-CN" w:bidi="ar-SA"/>
              </w:rPr>
              <w:t>,</w:t>
            </w:r>
            <w:r>
              <w:rPr>
                <w:rFonts w:hint="eastAsia" w:ascii="Times New Roman" w:hAnsi="Times New Roman" w:eastAsia="宋体" w:cs="Times New Roman"/>
                <w:kern w:val="2"/>
                <w:sz w:val="24"/>
                <w:szCs w:val="24"/>
                <w:u w:val="single"/>
                <w:lang w:val="en-US" w:eastAsia="zh-CN" w:bidi="ar-SA"/>
              </w:rPr>
              <w:t xml:space="preserve">应外观检查医疗卫生机构是否按规定进行包装、标识，并盛装于周转箱内，不得打开包装袋取出医疗废物。对包装破损、包装外表污染或未盛装于周转箱内的医疗废物，医疗废物运送人员应当要求医疗卫生机构重新包装、标识，并盛装于周转箱内。拒不按规定对医疗废物进行包装的，运送人员有权拒绝运送，并向当地环保部门报告。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本医院医疗废物委托岳阳市方向固废安全处置有限公司收集处理，医疗废物交接依照《危险废物转移联单管理办法》的相关规定，执行危险废物转移联单管理制度。</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 xml:space="preserve">为进一步加强危险废物贮存管理，评价对本项目厂区危险废物暂存提出以下建议：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A、应使用符合标准的容器盛装危险废物，容器及其材质应满足相应的强度要求；液体危险废物可注入开孔直径不超过</w:t>
            </w:r>
            <w:r>
              <w:rPr>
                <w:rFonts w:hint="default" w:ascii="Times New Roman" w:hAnsi="Times New Roman" w:eastAsia="宋体" w:cs="Times New Roman"/>
                <w:kern w:val="2"/>
                <w:sz w:val="24"/>
                <w:szCs w:val="24"/>
                <w:u w:val="single"/>
                <w:lang w:val="en-US" w:eastAsia="zh-CN" w:bidi="ar-SA"/>
              </w:rPr>
              <w:t>70mm</w:t>
            </w:r>
            <w:r>
              <w:rPr>
                <w:rFonts w:hint="eastAsia" w:ascii="Times New Roman" w:hAnsi="Times New Roman" w:eastAsia="宋体" w:cs="Times New Roman"/>
                <w:kern w:val="2"/>
                <w:sz w:val="24"/>
                <w:szCs w:val="24"/>
                <w:u w:val="single"/>
                <w:lang w:val="en-US" w:eastAsia="zh-CN" w:bidi="ar-SA"/>
              </w:rPr>
              <w:t xml:space="preserve">并有放气孔的桶中。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B</w:t>
            </w:r>
            <w:r>
              <w:rPr>
                <w:rFonts w:hint="eastAsia" w:ascii="Times New Roman" w:hAnsi="Times New Roman" w:eastAsia="宋体" w:cs="Times New Roman"/>
                <w:kern w:val="2"/>
                <w:sz w:val="24"/>
                <w:szCs w:val="24"/>
                <w:u w:val="single"/>
                <w:lang w:val="en-US" w:eastAsia="zh-CN" w:bidi="ar-SA"/>
              </w:rPr>
              <w:t>、装载危废材质和衬里要与危险废物相容，并且保留足够的空间，容器顶部与液体表面之间保留</w:t>
            </w:r>
            <w:r>
              <w:rPr>
                <w:rFonts w:hint="default" w:ascii="Times New Roman" w:hAnsi="Times New Roman" w:eastAsia="宋体" w:cs="Times New Roman"/>
                <w:kern w:val="2"/>
                <w:sz w:val="24"/>
                <w:szCs w:val="24"/>
                <w:u w:val="single"/>
                <w:lang w:val="en-US" w:eastAsia="zh-CN" w:bidi="ar-SA"/>
              </w:rPr>
              <w:t>100mm</w:t>
            </w:r>
            <w:r>
              <w:rPr>
                <w:rFonts w:hint="eastAsia" w:ascii="Times New Roman" w:hAnsi="Times New Roman" w:eastAsia="宋体" w:cs="Times New Roman"/>
                <w:kern w:val="2"/>
                <w:sz w:val="24"/>
                <w:szCs w:val="24"/>
                <w:u w:val="single"/>
                <w:lang w:val="en-US" w:eastAsia="zh-CN" w:bidi="ar-SA"/>
              </w:rPr>
              <w:t xml:space="preserve">以上的空间。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C</w:t>
            </w:r>
            <w:r>
              <w:rPr>
                <w:rFonts w:hint="eastAsia" w:ascii="Times New Roman" w:hAnsi="Times New Roman" w:eastAsia="宋体" w:cs="Times New Roman"/>
                <w:kern w:val="2"/>
                <w:sz w:val="24"/>
                <w:szCs w:val="24"/>
                <w:u w:val="single"/>
                <w:lang w:val="en-US" w:eastAsia="zh-CN" w:bidi="ar-SA"/>
              </w:rPr>
              <w:t>、容器表面必须粘贴符合标准的标签（见《危险废物贮存污染控制标准》</w:t>
            </w:r>
            <w:r>
              <w:rPr>
                <w:rFonts w:hint="default" w:ascii="Times New Roman" w:hAnsi="Times New Roman" w:eastAsia="宋体" w:cs="Times New Roman"/>
                <w:kern w:val="2"/>
                <w:sz w:val="24"/>
                <w:szCs w:val="24"/>
                <w:u w:val="single"/>
                <w:lang w:val="en-US" w:eastAsia="zh-CN" w:bidi="ar-SA"/>
              </w:rPr>
              <w:t>GB18597-2023</w:t>
            </w:r>
            <w:r>
              <w:rPr>
                <w:rFonts w:hint="eastAsia" w:ascii="Times New Roman" w:hAnsi="Times New Roman" w:eastAsia="宋体" w:cs="Times New Roman"/>
                <w:kern w:val="2"/>
                <w:sz w:val="24"/>
                <w:szCs w:val="24"/>
                <w:u w:val="single"/>
                <w:lang w:val="en-US" w:eastAsia="zh-CN" w:bidi="ar-SA"/>
              </w:rPr>
              <w:t xml:space="preserve">；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F</w:t>
            </w:r>
            <w:r>
              <w:rPr>
                <w:rFonts w:hint="eastAsia" w:ascii="Times New Roman" w:hAnsi="Times New Roman" w:eastAsia="宋体" w:cs="Times New Roman"/>
                <w:kern w:val="2"/>
                <w:sz w:val="24"/>
                <w:szCs w:val="24"/>
                <w:u w:val="single"/>
                <w:lang w:val="en-US" w:eastAsia="zh-CN" w:bidi="ar-SA"/>
              </w:rPr>
              <w:t xml:space="preserve">、设置专人负责危废的日常收集和管理，对进出临时贮存所的危废都要记录在案。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G</w:t>
            </w:r>
            <w:r>
              <w:rPr>
                <w:rFonts w:hint="eastAsia" w:ascii="Times New Roman" w:hAnsi="Times New Roman" w:eastAsia="宋体" w:cs="Times New Roman"/>
                <w:kern w:val="2"/>
                <w:sz w:val="24"/>
                <w:szCs w:val="24"/>
                <w:u w:val="single"/>
                <w:lang w:val="en-US" w:eastAsia="zh-CN" w:bidi="ar-SA"/>
              </w:rPr>
              <w:t xml:space="preserve">、危废临时贮存所周围要设置防护栅栏，并设置警示标志。贮存所内应配备通讯设备、照明设备、安全防护服装及工具，并有应急防护设施。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根据《中华人民共和国固体废物污染环境防治法》规定，企业应制定危险废物管理计划，内容包括减少危险废物产生量和危害性的措施以及危险废物贮存、利用、处置措施。企业应严格按照《危险废物贮存污染控制标准》（</w:t>
            </w:r>
            <w:r>
              <w:rPr>
                <w:rFonts w:hint="default" w:ascii="Times New Roman" w:hAnsi="Times New Roman" w:eastAsia="宋体" w:cs="Times New Roman"/>
                <w:kern w:val="2"/>
                <w:sz w:val="24"/>
                <w:szCs w:val="24"/>
                <w:u w:val="single"/>
                <w:lang w:val="en-US" w:eastAsia="zh-CN" w:bidi="ar-SA"/>
              </w:rPr>
              <w:t>GB18597-2023</w:t>
            </w:r>
            <w:r>
              <w:rPr>
                <w:rFonts w:hint="eastAsia" w:ascii="Times New Roman" w:hAnsi="Times New Roman" w:eastAsia="宋体" w:cs="Times New Roman"/>
                <w:kern w:val="2"/>
                <w:sz w:val="24"/>
                <w:szCs w:val="24"/>
                <w:u w:val="single"/>
                <w:lang w:val="en-US" w:eastAsia="zh-CN" w:bidi="ar-SA"/>
              </w:rPr>
              <w:t>）中有关要求做好危险固废的收集、贮存工作，各类危险固废分别采用专门容器收集后，在厂区内设置专门的危险废物储存间暂存，储存间应按照《危险废物贮存污染控制标准》（</w:t>
            </w:r>
            <w:r>
              <w:rPr>
                <w:rFonts w:hint="default" w:ascii="Times New Roman" w:hAnsi="Times New Roman" w:eastAsia="宋体" w:cs="Times New Roman"/>
                <w:kern w:val="2"/>
                <w:sz w:val="24"/>
                <w:szCs w:val="24"/>
                <w:u w:val="single"/>
                <w:lang w:val="en-US" w:eastAsia="zh-CN" w:bidi="ar-SA"/>
              </w:rPr>
              <w:t>GB18597-2023</w:t>
            </w:r>
            <w:r>
              <w:rPr>
                <w:rFonts w:hint="eastAsia" w:ascii="Times New Roman" w:hAnsi="Times New Roman" w:eastAsia="宋体" w:cs="Times New Roman"/>
                <w:kern w:val="2"/>
                <w:sz w:val="24"/>
                <w:szCs w:val="24"/>
                <w:u w:val="single"/>
                <w:lang w:val="en-US" w:eastAsia="zh-CN" w:bidi="ar-SA"/>
              </w:rPr>
              <w:t xml:space="preserve">）中要求进行设置和管理。 </w:t>
            </w:r>
          </w:p>
          <w:p>
            <w:pPr>
              <w:pStyle w:val="7"/>
              <w:ind w:firstLine="480"/>
              <w:rPr>
                <w:color w:val="000000" w:themeColor="text1"/>
                <w14:textFill>
                  <w14:solidFill>
                    <w14:schemeClr w14:val="tx1"/>
                  </w14:solidFill>
                </w14:textFill>
              </w:rPr>
            </w:pPr>
            <w:r>
              <w:rPr>
                <w:rFonts w:hint="eastAsia"/>
                <w:color w:val="000000" w:themeColor="text1"/>
                <w:highlight w:val="none"/>
                <w:u w:val="single"/>
                <w14:textFill>
                  <w14:solidFill>
                    <w14:schemeClr w14:val="tx1"/>
                  </w14:solidFill>
                </w14:textFill>
              </w:rPr>
              <w:t>项目医疗废物规范地收集、贮存、运输，交由岳阳市方向固废安全处置有限公司进行处置</w:t>
            </w:r>
            <w:r>
              <w:rPr>
                <w:rFonts w:hint="eastAsia"/>
                <w:color w:val="000000" w:themeColor="text1"/>
                <w:highlight w:val="none"/>
                <w:u w:val="single"/>
                <w:lang w:eastAsia="zh-CN"/>
                <w14:textFill>
                  <w14:solidFill>
                    <w14:schemeClr w14:val="tx1"/>
                  </w14:solidFill>
                </w14:textFill>
              </w:rPr>
              <w:t>，且</w:t>
            </w:r>
            <w:r>
              <w:rPr>
                <w:rFonts w:hint="eastAsia"/>
                <w:color w:val="000000" w:themeColor="text1"/>
                <w:u w:val="single"/>
                <w14:textFill>
                  <w14:solidFill>
                    <w14:schemeClr w14:val="tx1"/>
                  </w14:solidFill>
                </w14:textFill>
              </w:rPr>
              <w:t>医疗废物暂时贮存的时间不得超过2天，医疗废物转交出去后，应当对暂时贮存地点、设施及时进行清洁和消毒处理</w:t>
            </w:r>
            <w:r>
              <w:rPr>
                <w:rFonts w:hint="eastAsia"/>
                <w:color w:val="000000" w:themeColor="text1"/>
                <w:highlight w:val="none"/>
                <w:u w:val="single"/>
                <w14:textFill>
                  <w14:solidFill>
                    <w14:schemeClr w14:val="tx1"/>
                  </w14:solidFill>
                </w14:textFill>
              </w:rPr>
              <w:t>；污水处理站污泥及时清挖随清随运不临时贮存；生活垃圾交由环卫部门统一清运处理；废包装材</w:t>
            </w:r>
            <w:r>
              <w:rPr>
                <w:rFonts w:hint="eastAsia"/>
                <w:color w:val="000000" w:themeColor="text1"/>
                <w:u w:val="single"/>
                <w14:textFill>
                  <w14:solidFill>
                    <w14:schemeClr w14:val="tx1"/>
                  </w14:solidFill>
                </w14:textFill>
              </w:rPr>
              <w:t>料收集后交资源回收公司处理。</w:t>
            </w:r>
            <w:r>
              <w:rPr>
                <w:color w:val="000000" w:themeColor="text1"/>
                <w:u w:val="single"/>
                <w14:textFill>
                  <w14:solidFill>
                    <w14:schemeClr w14:val="tx1"/>
                  </w14:solidFill>
                </w14:textFill>
              </w:rPr>
              <w:t>本项目的固废严格遵循</w:t>
            </w:r>
            <w:r>
              <w:rPr>
                <w:rFonts w:hint="eastAsia"/>
                <w:color w:val="000000" w:themeColor="text1"/>
                <w:u w:val="single"/>
                <w14:textFill>
                  <w14:solidFill>
                    <w14:schemeClr w14:val="tx1"/>
                  </w14:solidFill>
                </w14:textFill>
              </w:rPr>
              <w:t>“</w:t>
            </w:r>
            <w:r>
              <w:rPr>
                <w:color w:val="000000" w:themeColor="text1"/>
                <w:u w:val="single"/>
                <w14:textFill>
                  <w14:solidFill>
                    <w14:schemeClr w14:val="tx1"/>
                  </w14:solidFill>
                </w14:textFill>
              </w:rPr>
              <w:t>减量化、资源化、无害化</w:t>
            </w:r>
            <w:r>
              <w:rPr>
                <w:rFonts w:hint="eastAsia"/>
                <w:color w:val="000000" w:themeColor="text1"/>
                <w:u w:val="single"/>
                <w14:textFill>
                  <w14:solidFill>
                    <w14:schemeClr w14:val="tx1"/>
                  </w14:solidFill>
                </w14:textFill>
              </w:rPr>
              <w:t>”</w:t>
            </w:r>
            <w:r>
              <w:rPr>
                <w:color w:val="000000" w:themeColor="text1"/>
                <w:u w:val="single"/>
                <w14:textFill>
                  <w14:solidFill>
                    <w14:schemeClr w14:val="tx1"/>
                  </w14:solidFill>
                </w14:textFill>
              </w:rPr>
              <w:t>基本原则，通过上述措施妥善安置存放、合理利用处置，则不会对周围环境造成不利影响。</w:t>
            </w:r>
          </w:p>
          <w:p>
            <w:pPr>
              <w:pStyle w:val="7"/>
              <w:ind w:firstLine="48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w:t>
            </w:r>
            <w:r>
              <w:rPr>
                <w:rFonts w:hint="eastAsia"/>
                <w:b/>
                <w:bCs/>
                <w:color w:val="000000" w:themeColor="text1"/>
                <w:lang w:eastAsia="zh-CN"/>
                <w14:textFill>
                  <w14:solidFill>
                    <w14:schemeClr w14:val="tx1"/>
                  </w14:solidFill>
                </w14:textFill>
              </w:rPr>
              <w:t>、</w:t>
            </w:r>
            <w:r>
              <w:rPr>
                <w:rFonts w:hint="eastAsia"/>
                <w:b/>
                <w:bCs/>
                <w:color w:val="000000" w:themeColor="text1"/>
                <w14:textFill>
                  <w14:solidFill>
                    <w14:schemeClr w14:val="tx1"/>
                  </w14:solidFill>
                </w14:textFill>
              </w:rPr>
              <w:t>固体废物影响结论</w:t>
            </w:r>
          </w:p>
          <w:p>
            <w:pPr>
              <w:pStyle w:val="7"/>
              <w:ind w:firstLine="480"/>
              <w:jc w:val="both"/>
              <w:rPr>
                <w:color w:val="000000" w:themeColor="text1"/>
                <w14:textFill>
                  <w14:solidFill>
                    <w14:schemeClr w14:val="tx1"/>
                  </w14:solidFill>
                </w14:textFill>
              </w:rPr>
            </w:pPr>
            <w:r>
              <w:rPr>
                <w:color w:val="000000" w:themeColor="text1"/>
                <w14:textFill>
                  <w14:solidFill>
                    <w14:schemeClr w14:val="tx1"/>
                  </w14:solidFill>
                </w14:textFill>
              </w:rPr>
              <w:t>本项目营运期产生的固体废物均能够得到安全处置，</w:t>
            </w:r>
            <w:r>
              <w:rPr>
                <w:rFonts w:hint="eastAsia"/>
                <w:color w:val="000000" w:themeColor="text1"/>
                <w14:textFill>
                  <w14:solidFill>
                    <w14:schemeClr w14:val="tx1"/>
                  </w14:solidFill>
                </w14:textFill>
              </w:rPr>
              <w:t>医疗废物收集、暂存符合《危险废物贮存污染控制标准》（GB18597-2023）；污水处理站产生的污泥处理符合《医疗机构水污染物排放标准》（</w:t>
            </w:r>
            <w:r>
              <w:rPr>
                <w:color w:val="000000" w:themeColor="text1"/>
                <w14:textFill>
                  <w14:solidFill>
                    <w14:schemeClr w14:val="tx1"/>
                  </w14:solidFill>
                </w14:textFill>
              </w:rPr>
              <w:t>GB18466-2005</w:t>
            </w:r>
            <w:r>
              <w:rPr>
                <w:rFonts w:hint="eastAsia"/>
                <w:color w:val="000000" w:themeColor="text1"/>
                <w14:textFill>
                  <w14:solidFill>
                    <w14:schemeClr w14:val="tx1"/>
                  </w14:solidFill>
                </w14:textFill>
              </w:rPr>
              <w:t>）中的医疗机构污泥控制标准；一般工业固废符合《一般工业固体废物贮存和填埋污染控制标准》</w:t>
            </w:r>
            <w:r>
              <w:rPr>
                <w:color w:val="000000" w:themeColor="text1"/>
                <w14:textFill>
                  <w14:solidFill>
                    <w14:schemeClr w14:val="tx1"/>
                  </w14:solidFill>
                </w14:textFill>
              </w:rPr>
              <w:t>(GB18599-2020)</w:t>
            </w:r>
            <w:r>
              <w:rPr>
                <w:rFonts w:hint="eastAsia"/>
                <w:color w:val="000000" w:themeColor="text1"/>
                <w14:textFill>
                  <w14:solidFill>
                    <w14:schemeClr w14:val="tx1"/>
                  </w14:solidFill>
                </w14:textFill>
              </w:rPr>
              <w:t>；生活垃圾符合《生活垃圾焚烧污染控制标准》</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GB16889-2014</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中的相关规定</w:t>
            </w:r>
            <w:r>
              <w:rPr>
                <w:color w:val="000000" w:themeColor="text1"/>
                <w14:textFill>
                  <w14:solidFill>
                    <w14:schemeClr w14:val="tx1"/>
                  </w14:solidFill>
                </w14:textFill>
              </w:rPr>
              <w:t>，采取上述措施后，本</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固体废物可得到妥善的处理，对周围环境造成的影响</w:t>
            </w:r>
            <w:r>
              <w:rPr>
                <w:rFonts w:hint="eastAsia"/>
                <w:color w:val="000000" w:themeColor="text1"/>
                <w14:textFill>
                  <w14:solidFill>
                    <w14:schemeClr w14:val="tx1"/>
                  </w14:solidFill>
                </w14:textFill>
              </w:rPr>
              <w:t>较</w:t>
            </w:r>
            <w:r>
              <w:rPr>
                <w:color w:val="000000" w:themeColor="text1"/>
                <w14:textFill>
                  <w14:solidFill>
                    <w14:schemeClr w14:val="tx1"/>
                  </w14:solidFill>
                </w14:textFill>
              </w:rPr>
              <w:t>小。</w:t>
            </w:r>
          </w:p>
          <w:p>
            <w:pPr>
              <w:pStyle w:val="7"/>
              <w:ind w:firstLine="48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五、</w:t>
            </w:r>
            <w:r>
              <w:rPr>
                <w:rFonts w:hint="eastAsia"/>
                <w:b/>
                <w:bCs/>
                <w:color w:val="000000" w:themeColor="text1"/>
                <w14:textFill>
                  <w14:solidFill>
                    <w14:schemeClr w14:val="tx1"/>
                  </w14:solidFill>
                </w14:textFill>
              </w:rPr>
              <w:t>地下水及土壤环境</w:t>
            </w:r>
          </w:p>
          <w:p>
            <w:pPr>
              <w:pStyle w:val="7"/>
              <w:ind w:firstLine="48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地下水：厂界外500米范围内的地下水没有集中式饮用水水源和热水、矿泉水、温泉等特殊地下水资源，本项目可不进行地下水评价，因此，本环评不进行地下水环境影响评价。</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对地下水的污染源为危废、医疗废水、生活垃圾，主要途径为渗透污染。造成污染原因主要为：危废、生活污水因设备或人为操作失误，发生泄漏事故进入土壤，从而污染地下防水层。雨季或长时间放置的生活垃圾会产生液体进入土壤，进而污染地下水。</w:t>
            </w:r>
          </w:p>
          <w:p>
            <w:pPr>
              <w:pStyle w:val="7"/>
              <w:ind w:firstLine="48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土壤：产业园区外建设项目新增用地的，应明确新增用地范围内生态环境保护目标，本项目为已建成的项目，不属于新增建设项目用地，本环评不进行土壤环境影响评价</w:t>
            </w:r>
            <w:r>
              <w:rPr>
                <w:color w:val="000000" w:themeColor="text1"/>
                <w:u w:val="none"/>
                <w14:textFill>
                  <w14:solidFill>
                    <w14:schemeClr w14:val="tx1"/>
                  </w14:solidFill>
                </w14:textFill>
              </w:rPr>
              <w:t>。</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因本项目大气污染物主要为无组织排放恶臭，主要成分为硫化氢、氯气、氨，不涉及重金属因子，所以恶臭的大气沉降对周边土壤影响较小。</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造成危废、生活污水、生活垃圾对土壤的渗透污染原因为：危废、生活污水因设备或人为操作失误，发生泄漏事故进入土壤。雨季或长时间放置的生活垃圾会产生液体进入土壤，进而污染地下水。</w:t>
            </w:r>
          </w:p>
          <w:p>
            <w:pPr>
              <w:pStyle w:val="7"/>
              <w:ind w:firstLine="480"/>
              <w:rPr>
                <w:color w:val="000000" w:themeColor="text1"/>
                <w14:textFill>
                  <w14:solidFill>
                    <w14:schemeClr w14:val="tx1"/>
                  </w14:solidFill>
                </w14:textFill>
              </w:rPr>
            </w:pPr>
            <w:r>
              <w:rPr>
                <w:rFonts w:hint="eastAsia" w:cs="Times New Roman"/>
                <w:kern w:val="0"/>
                <w:sz w:val="24"/>
                <w:lang w:val="en-US" w:eastAsia="zh-CN"/>
              </w:rPr>
              <w:t>医院未分区防控，</w:t>
            </w:r>
            <w:r>
              <w:rPr>
                <w:color w:val="000000" w:themeColor="text1"/>
                <w14:textFill>
                  <w14:solidFill>
                    <w14:schemeClr w14:val="tx1"/>
                  </w14:solidFill>
                </w14:textFill>
              </w:rPr>
              <w:t>本环评建议采用分区防控措施。将全厂分为重点防渗区、一般防渗区和简单防渗区。</w:t>
            </w:r>
          </w:p>
          <w:p>
            <w:pPr>
              <w:pStyle w:val="49"/>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4.2-18</w:t>
            </w:r>
            <w:r>
              <w:rPr>
                <w:color w:val="000000" w:themeColor="text1"/>
                <w14:textFill>
                  <w14:solidFill>
                    <w14:schemeClr w14:val="tx1"/>
                  </w14:solidFill>
                </w14:textFill>
              </w:rPr>
              <w:t>厂区分区防渗措施</w:t>
            </w:r>
          </w:p>
          <w:tbl>
            <w:tblPr>
              <w:tblStyle w:val="31"/>
              <w:tblW w:w="7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490"/>
              <w:gridCol w:w="915"/>
              <w:gridCol w:w="1547"/>
              <w:gridCol w:w="4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90" w:type="dxa"/>
                  <w:shd w:val="clear" w:color="auto" w:fill="auto"/>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序</w:t>
                  </w:r>
                  <w:r>
                    <w:rPr>
                      <w:rFonts w:hint="eastAsia"/>
                      <w:color w:val="000000" w:themeColor="text1"/>
                      <w14:textFill>
                        <w14:solidFill>
                          <w14:schemeClr w14:val="tx1"/>
                        </w14:solidFill>
                      </w14:textFill>
                    </w:rPr>
                    <w:t>号</w:t>
                  </w:r>
                </w:p>
              </w:tc>
              <w:tc>
                <w:tcPr>
                  <w:tcW w:w="915" w:type="dxa"/>
                  <w:shd w:val="clear" w:color="auto" w:fill="auto"/>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污染分区</w:t>
                  </w:r>
                </w:p>
              </w:tc>
              <w:tc>
                <w:tcPr>
                  <w:tcW w:w="1547" w:type="dxa"/>
                  <w:shd w:val="clear" w:color="auto" w:fill="auto"/>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4964" w:type="dxa"/>
                  <w:shd w:val="clear" w:color="auto" w:fill="auto"/>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防渗及防腐措施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90" w:type="dxa"/>
                  <w:shd w:val="clear" w:color="auto" w:fill="auto"/>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1</w:t>
                  </w:r>
                </w:p>
              </w:tc>
              <w:tc>
                <w:tcPr>
                  <w:tcW w:w="915" w:type="dxa"/>
                  <w:shd w:val="clear" w:color="auto" w:fill="auto"/>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重点防渗区</w:t>
                  </w:r>
                </w:p>
              </w:tc>
              <w:tc>
                <w:tcPr>
                  <w:tcW w:w="1547" w:type="dxa"/>
                  <w:shd w:val="clear" w:color="auto" w:fill="auto"/>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危险化学品贮存区、医疗废物暂存间、污水处理站、化粪池等</w:t>
                  </w:r>
                </w:p>
              </w:tc>
              <w:tc>
                <w:tcPr>
                  <w:tcW w:w="4964" w:type="dxa"/>
                  <w:shd w:val="clear" w:color="auto" w:fill="auto"/>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采用钢筋混</w:t>
                  </w:r>
                  <w:r>
                    <w:rPr>
                      <w:rFonts w:hint="eastAsia"/>
                      <w:color w:val="000000" w:themeColor="text1"/>
                      <w:lang w:eastAsia="zh-CN"/>
                      <w14:textFill>
                        <w14:solidFill>
                          <w14:schemeClr w14:val="tx1"/>
                        </w14:solidFill>
                      </w14:textFill>
                    </w:rPr>
                    <w:t>凝</w:t>
                  </w:r>
                  <w:r>
                    <w:rPr>
                      <w:color w:val="000000" w:themeColor="text1"/>
                      <w14:textFill>
                        <w14:solidFill>
                          <w14:schemeClr w14:val="tx1"/>
                        </w14:solidFill>
                      </w14:textFill>
                    </w:rPr>
                    <w:t>土加防渗</w:t>
                  </w:r>
                  <w:r>
                    <w:rPr>
                      <w:rFonts w:hint="eastAsia"/>
                      <w:color w:val="000000" w:themeColor="text1"/>
                      <w14:textFill>
                        <w14:solidFill>
                          <w14:schemeClr w14:val="tx1"/>
                        </w14:solidFill>
                      </w14:textFill>
                    </w:rPr>
                    <w:t>剂</w:t>
                  </w:r>
                  <w:r>
                    <w:rPr>
                      <w:color w:val="000000" w:themeColor="text1"/>
                      <w14:textFill>
                        <w14:solidFill>
                          <w14:schemeClr w14:val="tx1"/>
                        </w14:solidFill>
                      </w14:textFill>
                    </w:rPr>
                    <w:t>的防渗地坪</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人工材料</w:t>
                  </w:r>
                  <w:r>
                    <w:rPr>
                      <w:color w:val="000000" w:themeColor="text1"/>
                      <w:lang w:eastAsia="en-US"/>
                      <w14:textFill>
                        <w14:solidFill>
                          <w14:schemeClr w14:val="tx1"/>
                        </w14:solidFill>
                      </w14:textFill>
                    </w:rPr>
                    <w:t>（HDPE）</w:t>
                  </w:r>
                  <w:r>
                    <w:rPr>
                      <w:color w:val="000000" w:themeColor="text1"/>
                      <w14:textFill>
                        <w14:solidFill>
                          <w14:schemeClr w14:val="tx1"/>
                        </w14:solidFill>
                      </w14:textFill>
                    </w:rPr>
                    <w:t>防渗层，或采</w:t>
                  </w:r>
                  <w:r>
                    <w:rPr>
                      <w:rFonts w:hint="eastAsia"/>
                      <w:color w:val="000000" w:themeColor="text1"/>
                      <w14:textFill>
                        <w14:solidFill>
                          <w14:schemeClr w14:val="tx1"/>
                        </w14:solidFill>
                      </w14:textFill>
                    </w:rPr>
                    <w:t>取</w:t>
                  </w:r>
                  <w:r>
                    <w:rPr>
                      <w:color w:val="000000" w:themeColor="text1"/>
                      <w14:textFill>
                        <w14:solidFill>
                          <w14:schemeClr w14:val="tx1"/>
                        </w14:solidFill>
                      </w14:textFill>
                    </w:rPr>
                    <w:t>其他防渗措施，确保等效黏土防渗层</w:t>
                  </w:r>
                  <w:r>
                    <w:rPr>
                      <w:color w:val="000000" w:themeColor="text1"/>
                      <w:lang w:eastAsia="en-US"/>
                      <w14:textFill>
                        <w14:solidFill>
                          <w14:schemeClr w14:val="tx1"/>
                        </w14:solidFill>
                      </w14:textFill>
                    </w:rPr>
                    <w:t>Mb</w:t>
                  </w:r>
                  <w:r>
                    <w:rPr>
                      <w:rFonts w:ascii="Arial" w:hAnsi="Arial" w:cs="Arial"/>
                      <w:color w:val="000000" w:themeColor="text1"/>
                      <w14:textFill>
                        <w14:solidFill>
                          <w14:schemeClr w14:val="tx1"/>
                        </w14:solidFill>
                      </w14:textFill>
                    </w:rPr>
                    <w:t>≥</w:t>
                  </w:r>
                  <w:r>
                    <w:rPr>
                      <w:color w:val="000000" w:themeColor="text1"/>
                      <w:lang w:eastAsia="en-US"/>
                      <w14:textFill>
                        <w14:solidFill>
                          <w14:schemeClr w14:val="tx1"/>
                        </w14:solidFill>
                      </w14:textFill>
                    </w:rPr>
                    <w:t>6.0m</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 xml:space="preserve">渗透系数 </w:t>
                  </w:r>
                  <w:r>
                    <w:rPr>
                      <w:color w:val="000000" w:themeColor="text1"/>
                      <w:lang w:eastAsia="en-US"/>
                      <w14:textFill>
                        <w14:solidFill>
                          <w14:schemeClr w14:val="tx1"/>
                        </w14:solidFill>
                      </w14:textFill>
                    </w:rPr>
                    <w:t>K</w:t>
                  </w:r>
                  <w:r>
                    <w:rPr>
                      <w:rFonts w:ascii="Arial" w:hAnsi="Arial" w:cs="Arial"/>
                      <w:color w:val="000000" w:themeColor="text1"/>
                      <w14:textFill>
                        <w14:solidFill>
                          <w14:schemeClr w14:val="tx1"/>
                        </w14:solidFill>
                      </w14:textFill>
                    </w:rPr>
                    <w:t>≤</w:t>
                  </w:r>
                  <w:r>
                    <w:rPr>
                      <w:color w:val="000000" w:themeColor="text1"/>
                      <w:lang w:eastAsia="en-US"/>
                      <w14:textFill>
                        <w14:solidFill>
                          <w14:schemeClr w14:val="tx1"/>
                        </w14:solidFill>
                      </w14:textFill>
                    </w:rPr>
                    <w:t xml:space="preserve"> 10</w:t>
                  </w:r>
                  <w:r>
                    <w:rPr>
                      <w:rFonts w:hint="eastAsia"/>
                      <w:color w:val="000000" w:themeColor="text1"/>
                      <w:lang w:eastAsia="zh-CN"/>
                      <w14:textFill>
                        <w14:solidFill>
                          <w14:schemeClr w14:val="tx1"/>
                        </w14:solidFill>
                      </w14:textFill>
                    </w:rPr>
                    <w:t>—</w:t>
                  </w:r>
                  <w:r>
                    <w:rPr>
                      <w:rFonts w:hint="eastAsia"/>
                      <w:color w:val="000000" w:themeColor="text1"/>
                      <w:vertAlign w:val="superscript"/>
                      <w14:textFill>
                        <w14:solidFill>
                          <w14:schemeClr w14:val="tx1"/>
                        </w14:solidFill>
                      </w14:textFill>
                    </w:rPr>
                    <w:t>7</w:t>
                  </w:r>
                  <w:r>
                    <w:rPr>
                      <w:color w:val="000000" w:themeColor="text1"/>
                      <w:lang w:eastAsia="en-US"/>
                      <w14:textFill>
                        <w14:solidFill>
                          <w14:schemeClr w14:val="tx1"/>
                        </w14:solidFill>
                      </w14:textFill>
                    </w:rPr>
                    <w:t xml:space="preserve">cm </w:t>
                  </w:r>
                  <w:r>
                    <w:rPr>
                      <w:rFonts w:hint="eastAsia"/>
                      <w:color w:val="000000" w:themeColor="text1"/>
                      <w14:textFill>
                        <w14:solidFill>
                          <w14:schemeClr w14:val="tx1"/>
                        </w14:solidFill>
                      </w14:textFill>
                    </w:rPr>
                    <w:t>/</w:t>
                  </w:r>
                  <w:r>
                    <w:rPr>
                      <w:color w:val="000000" w:themeColor="text1"/>
                      <w:lang w:eastAsia="en-US"/>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90" w:type="dxa"/>
                  <w:shd w:val="clear" w:color="auto" w:fill="auto"/>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915" w:type="dxa"/>
                  <w:shd w:val="clear" w:color="auto" w:fill="auto"/>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一般防渗区</w:t>
                  </w:r>
                </w:p>
              </w:tc>
              <w:tc>
                <w:tcPr>
                  <w:tcW w:w="1547" w:type="dxa"/>
                  <w:shd w:val="clear" w:color="auto" w:fill="auto"/>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一般固废暂存区</w:t>
                  </w:r>
                </w:p>
              </w:tc>
              <w:tc>
                <w:tcPr>
                  <w:tcW w:w="4964" w:type="dxa"/>
                  <w:shd w:val="clear" w:color="auto" w:fill="auto"/>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采</w:t>
                  </w:r>
                  <w:r>
                    <w:rPr>
                      <w:color w:val="000000" w:themeColor="text1"/>
                      <w14:textFill>
                        <w14:solidFill>
                          <w14:schemeClr w14:val="tx1"/>
                        </w14:solidFill>
                      </w14:textFill>
                    </w:rPr>
                    <w:t>用</w:t>
                  </w:r>
                  <w:r>
                    <w:rPr>
                      <w:rFonts w:hint="eastAsia"/>
                      <w:color w:val="000000" w:themeColor="text1"/>
                      <w:lang w:eastAsia="zh-CN"/>
                      <w14:textFill>
                        <w14:solidFill>
                          <w14:schemeClr w14:val="tx1"/>
                        </w14:solidFill>
                      </w14:textFill>
                    </w:rPr>
                    <w:t>钢筋</w:t>
                  </w:r>
                  <w:r>
                    <w:rPr>
                      <w:color w:val="000000" w:themeColor="text1"/>
                      <w14:textFill>
                        <w14:solidFill>
                          <w14:schemeClr w14:val="tx1"/>
                        </w14:solidFill>
                      </w14:textFill>
                    </w:rPr>
                    <w:t>混凝土加防渗剂的防渗地坪或在表面涂</w:t>
                  </w:r>
                  <w:r>
                    <w:rPr>
                      <w:rFonts w:hint="eastAsia"/>
                      <w:color w:val="000000" w:themeColor="text1"/>
                      <w14:textFill>
                        <w14:solidFill>
                          <w14:schemeClr w14:val="tx1"/>
                        </w14:solidFill>
                      </w14:textFill>
                    </w:rPr>
                    <w:t>覆</w:t>
                  </w:r>
                  <w:r>
                    <w:rPr>
                      <w:color w:val="000000" w:themeColor="text1"/>
                      <w14:textFill>
                        <w14:solidFill>
                          <w14:schemeClr w14:val="tx1"/>
                        </w14:solidFill>
                      </w14:textFill>
                    </w:rPr>
                    <w:t>防渗材料， 要求防渗等级达到等效</w:t>
                  </w:r>
                  <w:r>
                    <w:rPr>
                      <w:rFonts w:hint="eastAsia"/>
                      <w:color w:val="000000" w:themeColor="text1"/>
                      <w:lang w:eastAsia="zh-CN"/>
                      <w14:textFill>
                        <w14:solidFill>
                          <w14:schemeClr w14:val="tx1"/>
                        </w14:solidFill>
                      </w14:textFill>
                    </w:rPr>
                    <w:t>粘土</w:t>
                  </w:r>
                  <w:r>
                    <w:rPr>
                      <w:color w:val="000000" w:themeColor="text1"/>
                      <w14:textFill>
                        <w14:solidFill>
                          <w14:schemeClr w14:val="tx1"/>
                        </w14:solidFill>
                      </w14:textFill>
                    </w:rPr>
                    <w:t>防渗层</w:t>
                  </w:r>
                  <w:r>
                    <w:rPr>
                      <w:color w:val="000000" w:themeColor="text1"/>
                      <w:lang w:eastAsia="en-US"/>
                      <w14:textFill>
                        <w14:solidFill>
                          <w14:schemeClr w14:val="tx1"/>
                        </w14:solidFill>
                      </w14:textFill>
                    </w:rPr>
                    <w:t>Mb</w:t>
                  </w:r>
                  <w:r>
                    <w:rPr>
                      <w:rFonts w:ascii="Arial" w:hAnsi="Arial" w:cs="Arial"/>
                      <w:color w:val="000000" w:themeColor="text1"/>
                      <w14:textFill>
                        <w14:solidFill>
                          <w14:schemeClr w14:val="tx1"/>
                        </w14:solidFill>
                      </w14:textFill>
                    </w:rPr>
                    <w:t>≥</w:t>
                  </w:r>
                  <w:r>
                    <w:rPr>
                      <w:color w:val="000000" w:themeColor="text1"/>
                      <w:lang w:eastAsia="en-US"/>
                      <w14:textFill>
                        <w14:solidFill>
                          <w14:schemeClr w14:val="tx1"/>
                        </w14:solidFill>
                      </w14:textFill>
                    </w:rPr>
                    <w:t>1.5m，K</w:t>
                  </w:r>
                  <w:r>
                    <w:rPr>
                      <w:rFonts w:ascii="Arial" w:hAnsi="Arial" w:cs="Arial"/>
                      <w:color w:val="000000" w:themeColor="text1"/>
                      <w14:textFill>
                        <w14:solidFill>
                          <w14:schemeClr w14:val="tx1"/>
                        </w14:solidFill>
                      </w14:textFill>
                    </w:rPr>
                    <w:t>≤</w:t>
                  </w:r>
                  <w:r>
                    <w:rPr>
                      <w:color w:val="000000" w:themeColor="text1"/>
                      <w:lang w:eastAsia="en-US"/>
                      <w14:textFill>
                        <w14:solidFill>
                          <w14:schemeClr w14:val="tx1"/>
                        </w14:solidFill>
                      </w14:textFill>
                    </w:rPr>
                    <w:t xml:space="preserve"> 10</w:t>
                  </w:r>
                  <w:r>
                    <w:rPr>
                      <w:rFonts w:hint="eastAsia"/>
                      <w:color w:val="000000" w:themeColor="text1"/>
                      <w:lang w:eastAsia="zh-CN"/>
                      <w14:textFill>
                        <w14:solidFill>
                          <w14:schemeClr w14:val="tx1"/>
                        </w14:solidFill>
                      </w14:textFill>
                    </w:rPr>
                    <w:t>—</w:t>
                  </w:r>
                  <w:r>
                    <w:rPr>
                      <w:rFonts w:hint="eastAsia"/>
                      <w:color w:val="000000" w:themeColor="text1"/>
                      <w:vertAlign w:val="superscript"/>
                      <w14:textFill>
                        <w14:solidFill>
                          <w14:schemeClr w14:val="tx1"/>
                        </w14:solidFill>
                      </w14:textFill>
                    </w:rPr>
                    <w:t>7</w:t>
                  </w:r>
                  <w:r>
                    <w:rPr>
                      <w:color w:val="000000" w:themeColor="text1"/>
                      <w:lang w:eastAsia="en-US"/>
                      <w14:textFill>
                        <w14:solidFill>
                          <w14:schemeClr w14:val="tx1"/>
                        </w14:solidFill>
                      </w14:textFill>
                    </w:rPr>
                    <w:t xml:space="preserve">cm </w:t>
                  </w:r>
                  <w:r>
                    <w:rPr>
                      <w:rFonts w:hint="eastAsia"/>
                      <w:color w:val="000000" w:themeColor="text1"/>
                      <w14:textFill>
                        <w14:solidFill>
                          <w14:schemeClr w14:val="tx1"/>
                        </w14:solidFill>
                      </w14:textFill>
                    </w:rPr>
                    <w:t>/</w:t>
                  </w:r>
                  <w:r>
                    <w:rPr>
                      <w:color w:val="000000" w:themeColor="text1"/>
                      <w:lang w:eastAsia="en-US"/>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90" w:type="dxa"/>
                  <w:shd w:val="clear" w:color="auto" w:fill="auto"/>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915" w:type="dxa"/>
                  <w:shd w:val="clear" w:color="auto" w:fill="auto"/>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简单防渗 区</w:t>
                  </w:r>
                </w:p>
              </w:tc>
              <w:tc>
                <w:tcPr>
                  <w:tcW w:w="1547" w:type="dxa"/>
                  <w:shd w:val="clear" w:color="auto" w:fill="auto"/>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其他区域</w:t>
                  </w:r>
                </w:p>
              </w:tc>
              <w:tc>
                <w:tcPr>
                  <w:tcW w:w="4964" w:type="dxa"/>
                  <w:shd w:val="clear" w:color="auto" w:fill="auto"/>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一般地面硬化</w:t>
                  </w:r>
                </w:p>
              </w:tc>
            </w:tr>
          </w:tbl>
          <w:p>
            <w:pPr>
              <w:pStyle w:val="7"/>
              <w:ind w:firstLine="480"/>
              <w:rPr>
                <w:color w:val="000000" w:themeColor="text1"/>
                <w14:textFill>
                  <w14:solidFill>
                    <w14:schemeClr w14:val="tx1"/>
                  </w14:solidFill>
                </w14:textFill>
              </w:rPr>
            </w:pPr>
            <w:r>
              <w:rPr>
                <w:color w:val="000000" w:themeColor="text1"/>
                <w14:textFill>
                  <w14:solidFill>
                    <w14:schemeClr w14:val="tx1"/>
                  </w14:solidFill>
                </w14:textFill>
              </w:rPr>
              <w:t>若发生事故，建设单位应</w:t>
            </w:r>
            <w:r>
              <w:rPr>
                <w:rFonts w:hint="eastAsia"/>
                <w:color w:val="000000" w:themeColor="text1"/>
                <w14:textFill>
                  <w14:solidFill>
                    <w14:schemeClr w14:val="tx1"/>
                  </w14:solidFill>
                </w14:textFill>
              </w:rPr>
              <w:t>及时处理，</w:t>
            </w:r>
            <w:r>
              <w:rPr>
                <w:color w:val="000000" w:themeColor="text1"/>
                <w14:textFill>
                  <w14:solidFill>
                    <w14:schemeClr w14:val="tx1"/>
                  </w14:solidFill>
                </w14:textFill>
              </w:rPr>
              <w:t>首先清理泄漏源、收集泄漏的物料，然后清理污染区域，包括被渗入污染的土壤</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由于本项目</w:t>
            </w:r>
            <w:r>
              <w:rPr>
                <w:rFonts w:hint="eastAsia"/>
                <w:color w:val="000000" w:themeColor="text1"/>
                <w:lang w:val="zh-CN" w:bidi="zh-CN"/>
                <w14:textFill>
                  <w14:solidFill>
                    <w14:schemeClr w14:val="tx1"/>
                  </w14:solidFill>
                </w14:textFill>
              </w:rPr>
              <w:t>医疗废物</w:t>
            </w:r>
            <w:r>
              <w:rPr>
                <w:color w:val="000000" w:themeColor="text1"/>
                <w14:textFill>
                  <w14:solidFill>
                    <w14:schemeClr w14:val="tx1"/>
                  </w14:solidFill>
                </w14:textFill>
              </w:rPr>
              <w:t>储存量不大，事故状态泄漏的物料量也较小，可以在短时间内处置完善，对</w:t>
            </w:r>
            <w:r>
              <w:rPr>
                <w:rFonts w:hint="eastAsia"/>
                <w:color w:val="000000" w:themeColor="text1"/>
                <w14:textFill>
                  <w14:solidFill>
                    <w14:schemeClr w14:val="tx1"/>
                  </w14:solidFill>
                </w14:textFill>
              </w:rPr>
              <w:t>地下水、</w:t>
            </w:r>
            <w:r>
              <w:rPr>
                <w:color w:val="000000" w:themeColor="text1"/>
                <w14:textFill>
                  <w14:solidFill>
                    <w14:schemeClr w14:val="tx1"/>
                  </w14:solidFill>
                </w14:textFill>
              </w:rPr>
              <w:t>土壤的影响可以接受。</w:t>
            </w:r>
          </w:p>
          <w:p>
            <w:pPr>
              <w:pStyle w:val="7"/>
              <w:ind w:firstLine="480"/>
              <w:rPr>
                <w:color w:val="000000" w:themeColor="text1"/>
                <w14:textFill>
                  <w14:solidFill>
                    <w14:schemeClr w14:val="tx1"/>
                  </w14:solidFill>
                </w14:textFill>
              </w:rPr>
            </w:pPr>
            <w:r>
              <w:rPr>
                <w:color w:val="000000" w:themeColor="text1"/>
                <w14:textFill>
                  <w14:solidFill>
                    <w14:schemeClr w14:val="tx1"/>
                  </w14:solidFill>
                </w14:textFill>
              </w:rPr>
              <w:t>综上所述，本项目在严格落实防渗措施的情况下，物料渗入影响土壤、地下水的可能性较小，若发生渗入影响，在及时处置的情况下对土壤、地下水的影响可以接受。</w:t>
            </w:r>
          </w:p>
          <w:p>
            <w:pPr>
              <w:pStyle w:val="7"/>
              <w:ind w:firstLine="48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六</w:t>
            </w:r>
            <w:r>
              <w:rPr>
                <w:rFonts w:hint="eastAsia"/>
                <w:b/>
                <w:bCs/>
                <w:color w:val="000000" w:themeColor="text1"/>
                <w14:textFill>
                  <w14:solidFill>
                    <w14:schemeClr w14:val="tx1"/>
                  </w14:solidFill>
                </w14:textFill>
              </w:rPr>
              <w:t>、生态</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本项目不涉及新增扰动土地，不涉及生态影响。</w:t>
            </w:r>
          </w:p>
          <w:p>
            <w:pPr>
              <w:pStyle w:val="7"/>
              <w:numPr>
                <w:ilvl w:val="0"/>
                <w:numId w:val="0"/>
              </w:numPr>
              <w:ind w:firstLine="482" w:firstLineChars="200"/>
              <w:rPr>
                <w:b/>
                <w:bCs/>
                <w:color w:val="000000" w:themeColor="text1"/>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七</w:t>
            </w:r>
            <w:r>
              <w:rPr>
                <w:rFonts w:ascii="Times New Roman" w:hAnsi="Times New Roman" w:eastAsia="宋体" w:cs="Times New Roman"/>
                <w:b/>
                <w:bCs/>
                <w:color w:val="000000" w:themeColor="text1"/>
                <w:kern w:val="2"/>
                <w:sz w:val="24"/>
                <w:szCs w:val="24"/>
                <w:lang w:val="en-US" w:eastAsia="zh-CN" w:bidi="ar-SA"/>
                <w14:textFill>
                  <w14:solidFill>
                    <w14:schemeClr w14:val="tx1"/>
                  </w14:solidFill>
                </w14:textFill>
              </w:rPr>
              <w:t>、</w:t>
            </w:r>
            <w:r>
              <w:rPr>
                <w:b/>
                <w:bCs/>
                <w:color w:val="000000" w:themeColor="text1"/>
                <w14:textFill>
                  <w14:solidFill>
                    <w14:schemeClr w14:val="tx1"/>
                  </w14:solidFill>
                </w14:textFill>
              </w:rPr>
              <w:t>环境风险</w:t>
            </w:r>
          </w:p>
          <w:p>
            <w:pPr>
              <w:pStyle w:val="7"/>
              <w:ind w:firstLine="480"/>
              <w:rPr>
                <w:rFonts w:hint="eastAsia"/>
                <w:b/>
                <w:bCs/>
                <w:color w:val="000000" w:themeColor="text1"/>
                <w14:textFill>
                  <w14:solidFill>
                    <w14:schemeClr w14:val="tx1"/>
                  </w14:solidFill>
                </w14:textFill>
              </w:rPr>
            </w:pPr>
            <w:bookmarkStart w:id="55" w:name="_Toc7229"/>
            <w:r>
              <w:rPr>
                <w:rFonts w:hint="eastAsia"/>
                <w:b/>
                <w:bCs/>
                <w:color w:val="000000" w:themeColor="text1"/>
                <w:lang w:val="en-US" w:eastAsia="zh-CN"/>
                <w14:textFill>
                  <w14:solidFill>
                    <w14:schemeClr w14:val="tx1"/>
                  </w14:solidFill>
                </w14:textFill>
              </w:rPr>
              <w:t>1、</w:t>
            </w:r>
            <w:r>
              <w:rPr>
                <w:rFonts w:hint="eastAsia"/>
                <w:b/>
                <w:bCs/>
                <w:color w:val="000000" w:themeColor="text1"/>
                <w14:textFill>
                  <w14:solidFill>
                    <w14:schemeClr w14:val="tx1"/>
                  </w14:solidFill>
                </w14:textFill>
              </w:rPr>
              <w:t>环境风险识别</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本项目使用环境风险物质主要为乙醇、二氯异氰尿酸钠</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84消毒液、</w:t>
            </w:r>
            <w:r>
              <w:rPr>
                <w:rFonts w:hint="eastAsia"/>
                <w:color w:val="000000" w:themeColor="text1"/>
                <w14:textFill>
                  <w14:solidFill>
                    <w14:schemeClr w14:val="tx1"/>
                  </w14:solidFill>
                </w14:textFill>
              </w:rPr>
              <w:t>医疗废物</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与临界量的比值</w:t>
            </w:r>
            <w:r>
              <w:rPr>
                <w:color w:val="000000" w:themeColor="text1"/>
                <w14:textFill>
                  <w14:solidFill>
                    <w14:schemeClr w14:val="tx1"/>
                  </w14:solidFill>
                </w14:textFill>
              </w:rPr>
              <w:t>Q</w:t>
            </w:r>
            <w:r>
              <w:rPr>
                <w:rFonts w:hint="eastAsia"/>
                <w:color w:val="000000" w:themeColor="text1"/>
                <w14:textFill>
                  <w14:solidFill>
                    <w14:schemeClr w14:val="tx1"/>
                  </w14:solidFill>
                </w14:textFill>
              </w:rPr>
              <w:t>的计算见下表</w:t>
            </w:r>
            <w:r>
              <w:rPr>
                <w:color w:val="000000" w:themeColor="text1"/>
                <w14:textFill>
                  <w14:solidFill>
                    <w14:schemeClr w14:val="tx1"/>
                  </w14:solidFill>
                </w14:textFill>
              </w:rPr>
              <w:t>。</w:t>
            </w:r>
          </w:p>
          <w:bookmarkEnd w:id="55"/>
          <w:p>
            <w:pPr>
              <w:pStyle w:val="49"/>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4.2-19 环境风险物质</w:t>
            </w:r>
            <w:r>
              <w:rPr>
                <w:color w:val="000000" w:themeColor="text1"/>
                <w14:textFill>
                  <w14:solidFill>
                    <w14:schemeClr w14:val="tx1"/>
                  </w14:solidFill>
                </w14:textFill>
              </w:rPr>
              <w:t>分布及主要危险物质一览表</w:t>
            </w:r>
            <w:r>
              <w:rPr>
                <w:rFonts w:hint="eastAsia"/>
                <w:color w:val="000000" w:themeColor="text1"/>
                <w14:textFill>
                  <w14:solidFill>
                    <w14:schemeClr w14:val="tx1"/>
                  </w14:solidFill>
                </w14:textFill>
              </w:rPr>
              <w:t xml:space="preserve"> </w:t>
            </w:r>
          </w:p>
          <w:tbl>
            <w:tblPr>
              <w:tblStyle w:val="31"/>
              <w:tblW w:w="7916"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1713"/>
              <w:gridCol w:w="1976"/>
              <w:gridCol w:w="1645"/>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106" w:type="dxa"/>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713" w:type="dxa"/>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物料名称</w:t>
                  </w:r>
                </w:p>
              </w:tc>
              <w:tc>
                <w:tcPr>
                  <w:tcW w:w="1976" w:type="dxa"/>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最大储存量（q /t）</w:t>
                  </w:r>
                </w:p>
              </w:tc>
              <w:tc>
                <w:tcPr>
                  <w:tcW w:w="1645" w:type="dxa"/>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临界量（Q t）</w:t>
                  </w:r>
                </w:p>
              </w:tc>
              <w:tc>
                <w:tcPr>
                  <w:tcW w:w="1476" w:type="dxa"/>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6" w:type="dxa"/>
                  <w:tcBorders>
                    <w:tl2br w:val="nil"/>
                    <w:tr2bl w:val="nil"/>
                  </w:tcBorders>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713" w:type="dxa"/>
                  <w:tcBorders>
                    <w:tl2br w:val="nil"/>
                    <w:tr2bl w:val="nil"/>
                  </w:tcBorders>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乙醇</w:t>
                  </w:r>
                </w:p>
              </w:tc>
              <w:tc>
                <w:tcPr>
                  <w:tcW w:w="1976" w:type="dxa"/>
                  <w:tcBorders>
                    <w:tl2br w:val="nil"/>
                    <w:tr2bl w:val="nil"/>
                  </w:tcBorders>
                  <w:vAlign w:val="center"/>
                </w:tcPr>
                <w:p>
                  <w:pPr>
                    <w:pStyle w:val="48"/>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1</w:t>
                  </w:r>
                </w:p>
              </w:tc>
              <w:tc>
                <w:tcPr>
                  <w:tcW w:w="1645" w:type="dxa"/>
                  <w:tcBorders>
                    <w:tl2br w:val="nil"/>
                    <w:tr2bl w:val="nil"/>
                  </w:tcBorders>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500</w:t>
                  </w:r>
                </w:p>
              </w:tc>
              <w:tc>
                <w:tcPr>
                  <w:tcW w:w="1476" w:type="dxa"/>
                  <w:tcBorders>
                    <w:tl2br w:val="nil"/>
                    <w:tr2bl w:val="nil"/>
                  </w:tcBorders>
                  <w:vAlign w:val="center"/>
                </w:tcPr>
                <w:p>
                  <w:pPr>
                    <w:pStyle w:val="48"/>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0.000</w:t>
                  </w:r>
                  <w:r>
                    <w:rPr>
                      <w:rFonts w:hint="eastAsia"/>
                      <w:color w:val="000000" w:themeColor="text1"/>
                      <w:lang w:val="en-US" w:eastAsia="zh-CN"/>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6" w:type="dxa"/>
                  <w:tcBorders>
                    <w:tl2br w:val="nil"/>
                    <w:tr2bl w:val="nil"/>
                  </w:tcBorders>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713" w:type="dxa"/>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医疗废物</w:t>
                  </w:r>
                </w:p>
              </w:tc>
              <w:tc>
                <w:tcPr>
                  <w:tcW w:w="1976" w:type="dxa"/>
                  <w:tcBorders>
                    <w:tl2br w:val="nil"/>
                    <w:tr2bl w:val="nil"/>
                  </w:tcBorders>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0</w:t>
                  </w:r>
                  <w:r>
                    <w:rPr>
                      <w:rFonts w:hint="eastAsia"/>
                      <w:color w:val="000000" w:themeColor="text1"/>
                      <w14:textFill>
                        <w14:solidFill>
                          <w14:schemeClr w14:val="tx1"/>
                        </w14:solidFill>
                      </w14:textFill>
                    </w:rPr>
                    <w:t>3</w:t>
                  </w:r>
                </w:p>
              </w:tc>
              <w:tc>
                <w:tcPr>
                  <w:tcW w:w="1645" w:type="dxa"/>
                  <w:tcBorders>
                    <w:tl2br w:val="nil"/>
                    <w:tr2bl w:val="nil"/>
                  </w:tcBorders>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1476" w:type="dxa"/>
                  <w:tcBorders>
                    <w:tl2br w:val="nil"/>
                    <w:tr2bl w:val="nil"/>
                  </w:tcBorders>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0.00</w:t>
                  </w:r>
                  <w:r>
                    <w:rPr>
                      <w:rFonts w:hint="eastAsia"/>
                      <w:color w:val="000000" w:themeColor="text1"/>
                      <w:lang w:val="en-US" w:eastAsia="zh-CN"/>
                      <w14:textFill>
                        <w14:solidFill>
                          <w14:schemeClr w14:val="tx1"/>
                        </w14:solidFill>
                      </w14:textFill>
                    </w:rPr>
                    <w:t>0</w:t>
                  </w:r>
                  <w:r>
                    <w:rPr>
                      <w:rFonts w:hint="eastAsia"/>
                      <w:color w:val="000000" w:themeColor="text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6" w:type="dxa"/>
                  <w:tcBorders>
                    <w:tl2br w:val="nil"/>
                    <w:tr2bl w:val="nil"/>
                  </w:tcBorders>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713" w:type="dxa"/>
                  <w:tcBorders>
                    <w:tl2br w:val="nil"/>
                    <w:tr2bl w:val="nil"/>
                  </w:tcBorders>
                  <w:vAlign w:val="center"/>
                </w:tcPr>
                <w:p>
                  <w:pPr>
                    <w:pStyle w:val="48"/>
                    <w:rPr>
                      <w:color w:val="000000" w:themeColor="text1"/>
                      <w14:textFill>
                        <w14:solidFill>
                          <w14:schemeClr w14:val="tx1"/>
                        </w14:solidFill>
                      </w14:textFill>
                    </w:rPr>
                  </w:pPr>
                  <w:r>
                    <w:rPr>
                      <w:rFonts w:hint="eastAsia"/>
                      <w:color w:val="auto"/>
                      <w:u w:val="none"/>
                    </w:rPr>
                    <w:t>二氯异氰尿酸钠</w:t>
                  </w:r>
                </w:p>
              </w:tc>
              <w:tc>
                <w:tcPr>
                  <w:tcW w:w="1976" w:type="dxa"/>
                  <w:tcBorders>
                    <w:tl2br w:val="nil"/>
                    <w:tr2bl w:val="nil"/>
                  </w:tcBorders>
                  <w:vAlign w:val="center"/>
                </w:tcPr>
                <w:p>
                  <w:pPr>
                    <w:pStyle w:val="48"/>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005</w:t>
                  </w:r>
                </w:p>
              </w:tc>
              <w:tc>
                <w:tcPr>
                  <w:tcW w:w="1645" w:type="dxa"/>
                  <w:tcBorders>
                    <w:tl2br w:val="nil"/>
                    <w:tr2bl w:val="nil"/>
                  </w:tcBorders>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500</w:t>
                  </w:r>
                </w:p>
              </w:tc>
              <w:tc>
                <w:tcPr>
                  <w:tcW w:w="1476" w:type="dxa"/>
                  <w:tcBorders>
                    <w:tl2br w:val="nil"/>
                    <w:tr2bl w:val="nil"/>
                  </w:tcBorders>
                  <w:vAlign w:val="center"/>
                </w:tcPr>
                <w:p>
                  <w:pPr>
                    <w:pStyle w:val="48"/>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0.000</w:t>
                  </w:r>
                  <w:r>
                    <w:rPr>
                      <w:rFonts w:hint="eastAsia"/>
                      <w:color w:val="000000" w:themeColor="text1"/>
                      <w:lang w:val="en-US" w:eastAsia="zh-CN"/>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6" w:type="dxa"/>
                  <w:tcBorders>
                    <w:tl2br w:val="nil"/>
                    <w:tr2bl w:val="nil"/>
                  </w:tcBorders>
                  <w:vAlign w:val="center"/>
                </w:tcPr>
                <w:p>
                  <w:pPr>
                    <w:pStyle w:val="48"/>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1713" w:type="dxa"/>
                  <w:tcBorders>
                    <w:tl2br w:val="nil"/>
                    <w:tr2bl w:val="nil"/>
                  </w:tcBorders>
                  <w:vAlign w:val="center"/>
                </w:tcPr>
                <w:p>
                  <w:pPr>
                    <w:pStyle w:val="48"/>
                    <w:rPr>
                      <w:rFonts w:hint="eastAsia"/>
                      <w:color w:val="auto"/>
                      <w:u w:val="none"/>
                    </w:rPr>
                  </w:pPr>
                  <w:r>
                    <w:rPr>
                      <w:color w:val="000000" w:themeColor="text1"/>
                      <w:u w:val="none"/>
                      <w14:textFill>
                        <w14:solidFill>
                          <w14:schemeClr w14:val="tx1"/>
                        </w14:solidFill>
                      </w14:textFill>
                    </w:rPr>
                    <w:t>84消毒液</w:t>
                  </w:r>
                </w:p>
              </w:tc>
              <w:tc>
                <w:tcPr>
                  <w:tcW w:w="1976" w:type="dxa"/>
                  <w:tcBorders>
                    <w:tl2br w:val="nil"/>
                    <w:tr2bl w:val="nil"/>
                  </w:tcBorders>
                  <w:vAlign w:val="center"/>
                </w:tcPr>
                <w:p>
                  <w:pPr>
                    <w:pStyle w:val="4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0.001</w:t>
                  </w:r>
                </w:p>
              </w:tc>
              <w:tc>
                <w:tcPr>
                  <w:tcW w:w="1645" w:type="dxa"/>
                  <w:tcBorders>
                    <w:tl2br w:val="nil"/>
                    <w:tr2bl w:val="nil"/>
                  </w:tcBorders>
                  <w:vAlign w:val="center"/>
                </w:tcPr>
                <w:p>
                  <w:pPr>
                    <w:pStyle w:val="4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500</w:t>
                  </w:r>
                </w:p>
              </w:tc>
              <w:tc>
                <w:tcPr>
                  <w:tcW w:w="1476" w:type="dxa"/>
                  <w:tcBorders>
                    <w:tl2br w:val="nil"/>
                    <w:tr2bl w:val="nil"/>
                  </w:tcBorders>
                  <w:vAlign w:val="center"/>
                </w:tcPr>
                <w:p>
                  <w:pPr>
                    <w:pStyle w:val="4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40" w:type="dxa"/>
                  <w:gridSpan w:val="4"/>
                  <w:tcBorders>
                    <w:tl2br w:val="nil"/>
                    <w:tr2bl w:val="nil"/>
                  </w:tcBorders>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1476" w:type="dxa"/>
                  <w:tcBorders>
                    <w:tl2br w:val="nil"/>
                    <w:tr2bl w:val="nil"/>
                  </w:tcBorders>
                  <w:vAlign w:val="center"/>
                </w:tcPr>
                <w:p>
                  <w:pPr>
                    <w:pStyle w:val="48"/>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0.00</w:t>
                  </w:r>
                  <w:r>
                    <w:rPr>
                      <w:rFonts w:hint="eastAsia"/>
                      <w:color w:val="000000" w:themeColor="text1"/>
                      <w:lang w:val="en-US" w:eastAsia="zh-CN"/>
                      <w14:textFill>
                        <w14:solidFill>
                          <w14:schemeClr w14:val="tx1"/>
                        </w14:solidFill>
                      </w14:textFill>
                    </w:rPr>
                    <w:t>0</w:t>
                  </w:r>
                  <w:r>
                    <w:rPr>
                      <w:rFonts w:hint="eastAsia"/>
                      <w:color w:val="000000" w:themeColor="text1"/>
                      <w14:textFill>
                        <w14:solidFill>
                          <w14:schemeClr w14:val="tx1"/>
                        </w14:solidFill>
                      </w14:textFill>
                    </w:rPr>
                    <w:t>63</w:t>
                  </w:r>
                  <w:r>
                    <w:rPr>
                      <w:rFonts w:hint="eastAsia"/>
                      <w:color w:val="000000" w:themeColor="text1"/>
                      <w:lang w:val="en-US" w:eastAsia="zh-CN"/>
                      <w14:textFill>
                        <w14:solidFill>
                          <w14:schemeClr w14:val="tx1"/>
                        </w14:solidFill>
                      </w14:textFill>
                    </w:rPr>
                    <w:t>2</w:t>
                  </w:r>
                </w:p>
              </w:tc>
            </w:tr>
          </w:tbl>
          <w:p>
            <w:pPr>
              <w:pStyle w:val="7"/>
              <w:ind w:firstLine="480"/>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注：柴油发电机暂未使用且柴油不在医院内储存，需要时外购</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color w:val="000000" w:themeColor="text1"/>
                <w14:textFill>
                  <w14:solidFill>
                    <w14:schemeClr w14:val="tx1"/>
                  </w14:solidFill>
                </w14:textFill>
              </w:rPr>
              <w:t>q/Q</w:t>
            </w:r>
            <w:r>
              <w:rPr>
                <w:rFonts w:hint="eastAsia"/>
                <w:color w:val="000000" w:themeColor="text1"/>
                <w14:textFill>
                  <w14:solidFill>
                    <w14:schemeClr w14:val="tx1"/>
                  </w14:solidFill>
                </w14:textFill>
              </w:rPr>
              <w:t>=0.00</w:t>
            </w:r>
            <w:r>
              <w:rPr>
                <w:rFonts w:hint="eastAsia"/>
                <w:color w:val="000000" w:themeColor="text1"/>
                <w:lang w:val="en-US" w:eastAsia="zh-CN"/>
                <w14:textFill>
                  <w14:solidFill>
                    <w14:schemeClr w14:val="tx1"/>
                  </w14:solidFill>
                </w14:textFill>
              </w:rPr>
              <w:t>0</w:t>
            </w:r>
            <w:r>
              <w:rPr>
                <w:rFonts w:hint="eastAsia"/>
                <w:color w:val="000000" w:themeColor="text1"/>
                <w14:textFill>
                  <w14:solidFill>
                    <w14:schemeClr w14:val="tx1"/>
                  </w14:solidFill>
                </w14:textFill>
              </w:rPr>
              <w:t>63</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可知，项目环境风险为一般环境风险等级。</w:t>
            </w:r>
          </w:p>
          <w:p>
            <w:pPr>
              <w:pStyle w:val="7"/>
              <w:ind w:firstLine="48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2、</w:t>
            </w:r>
            <w:r>
              <w:rPr>
                <w:rFonts w:hint="eastAsia"/>
                <w:b/>
                <w:bCs/>
                <w:color w:val="000000" w:themeColor="text1"/>
                <w14:textFill>
                  <w14:solidFill>
                    <w14:schemeClr w14:val="tx1"/>
                  </w14:solidFill>
                </w14:textFill>
              </w:rPr>
              <w:t>主要危险物质及分布位置</w:t>
            </w:r>
          </w:p>
          <w:p>
            <w:pPr>
              <w:pStyle w:val="7"/>
              <w:ind w:firstLine="480"/>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①风险物质：乙醇、医疗废物、二氯异氰尿酸钠</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84消毒液</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②分布情况：医院药品库房、危废暂存间、污水处理站。</w:t>
            </w:r>
          </w:p>
          <w:p>
            <w:pPr>
              <w:pStyle w:val="7"/>
              <w:ind w:firstLine="48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3、</w:t>
            </w:r>
            <w:r>
              <w:rPr>
                <w:rFonts w:hint="eastAsia"/>
                <w:b/>
                <w:bCs/>
                <w:color w:val="000000" w:themeColor="text1"/>
                <w14:textFill>
                  <w14:solidFill>
                    <w14:schemeClr w14:val="tx1"/>
                  </w14:solidFill>
                </w14:textFill>
              </w:rPr>
              <w:t>环境影响途径及危害后果</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①发生</w:t>
            </w:r>
            <w:r>
              <w:rPr>
                <w:rFonts w:hint="eastAsia"/>
                <w:color w:val="000000" w:themeColor="text1"/>
                <w:lang w:eastAsia="zh-CN"/>
                <w14:textFill>
                  <w14:solidFill>
                    <w14:schemeClr w14:val="tx1"/>
                  </w14:solidFill>
                </w14:textFill>
              </w:rPr>
              <w:t>医疗废物泄漏</w:t>
            </w:r>
            <w:r>
              <w:rPr>
                <w:rFonts w:hint="eastAsia"/>
                <w:color w:val="000000" w:themeColor="text1"/>
                <w14:textFill>
                  <w14:solidFill>
                    <w14:schemeClr w14:val="tx1"/>
                  </w14:solidFill>
                </w14:textFill>
              </w:rPr>
              <w:t>的环境风险事件，应急人员及时清扫，装回专用储存的容器内，不会对外环境造成影响。</w:t>
            </w:r>
          </w:p>
          <w:p>
            <w:pPr>
              <w:pStyle w:val="7"/>
              <w:ind w:firstLine="48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4、</w:t>
            </w:r>
            <w:r>
              <w:rPr>
                <w:rFonts w:hint="eastAsia"/>
                <w:b/>
                <w:bCs/>
                <w:color w:val="000000" w:themeColor="text1"/>
                <w14:textFill>
                  <w14:solidFill>
                    <w14:schemeClr w14:val="tx1"/>
                  </w14:solidFill>
                </w14:textFill>
              </w:rPr>
              <w:t>环境风险防范措施</w:t>
            </w:r>
          </w:p>
          <w:p>
            <w:pPr>
              <w:pStyle w:val="7"/>
              <w:ind w:firstLine="48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1</w:t>
            </w:r>
            <w:r>
              <w:rPr>
                <w:rFonts w:hint="eastAsia" w:ascii="Times New Roman" w:hAnsi="Times New Roman" w:eastAsia="宋体" w:cs="Times New Roman"/>
                <w:color w:val="000000" w:themeColor="text1"/>
                <w:lang w:eastAsia="zh-CN"/>
                <w14:textFill>
                  <w14:solidFill>
                    <w14:schemeClr w14:val="tx1"/>
                  </w14:solidFill>
                </w14:textFill>
              </w:rPr>
              <w:t>）医疗废物在收集、贮存、运送过程中防范措施</w:t>
            </w:r>
          </w:p>
          <w:p>
            <w:pPr>
              <w:pStyle w:val="7"/>
              <w:ind w:firstLine="48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医疗废物中可能存在传染性病菌、病毒、化学污染物等有害物质，由于医疗废物具有空间污染、急性传染和潜伏性污染等特征，其病毒、病菌的危害性是普通生活垃圾的几十、几百甚至上千倍，且基本没有回收再利用的价值。医疗废物在转运的过程中可能会发生泄露、滴漏现象，如处理不当，会对周围环境存在风险。</w:t>
            </w:r>
          </w:p>
          <w:p>
            <w:pPr>
              <w:pStyle w:val="7"/>
              <w:ind w:firstLine="48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本项目医疗废物产生后分类收集，分区贮存于医院的医疗废物暂存间内，医院内均为硬化地面，即使在运输过程中发生少量泄露，采取相应的处理措施，不会渗漏到地下对土壤及地下水造成污染，同时做好消毒防范措施，也不会对人群造成危害。</w:t>
            </w:r>
          </w:p>
          <w:p>
            <w:pPr>
              <w:pStyle w:val="7"/>
              <w:ind w:firstLine="480"/>
              <w:jc w:val="both"/>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医疗废物</w:t>
            </w:r>
            <w:r>
              <w:rPr>
                <w:rFonts w:hint="eastAsia" w:ascii="Times New Roman" w:hAnsi="Times New Roman" w:eastAsia="宋体" w:cs="Times New Roman"/>
                <w:color w:val="000000" w:themeColor="text1"/>
                <w14:textFill>
                  <w14:solidFill>
                    <w14:schemeClr w14:val="tx1"/>
                  </w14:solidFill>
                </w14:textFill>
              </w:rPr>
              <w:t>装卸运输应执行《汽车危险货物运输装卸作业规程》（JT/T31145-1991），《汽车危险货物运输规则》（JT3130-1988），《机动车辆安全规范》（GB10827-1989）等有关要求。</w:t>
            </w:r>
          </w:p>
          <w:p>
            <w:pPr>
              <w:pStyle w:val="7"/>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医院运营过程防范措施</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①加强职工的安全教育，</w:t>
            </w:r>
            <w:r>
              <w:rPr>
                <w:rFonts w:hint="eastAsia"/>
                <w:color w:val="000000" w:themeColor="text1"/>
                <w:lang w:eastAsia="zh-CN"/>
                <w14:textFill>
                  <w14:solidFill>
                    <w14:schemeClr w14:val="tx1"/>
                  </w14:solidFill>
                </w14:textFill>
              </w:rPr>
              <w:t>增强</w:t>
            </w:r>
            <w:r>
              <w:rPr>
                <w:rFonts w:hint="eastAsia"/>
                <w:color w:val="000000" w:themeColor="text1"/>
                <w14:textFill>
                  <w14:solidFill>
                    <w14:schemeClr w14:val="tx1"/>
                  </w14:solidFill>
                </w14:textFill>
              </w:rPr>
              <w:t>安全防范风险的意识。</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②医院雨水排口应设置雨水阀门，一旦发生火灾，消防废水进入雨水沟渠，应当及时关闭雨水阀门，利用应急泵将消防废水抽至污水管网，进入</w:t>
            </w:r>
            <w:r>
              <w:rPr>
                <w:rFonts w:hint="eastAsia"/>
                <w:color w:val="000000" w:themeColor="text1"/>
                <w:lang w:val="en-US" w:eastAsia="zh-CN"/>
                <w14:textFill>
                  <w14:solidFill>
                    <w14:schemeClr w14:val="tx1"/>
                  </w14:solidFill>
                </w14:textFill>
              </w:rPr>
              <w:t>桃林镇污水处理厂</w:t>
            </w:r>
            <w:r>
              <w:rPr>
                <w:rFonts w:hint="eastAsia"/>
                <w:color w:val="000000" w:themeColor="text1"/>
                <w14:textFill>
                  <w14:solidFill>
                    <w14:schemeClr w14:val="tx1"/>
                  </w14:solidFill>
                </w14:textFill>
              </w:rPr>
              <w:t>。</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③医院医疗污水处理站排口应该设置污水阀门，一旦污水处理设备发生故障，废水非正常排放，应及时关闭污水阀门，待设备检修完成后，可恢复正常运行。 </w:t>
            </w:r>
          </w:p>
          <w:p>
            <w:pPr>
              <w:pStyle w:val="7"/>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危险废物贮存过程的风险防范措施</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针对危险废物的特性、数量，按照《危险废物贮存污染控制标准》（GB18597-2023</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和《危险废物收集、贮存、运输技术规范》（HJ2025-2012）中要求，做好贮存风险事故防范工作。</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①危险废物暂存间应配备照明设施和消防设施。</w:t>
            </w:r>
          </w:p>
          <w:p>
            <w:pPr>
              <w:pStyle w:val="7"/>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②危险废物暂存间基础做防渗处理，防渗层渗透系数不大于1.0×10</w:t>
            </w:r>
            <w:r>
              <w:rPr>
                <w:rFonts w:hint="eastAsia"/>
                <w:color w:val="000000" w:themeColor="text1"/>
                <w:vertAlign w:val="superscript"/>
                <w:lang w:val="en-US" w:eastAsia="zh-CN"/>
                <w14:textFill>
                  <w14:solidFill>
                    <w14:schemeClr w14:val="tx1"/>
                  </w14:solidFill>
                </w14:textFill>
              </w:rPr>
              <w:t>-</w:t>
            </w:r>
            <w:r>
              <w:rPr>
                <w:rFonts w:hint="eastAsia"/>
                <w:color w:val="000000" w:themeColor="text1"/>
                <w:vertAlign w:val="superscript"/>
                <w14:textFill>
                  <w14:solidFill>
                    <w14:schemeClr w14:val="tx1"/>
                  </w14:solidFill>
                </w14:textFill>
              </w:rPr>
              <w:t>7</w:t>
            </w:r>
            <w:r>
              <w:rPr>
                <w:rFonts w:hint="eastAsia"/>
                <w:color w:val="000000" w:themeColor="text1"/>
                <w14:textFill>
                  <w14:solidFill>
                    <w14:schemeClr w14:val="tx1"/>
                  </w14:solidFill>
                </w14:textFill>
              </w:rPr>
              <w:t>cm/s；地面与裙脚使用坚固、防渗材料建造，建筑材料必须与危险废物相容，地面必须为耐腐蚀硬化地面，且表面无裂隙。</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③危险废物暂存间应阴凉、干燥、通风，避免阳光直射、</w:t>
            </w:r>
            <w:r>
              <w:rPr>
                <w:rFonts w:hint="eastAsia"/>
                <w:color w:val="000000" w:themeColor="text1"/>
                <w:lang w:eastAsia="zh-CN"/>
                <w14:textFill>
                  <w14:solidFill>
                    <w14:schemeClr w14:val="tx1"/>
                  </w14:solidFill>
                </w14:textFill>
              </w:rPr>
              <w:t>暴晒</w:t>
            </w:r>
            <w:r>
              <w:rPr>
                <w:rFonts w:hint="eastAsia"/>
                <w:color w:val="000000" w:themeColor="text1"/>
                <w14:textFill>
                  <w14:solidFill>
                    <w14:schemeClr w14:val="tx1"/>
                  </w14:solidFill>
                </w14:textFill>
              </w:rPr>
              <w:t>，远离热源、火源。医疗废物应当根据《医疗废物分类目录》，对医疗废物实施分类管理，根据医疗废物的类别，将医疗废物分置于符合《医疗废物专用包装物、容器的标准和警示标识的规定》的包装物或者容器内，危险废物包装袋附上标识标牌。医疗废物暂时贮存的时间不得超过2天，医疗废物转交出去后，应当对暂时贮存地点、设施及时进行清洁和消毒处理。</w:t>
            </w:r>
          </w:p>
          <w:p>
            <w:pPr>
              <w:pStyle w:val="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④编制环境风险应急预案。</w:t>
            </w:r>
          </w:p>
          <w:p>
            <w:pPr>
              <w:adjustRightInd w:val="0"/>
              <w:snapToGrid w:val="0"/>
              <w:ind w:firstLine="482"/>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4</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废水处理站应急处置措施</w:t>
            </w:r>
          </w:p>
          <w:p>
            <w:pPr>
              <w:adjustRightInd w:val="0"/>
              <w:snapToGrid w:val="0"/>
              <w:ind w:firstLine="482"/>
              <w:rPr>
                <w:color w:val="000000" w:themeColor="text1"/>
                <w:szCs w:val="21"/>
                <w14:textFill>
                  <w14:solidFill>
                    <w14:schemeClr w14:val="tx1"/>
                  </w14:solidFill>
                </w14:textFill>
              </w:rPr>
            </w:pPr>
            <w:r>
              <w:rPr>
                <w:color w:val="000000" w:themeColor="text1"/>
                <w:szCs w:val="21"/>
                <w14:textFill>
                  <w14:solidFill>
                    <w14:schemeClr w14:val="tx1"/>
                  </w14:solidFill>
                </w14:textFill>
              </w:rPr>
              <w:t>当项目废水由于某些不确定因素（如污水站设备故障、人为操作失当或过失等原因）而导致项目废水未能达到预期处理效果，对</w:t>
            </w:r>
            <w:r>
              <w:rPr>
                <w:rFonts w:hint="eastAsia"/>
                <w:color w:val="000000" w:themeColor="text1"/>
                <w:lang w:val="en-US" w:eastAsia="zh-CN"/>
                <w14:textFill>
                  <w14:solidFill>
                    <w14:schemeClr w14:val="tx1"/>
                  </w14:solidFill>
                </w14:textFill>
              </w:rPr>
              <w:t>桃林镇污水处理厂</w:t>
            </w:r>
            <w:r>
              <w:rPr>
                <w:color w:val="000000" w:themeColor="text1"/>
                <w:szCs w:val="21"/>
                <w14:textFill>
                  <w14:solidFill>
                    <w14:schemeClr w14:val="tx1"/>
                  </w14:solidFill>
                </w14:textFill>
              </w:rPr>
              <w:t>造成处理负荷。</w:t>
            </w:r>
          </w:p>
          <w:p>
            <w:pPr>
              <w:adjustRightInd w:val="0"/>
              <w:snapToGrid w:val="0"/>
              <w:ind w:firstLine="482"/>
              <w:rPr>
                <w:color w:val="000000" w:themeColor="text1"/>
                <w:szCs w:val="21"/>
                <w14:textFill>
                  <w14:solidFill>
                    <w14:schemeClr w14:val="tx1"/>
                  </w14:solidFill>
                </w14:textFill>
              </w:rPr>
            </w:pPr>
            <w:r>
              <w:rPr>
                <w:color w:val="000000" w:themeColor="text1"/>
                <w:szCs w:val="21"/>
                <w14:textFill>
                  <w14:solidFill>
                    <w14:schemeClr w14:val="tx1"/>
                  </w14:solidFill>
                </w14:textFill>
              </w:rPr>
              <w:t>根据《医院污水处理技术指南》（环发</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2003</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197号）的指导精神，为提高医院污水处理设施对突发性公共卫生事件的防范能力，本评价建议采用以下措施：</w:t>
            </w:r>
          </w:p>
          <w:p>
            <w:pPr>
              <w:adjustRightInd w:val="0"/>
              <w:snapToGrid w:val="0"/>
              <w:ind w:firstLine="482"/>
              <w:rPr>
                <w:color w:val="000000" w:themeColor="text1"/>
                <w:szCs w:val="21"/>
                <w14:textFill>
                  <w14:solidFill>
                    <w14:schemeClr w14:val="tx1"/>
                  </w14:solidFill>
                </w14:textFill>
              </w:rPr>
            </w:pPr>
            <w:r>
              <w:rPr>
                <w:color w:val="000000" w:themeColor="text1"/>
                <w:szCs w:val="21"/>
                <w14:textFill>
                  <w14:solidFill>
                    <w14:schemeClr w14:val="tx1"/>
                  </w14:solidFill>
                </w14:textFill>
              </w:rPr>
              <w:t>①风机、泵、污泥阀等主要关键设备应有备用，污水处理供电系统应实行双回路控制，确保污水处理站的运行率；②加强污水站设备的日常维护，完善污水站各项规章制度；③制定完备的日常监测方案，并严格落实监测工作，保证第一时间内风险事故的发现和风险态势的掌握；④确保污水站操作人员具有相应的职业技能资格，同时加强其业务水平和责任感；⑤保证污水站营运经费的及时到位。</w:t>
            </w:r>
          </w:p>
          <w:p>
            <w:pPr>
              <w:adjustRightInd w:val="0"/>
              <w:snapToGrid w:val="0"/>
              <w:ind w:firstLine="482"/>
              <w:rPr>
                <w:color w:val="000000" w:themeColor="text1"/>
                <w:szCs w:val="21"/>
                <w14:textFill>
                  <w14:solidFill>
                    <w14:schemeClr w14:val="tx1"/>
                  </w14:solidFill>
                </w14:textFill>
              </w:rPr>
            </w:pPr>
            <w:r>
              <w:rPr>
                <w:color w:val="000000" w:themeColor="text1"/>
                <w:szCs w:val="21"/>
                <w14:textFill>
                  <w14:solidFill>
                    <w14:schemeClr w14:val="tx1"/>
                  </w14:solidFill>
                </w14:textFill>
              </w:rPr>
              <w:t>只要上述措施落实到位，医院污水的污染事故是可以控制在较低水平之内的，这一类的风险事故发生概率极低。评价认为项目</w:t>
            </w:r>
            <w:r>
              <w:rPr>
                <w:rFonts w:hint="eastAsia"/>
                <w:color w:val="000000" w:themeColor="text1"/>
                <w:szCs w:val="21"/>
                <w:lang w:eastAsia="zh-CN"/>
                <w14:textFill>
                  <w14:solidFill>
                    <w14:schemeClr w14:val="tx1"/>
                  </w14:solidFill>
                </w14:textFill>
              </w:rPr>
              <w:t>水</w:t>
            </w:r>
            <w:r>
              <w:rPr>
                <w:color w:val="000000" w:themeColor="text1"/>
                <w:szCs w:val="21"/>
                <w14:textFill>
                  <w14:solidFill>
                    <w14:schemeClr w14:val="tx1"/>
                  </w14:solidFill>
                </w14:textFill>
              </w:rPr>
              <w:t>环境风险发生概率是可以控制在可接受水平之内的。</w:t>
            </w:r>
          </w:p>
          <w:p>
            <w:pPr>
              <w:adjustRightInd w:val="0"/>
              <w:snapToGrid w:val="0"/>
              <w:ind w:firstLine="482"/>
              <w:rPr>
                <w:kern w:val="0"/>
                <w:u w:val="none"/>
              </w:rPr>
            </w:pPr>
            <w:r>
              <w:rPr>
                <w:rFonts w:hint="eastAsia"/>
                <w:color w:val="000000" w:themeColor="text1"/>
                <w:szCs w:val="21"/>
                <w:u w:val="none"/>
                <w:lang w:eastAsia="zh-CN"/>
                <w14:textFill>
                  <w14:solidFill>
                    <w14:schemeClr w14:val="tx1"/>
                  </w14:solidFill>
                </w14:textFill>
              </w:rPr>
              <w:t>（</w:t>
            </w:r>
            <w:r>
              <w:rPr>
                <w:rFonts w:hint="eastAsia"/>
                <w:color w:val="000000" w:themeColor="text1"/>
                <w:szCs w:val="21"/>
                <w:u w:val="none"/>
                <w:lang w:val="en-US" w:eastAsia="zh-CN"/>
                <w14:textFill>
                  <w14:solidFill>
                    <w14:schemeClr w14:val="tx1"/>
                  </w14:solidFill>
                </w14:textFill>
              </w:rPr>
              <w:t>5</w:t>
            </w:r>
            <w:r>
              <w:rPr>
                <w:rFonts w:hint="eastAsia"/>
                <w:color w:val="000000" w:themeColor="text1"/>
                <w:szCs w:val="21"/>
                <w:u w:val="none"/>
                <w:lang w:eastAsia="zh-CN"/>
                <w14:textFill>
                  <w14:solidFill>
                    <w14:schemeClr w14:val="tx1"/>
                  </w14:solidFill>
                </w14:textFill>
              </w:rPr>
              <w:t>）</w:t>
            </w:r>
            <w:r>
              <w:rPr>
                <w:kern w:val="0"/>
                <w:u w:val="none"/>
              </w:rPr>
              <w:t>火灾爆炸引发突发环境事件消防废水收集、暂存、处理、排放</w:t>
            </w:r>
            <w:r>
              <w:rPr>
                <w:rFonts w:hint="eastAsia"/>
                <w:kern w:val="0"/>
                <w:u w:val="none"/>
              </w:rPr>
              <w:t>应急</w:t>
            </w:r>
            <w:r>
              <w:rPr>
                <w:kern w:val="0"/>
                <w:u w:val="none"/>
              </w:rPr>
              <w:t>措施</w:t>
            </w:r>
            <w:r>
              <w:rPr>
                <w:rFonts w:hint="eastAsia"/>
                <w:kern w:val="0"/>
                <w:u w:val="none"/>
              </w:rPr>
              <w:t>。</w:t>
            </w:r>
          </w:p>
          <w:p>
            <w:pPr>
              <w:adjustRightInd w:val="0"/>
              <w:snapToGrid w:val="0"/>
              <w:ind w:firstLine="482"/>
              <w:rPr>
                <w:color w:val="000000" w:themeColor="text1"/>
                <w:szCs w:val="21"/>
                <w:u w:val="none"/>
                <w14:textFill>
                  <w14:solidFill>
                    <w14:schemeClr w14:val="tx1"/>
                  </w14:solidFill>
                </w14:textFill>
              </w:rPr>
            </w:pPr>
            <w:r>
              <w:rPr>
                <w:rFonts w:hint="eastAsia"/>
                <w:color w:val="000000" w:themeColor="text1"/>
                <w:szCs w:val="21"/>
                <w:u w:val="none"/>
                <w14:textFill>
                  <w14:solidFill>
                    <w14:schemeClr w14:val="tx1"/>
                  </w14:solidFill>
                </w14:textFill>
              </w:rPr>
              <w:t>①</w:t>
            </w:r>
            <w:r>
              <w:rPr>
                <w:color w:val="000000" w:themeColor="text1"/>
                <w:szCs w:val="21"/>
                <w:u w:val="none"/>
                <w14:textFill>
                  <w14:solidFill>
                    <w14:schemeClr w14:val="tx1"/>
                  </w14:solidFill>
                </w14:textFill>
              </w:rPr>
              <w:t>对于漫流入雨水管线的消防水，在确保雨水排放口封堵的情况下，将消防废水导入厂区污水管网进入</w:t>
            </w:r>
            <w:r>
              <w:rPr>
                <w:rFonts w:hint="eastAsia"/>
                <w:color w:val="000000" w:themeColor="text1"/>
                <w:szCs w:val="21"/>
                <w:u w:val="none"/>
                <w14:textFill>
                  <w14:solidFill>
                    <w14:schemeClr w14:val="tx1"/>
                  </w14:solidFill>
                </w14:textFill>
              </w:rPr>
              <w:t>污水处理站预处理后进入</w:t>
            </w:r>
            <w:r>
              <w:rPr>
                <w:rFonts w:hint="eastAsia"/>
                <w:color w:val="000000" w:themeColor="text1"/>
                <w:szCs w:val="21"/>
                <w:u w:val="none"/>
                <w:lang w:val="en-US" w:eastAsia="zh-CN"/>
                <w14:textFill>
                  <w14:solidFill>
                    <w14:schemeClr w14:val="tx1"/>
                  </w14:solidFill>
                </w14:textFill>
              </w:rPr>
              <w:t>桃林</w:t>
            </w:r>
            <w:r>
              <w:rPr>
                <w:rFonts w:hint="eastAsia"/>
                <w:color w:val="000000" w:themeColor="text1"/>
                <w:szCs w:val="21"/>
                <w:u w:val="none"/>
                <w14:textFill>
                  <w14:solidFill>
                    <w14:schemeClr w14:val="tx1"/>
                  </w14:solidFill>
                </w14:textFill>
              </w:rPr>
              <w:t>镇</w:t>
            </w:r>
            <w:r>
              <w:rPr>
                <w:color w:val="000000" w:themeColor="text1"/>
                <w:szCs w:val="21"/>
                <w:u w:val="none"/>
                <w14:textFill>
                  <w14:solidFill>
                    <w14:schemeClr w14:val="tx1"/>
                  </w14:solidFill>
                </w14:textFill>
              </w:rPr>
              <w:t>污水处理厂进行处理；</w:t>
            </w:r>
          </w:p>
          <w:p>
            <w:pPr>
              <w:adjustRightInd w:val="0"/>
              <w:snapToGrid w:val="0"/>
              <w:ind w:firstLine="482"/>
              <w:rPr>
                <w:color w:val="000000" w:themeColor="text1"/>
                <w:u w:val="none"/>
                <w14:textFill>
                  <w14:solidFill>
                    <w14:schemeClr w14:val="tx1"/>
                  </w14:solidFill>
                </w14:textFill>
              </w:rPr>
            </w:pPr>
            <w:r>
              <w:rPr>
                <w:color w:val="000000" w:themeColor="text1"/>
                <w:szCs w:val="21"/>
                <w:u w:val="none"/>
                <w14:textFill>
                  <w14:solidFill>
                    <w14:schemeClr w14:val="tx1"/>
                  </w14:solidFill>
                </w14:textFill>
              </w:rPr>
              <w:t>②灭火结束后，注意保护好现场，积极配合有关部门的调查处理工作，并做好伤亡人员的后勤保障。调查处理完毕后，经有关部门同意，立即组织人员进行现场清理，尽快恢复生产。</w:t>
            </w:r>
          </w:p>
          <w:p>
            <w:pPr>
              <w:pStyle w:val="7"/>
              <w:numPr>
                <w:ilvl w:val="0"/>
                <w:numId w:val="0"/>
              </w:numPr>
              <w:ind w:firstLine="482" w:firstLineChars="200"/>
              <w:rPr>
                <w:b/>
                <w:bCs/>
                <w:color w:val="000000" w:themeColor="text1"/>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八</w:t>
            </w:r>
            <w:r>
              <w:rPr>
                <w:rFonts w:ascii="Times New Roman" w:hAnsi="Times New Roman" w:eastAsia="宋体" w:cs="Times New Roman"/>
                <w:b/>
                <w:bCs/>
                <w:color w:val="000000" w:themeColor="text1"/>
                <w:kern w:val="2"/>
                <w:sz w:val="24"/>
                <w:szCs w:val="24"/>
                <w:lang w:val="en-US" w:eastAsia="zh-CN" w:bidi="ar-SA"/>
                <w14:textFill>
                  <w14:solidFill>
                    <w14:schemeClr w14:val="tx1"/>
                  </w14:solidFill>
                </w14:textFill>
              </w:rPr>
              <w:t>、</w:t>
            </w:r>
            <w:r>
              <w:rPr>
                <w:b/>
                <w:bCs/>
                <w:color w:val="000000" w:themeColor="text1"/>
                <w14:textFill>
                  <w14:solidFill>
                    <w14:schemeClr w14:val="tx1"/>
                  </w14:solidFill>
                </w14:textFill>
              </w:rPr>
              <w:t>电磁辐射</w:t>
            </w:r>
          </w:p>
          <w:p>
            <w:pPr>
              <w:pStyle w:val="7"/>
              <w:ind w:firstLine="480"/>
              <w:rPr>
                <w:rFonts w:ascii="宋体" w:hAnsi="宋体" w:cs="宋体"/>
                <w:bCs/>
                <w:color w:val="000000" w:themeColor="text1"/>
                <w:spacing w:val="-10"/>
                <w:szCs w:val="21"/>
                <w14:textFill>
                  <w14:solidFill>
                    <w14:schemeClr w14:val="tx1"/>
                  </w14:solidFill>
                </w14:textFill>
              </w:rPr>
            </w:pPr>
            <w:r>
              <w:rPr>
                <w:rFonts w:hint="eastAsia"/>
                <w:color w:val="000000" w:themeColor="text1"/>
                <w14:textFill>
                  <w14:solidFill>
                    <w14:schemeClr w14:val="tx1"/>
                  </w14:solidFill>
                </w14:textFill>
              </w:rPr>
              <w:t>医院建设有放射科，配置有</w:t>
            </w:r>
            <w:r>
              <w:rPr>
                <w:color w:val="000000" w:themeColor="text1"/>
                <w14:textFill>
                  <w14:solidFill>
                    <w14:schemeClr w14:val="tx1"/>
                  </w14:solidFill>
                </w14:textFill>
              </w:rPr>
              <w:t>X</w:t>
            </w:r>
            <w:r>
              <w:rPr>
                <w:rFonts w:hint="eastAsia"/>
                <w:color w:val="000000" w:themeColor="text1"/>
                <w14:textFill>
                  <w14:solidFill>
                    <w14:schemeClr w14:val="tx1"/>
                  </w14:solidFill>
                </w14:textFill>
              </w:rPr>
              <w:t>光机等设备。医院应委托相关专业单位，对医院电磁辐射设备的位置分布和防护措施进行检测和评价，并根据评价结果和要求，做好电磁辐射屏蔽防护，办理相关许可证。本环评不对辐射相关内容进行评价。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17" w:hRule="atLeast"/>
          <w:jc w:val="center"/>
        </w:trPr>
        <w:tc>
          <w:tcPr>
            <w:tcW w:w="298" w:type="dxa"/>
            <w:noWrap/>
            <w:tcMar>
              <w:left w:w="28" w:type="dxa"/>
              <w:right w:w="28" w:type="dxa"/>
            </w:tcMar>
            <w:vAlign w:val="center"/>
          </w:tcPr>
          <w:p>
            <w:pPr>
              <w:pStyle w:val="7"/>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环保投资</w:t>
            </w:r>
          </w:p>
          <w:p>
            <w:pPr>
              <w:adjustRightInd w:val="0"/>
              <w:snapToGrid w:val="0"/>
              <w:jc w:val="center"/>
              <w:rPr>
                <w:rFonts w:ascii="宋体" w:hAnsi="宋体" w:cs="宋体"/>
                <w:bCs/>
                <w:color w:val="000000" w:themeColor="text1"/>
                <w14:textFill>
                  <w14:solidFill>
                    <w14:schemeClr w14:val="tx1"/>
                  </w14:solidFill>
                </w14:textFill>
              </w:rPr>
            </w:pPr>
          </w:p>
        </w:tc>
        <w:tc>
          <w:tcPr>
            <w:tcW w:w="8145" w:type="dxa"/>
            <w:noWrap/>
          </w:tcPr>
          <w:p>
            <w:pPr>
              <w:ind w:firstLine="480" w:firstLineChars="200"/>
              <w:jc w:val="both"/>
              <w:rPr>
                <w:snapToGrid w:val="0"/>
                <w:color w:val="000000" w:themeColor="text1"/>
                <w:kern w:val="0"/>
                <w14:textFill>
                  <w14:solidFill>
                    <w14:schemeClr w14:val="tx1"/>
                  </w14:solidFill>
                </w14:textFill>
              </w:rPr>
            </w:pPr>
            <w:r>
              <w:rPr>
                <w:color w:val="000000" w:themeColor="text1"/>
                <w:u w:val="single"/>
                <w14:textFill>
                  <w14:solidFill>
                    <w14:schemeClr w14:val="tx1"/>
                  </w14:solidFill>
                </w14:textFill>
              </w:rPr>
              <w:t>本工程总投资</w:t>
            </w:r>
            <w:r>
              <w:rPr>
                <w:rFonts w:hint="eastAsia"/>
                <w:color w:val="000000" w:themeColor="text1"/>
                <w:u w:val="single"/>
                <w14:textFill>
                  <w14:solidFill>
                    <w14:schemeClr w14:val="tx1"/>
                  </w14:solidFill>
                </w14:textFill>
              </w:rPr>
              <w:t>3</w:t>
            </w:r>
            <w:r>
              <w:rPr>
                <w:rFonts w:hint="eastAsia"/>
                <w:color w:val="000000" w:themeColor="text1"/>
                <w:u w:val="single"/>
                <w:lang w:val="en-US" w:eastAsia="zh-CN"/>
                <w14:textFill>
                  <w14:solidFill>
                    <w14:schemeClr w14:val="tx1"/>
                  </w14:solidFill>
                </w14:textFill>
              </w:rPr>
              <w:t>19</w:t>
            </w:r>
            <w:r>
              <w:rPr>
                <w:rFonts w:hint="eastAsia"/>
                <w:color w:val="000000" w:themeColor="text1"/>
                <w:u w:val="single"/>
                <w14:textFill>
                  <w14:solidFill>
                    <w14:schemeClr w14:val="tx1"/>
                  </w14:solidFill>
                </w14:textFill>
              </w:rPr>
              <w:t>万元</w:t>
            </w:r>
            <w:r>
              <w:rPr>
                <w:color w:val="000000" w:themeColor="text1"/>
                <w:u w:val="single"/>
                <w14:textFill>
                  <w14:solidFill>
                    <w14:schemeClr w14:val="tx1"/>
                  </w14:solidFill>
                </w14:textFill>
              </w:rPr>
              <w:t>，</w:t>
            </w:r>
            <w:r>
              <w:rPr>
                <w:rFonts w:hint="eastAsia"/>
                <w:color w:val="000000" w:themeColor="text1"/>
                <w:u w:val="single"/>
                <w14:textFill>
                  <w14:solidFill>
                    <w14:schemeClr w14:val="tx1"/>
                  </w14:solidFill>
                </w14:textFill>
              </w:rPr>
              <w:t>项目</w:t>
            </w:r>
            <w:r>
              <w:rPr>
                <w:color w:val="000000" w:themeColor="text1"/>
                <w:u w:val="single"/>
                <w14:textFill>
                  <w14:solidFill>
                    <w14:schemeClr w14:val="tx1"/>
                  </w14:solidFill>
                </w14:textFill>
              </w:rPr>
              <w:t>环保</w:t>
            </w:r>
            <w:r>
              <w:rPr>
                <w:rFonts w:hint="eastAsia"/>
                <w:color w:val="000000" w:themeColor="text1"/>
                <w:u w:val="single"/>
                <w14:textFill>
                  <w14:solidFill>
                    <w14:schemeClr w14:val="tx1"/>
                  </w14:solidFill>
                </w14:textFill>
              </w:rPr>
              <w:t>总</w:t>
            </w:r>
            <w:r>
              <w:rPr>
                <w:color w:val="000000" w:themeColor="text1"/>
                <w:u w:val="single"/>
                <w14:textFill>
                  <w14:solidFill>
                    <w14:schemeClr w14:val="tx1"/>
                  </w14:solidFill>
                </w14:textFill>
              </w:rPr>
              <w:t>投资</w:t>
            </w:r>
            <w:r>
              <w:rPr>
                <w:rFonts w:hint="eastAsia"/>
                <w:color w:val="000000" w:themeColor="text1"/>
                <w:u w:val="single"/>
                <w:shd w:val="clear"/>
                <w:lang w:val="en-US" w:eastAsia="zh-CN"/>
                <w14:textFill>
                  <w14:solidFill>
                    <w14:schemeClr w14:val="tx1"/>
                  </w14:solidFill>
                </w14:textFill>
              </w:rPr>
              <w:t>22</w:t>
            </w:r>
            <w:r>
              <w:rPr>
                <w:rFonts w:hint="eastAsia"/>
                <w:color w:val="000000" w:themeColor="text1"/>
                <w:u w:val="single"/>
                <w14:textFill>
                  <w14:solidFill>
                    <w14:schemeClr w14:val="tx1"/>
                  </w14:solidFill>
                </w14:textFill>
              </w:rPr>
              <w:t>万元</w:t>
            </w:r>
            <w:r>
              <w:rPr>
                <w:color w:val="000000" w:themeColor="text1"/>
                <w:u w:val="single"/>
                <w14:textFill>
                  <w14:solidFill>
                    <w14:schemeClr w14:val="tx1"/>
                  </w14:solidFill>
                </w14:textFill>
              </w:rPr>
              <w:t>，占总投资的</w:t>
            </w:r>
            <w:r>
              <w:rPr>
                <w:rFonts w:hint="eastAsia"/>
                <w:color w:val="000000" w:themeColor="text1"/>
                <w:u w:val="single"/>
                <w:shd w:val="clear"/>
                <w:lang w:val="en-US" w:eastAsia="zh-CN"/>
                <w14:textFill>
                  <w14:solidFill>
                    <w14:schemeClr w14:val="tx1"/>
                  </w14:solidFill>
                </w14:textFill>
              </w:rPr>
              <w:t>6.9</w:t>
            </w:r>
            <w:r>
              <w:rPr>
                <w:rFonts w:hint="eastAsia"/>
                <w:color w:val="000000" w:themeColor="text1"/>
                <w:u w:val="single"/>
                <w:shd w:val="clear"/>
                <w14:textFill>
                  <w14:solidFill>
                    <w14:schemeClr w14:val="tx1"/>
                  </w14:solidFill>
                </w14:textFill>
              </w:rPr>
              <w:t>%</w:t>
            </w:r>
            <w:r>
              <w:rPr>
                <w:color w:val="000000" w:themeColor="text1"/>
                <w:u w:val="single"/>
                <w14:textFill>
                  <w14:solidFill>
                    <w14:schemeClr w14:val="tx1"/>
                  </w14:solidFill>
                </w14:textFill>
              </w:rPr>
              <w:t>，</w:t>
            </w:r>
            <w:r>
              <w:rPr>
                <w:snapToGrid w:val="0"/>
                <w:color w:val="000000" w:themeColor="text1"/>
                <w:kern w:val="0"/>
                <w14:textFill>
                  <w14:solidFill>
                    <w14:schemeClr w14:val="tx1"/>
                  </w14:solidFill>
                </w14:textFill>
              </w:rPr>
              <w:t>项目环保投资情况，见</w:t>
            </w:r>
            <w:r>
              <w:rPr>
                <w:rFonts w:hint="eastAsia"/>
                <w:snapToGrid w:val="0"/>
                <w:color w:val="000000" w:themeColor="text1"/>
                <w:kern w:val="0"/>
                <w14:textFill>
                  <w14:solidFill>
                    <w14:schemeClr w14:val="tx1"/>
                  </w14:solidFill>
                </w14:textFill>
              </w:rPr>
              <w:t>下</w:t>
            </w:r>
            <w:r>
              <w:rPr>
                <w:snapToGrid w:val="0"/>
                <w:color w:val="000000" w:themeColor="text1"/>
                <w:kern w:val="0"/>
                <w14:textFill>
                  <w14:solidFill>
                    <w14:schemeClr w14:val="tx1"/>
                  </w14:solidFill>
                </w14:textFill>
              </w:rPr>
              <w:t>表。</w:t>
            </w:r>
          </w:p>
          <w:p>
            <w:pPr>
              <w:pStyle w:val="49"/>
              <w:rPr>
                <w:color w:val="000000" w:themeColor="text1"/>
                <w:u w:val="single"/>
                <w14:textFill>
                  <w14:solidFill>
                    <w14:schemeClr w14:val="tx1"/>
                  </w14:solidFill>
                </w14:textFill>
              </w:rPr>
            </w:pPr>
            <w:r>
              <w:rPr>
                <w:color w:val="000000" w:themeColor="text1"/>
                <w:u w:val="single"/>
                <w14:textFill>
                  <w14:solidFill>
                    <w14:schemeClr w14:val="tx1"/>
                  </w14:solidFill>
                </w14:textFill>
              </w:rPr>
              <w:t>表</w:t>
            </w:r>
            <w:r>
              <w:rPr>
                <w:rFonts w:hint="eastAsia"/>
                <w:color w:val="000000" w:themeColor="text1"/>
                <w:u w:val="single"/>
                <w14:textFill>
                  <w14:solidFill>
                    <w14:schemeClr w14:val="tx1"/>
                  </w14:solidFill>
                </w14:textFill>
              </w:rPr>
              <w:t xml:space="preserve">4.3-1  </w:t>
            </w:r>
            <w:r>
              <w:rPr>
                <w:color w:val="000000" w:themeColor="text1"/>
                <w:u w:val="single"/>
                <w14:textFill>
                  <w14:solidFill>
                    <w14:schemeClr w14:val="tx1"/>
                  </w14:solidFill>
                </w14:textFill>
              </w:rPr>
              <w:t>项目环保投资情况一览表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20"/>
              <w:gridCol w:w="1291"/>
              <w:gridCol w:w="2633"/>
              <w:gridCol w:w="955"/>
              <w:gridCol w:w="895"/>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1" w:type="pct"/>
                  <w:vAlign w:val="center"/>
                </w:tcPr>
                <w:p>
                  <w:pPr>
                    <w:pStyle w:val="48"/>
                    <w:jc w:val="center"/>
                    <w:rPr>
                      <w:color w:val="000000" w:themeColor="text1"/>
                      <w:u w:val="single"/>
                      <w14:textFill>
                        <w14:solidFill>
                          <w14:schemeClr w14:val="tx1"/>
                        </w14:solidFill>
                      </w14:textFill>
                    </w:rPr>
                  </w:pPr>
                  <w:r>
                    <w:rPr>
                      <w:color w:val="000000" w:themeColor="text1"/>
                      <w:u w:val="single"/>
                      <w14:textFill>
                        <w14:solidFill>
                          <w14:schemeClr w14:val="tx1"/>
                        </w14:solidFill>
                      </w14:textFill>
                    </w:rPr>
                    <w:t>项目</w:t>
                  </w:r>
                </w:p>
              </w:tc>
              <w:tc>
                <w:tcPr>
                  <w:tcW w:w="815" w:type="pct"/>
                  <w:vAlign w:val="center"/>
                </w:tcPr>
                <w:p>
                  <w:pPr>
                    <w:pStyle w:val="48"/>
                    <w:jc w:val="center"/>
                    <w:rPr>
                      <w:color w:val="000000" w:themeColor="text1"/>
                      <w:u w:val="single"/>
                      <w14:textFill>
                        <w14:solidFill>
                          <w14:schemeClr w14:val="tx1"/>
                        </w14:solidFill>
                      </w14:textFill>
                    </w:rPr>
                  </w:pPr>
                  <w:r>
                    <w:rPr>
                      <w:color w:val="000000" w:themeColor="text1"/>
                      <w:u w:val="single"/>
                      <w14:textFill>
                        <w14:solidFill>
                          <w14:schemeClr w14:val="tx1"/>
                        </w14:solidFill>
                      </w14:textFill>
                    </w:rPr>
                    <w:t>污染源</w:t>
                  </w:r>
                </w:p>
              </w:tc>
              <w:tc>
                <w:tcPr>
                  <w:tcW w:w="1662" w:type="pct"/>
                  <w:vAlign w:val="center"/>
                </w:tcPr>
                <w:p>
                  <w:pPr>
                    <w:pStyle w:val="48"/>
                    <w:jc w:val="center"/>
                    <w:rPr>
                      <w:color w:val="000000" w:themeColor="text1"/>
                      <w:u w:val="single"/>
                      <w14:textFill>
                        <w14:solidFill>
                          <w14:schemeClr w14:val="tx1"/>
                        </w14:solidFill>
                      </w14:textFill>
                    </w:rPr>
                  </w:pPr>
                  <w:r>
                    <w:rPr>
                      <w:color w:val="000000" w:themeColor="text1"/>
                      <w:u w:val="single"/>
                      <w14:textFill>
                        <w14:solidFill>
                          <w14:schemeClr w14:val="tx1"/>
                        </w14:solidFill>
                      </w14:textFill>
                    </w:rPr>
                    <w:t>环保措施</w:t>
                  </w:r>
                </w:p>
              </w:tc>
              <w:tc>
                <w:tcPr>
                  <w:tcW w:w="602" w:type="pct"/>
                  <w:vAlign w:val="center"/>
                </w:tcPr>
                <w:p>
                  <w:pPr>
                    <w:pStyle w:val="48"/>
                    <w:jc w:val="center"/>
                    <w:rPr>
                      <w:color w:val="000000" w:themeColor="text1"/>
                      <w:u w:val="single"/>
                      <w14:textFill>
                        <w14:solidFill>
                          <w14:schemeClr w14:val="tx1"/>
                        </w14:solidFill>
                      </w14:textFill>
                    </w:rPr>
                  </w:pPr>
                  <w:r>
                    <w:rPr>
                      <w:color w:val="000000" w:themeColor="text1"/>
                      <w:u w:val="single"/>
                      <w14:textFill>
                        <w14:solidFill>
                          <w14:schemeClr w14:val="tx1"/>
                        </w14:solidFill>
                      </w14:textFill>
                    </w:rPr>
                    <w:t>规模</w:t>
                  </w:r>
                </w:p>
              </w:tc>
              <w:tc>
                <w:tcPr>
                  <w:tcW w:w="565" w:type="pct"/>
                  <w:vAlign w:val="center"/>
                </w:tcPr>
                <w:p>
                  <w:pPr>
                    <w:pStyle w:val="48"/>
                    <w:jc w:val="center"/>
                    <w:rPr>
                      <w:color w:val="000000" w:themeColor="text1"/>
                      <w:u w:val="single"/>
                      <w14:textFill>
                        <w14:solidFill>
                          <w14:schemeClr w14:val="tx1"/>
                        </w14:solidFill>
                      </w14:textFill>
                    </w:rPr>
                  </w:pPr>
                  <w:r>
                    <w:rPr>
                      <w:color w:val="000000" w:themeColor="text1"/>
                      <w:u w:val="single"/>
                      <w14:textFill>
                        <w14:solidFill>
                          <w14:schemeClr w14:val="tx1"/>
                        </w14:solidFill>
                      </w14:textFill>
                    </w:rPr>
                    <w:t>投资</w:t>
                  </w:r>
                </w:p>
                <w:p>
                  <w:pPr>
                    <w:pStyle w:val="48"/>
                    <w:jc w:val="center"/>
                    <w:rPr>
                      <w:color w:val="000000" w:themeColor="text1"/>
                      <w:u w:val="single"/>
                      <w14:textFill>
                        <w14:solidFill>
                          <w14:schemeClr w14:val="tx1"/>
                        </w14:solidFill>
                      </w14:textFill>
                    </w:rPr>
                  </w:pPr>
                  <w:r>
                    <w:rPr>
                      <w:rFonts w:hint="eastAsia"/>
                      <w:color w:val="000000" w:themeColor="text1"/>
                      <w:u w:val="single"/>
                      <w:lang w:eastAsia="zh-CN"/>
                      <w14:textFill>
                        <w14:solidFill>
                          <w14:schemeClr w14:val="tx1"/>
                        </w14:solidFill>
                      </w14:textFill>
                    </w:rPr>
                    <w:t>（</w:t>
                  </w:r>
                  <w:r>
                    <w:rPr>
                      <w:color w:val="000000" w:themeColor="text1"/>
                      <w:u w:val="single"/>
                      <w14:textFill>
                        <w14:solidFill>
                          <w14:schemeClr w14:val="tx1"/>
                        </w14:solidFill>
                      </w14:textFill>
                    </w:rPr>
                    <w:t>万元</w:t>
                  </w:r>
                  <w:r>
                    <w:rPr>
                      <w:rFonts w:hint="eastAsia"/>
                      <w:color w:val="000000" w:themeColor="text1"/>
                      <w:u w:val="single"/>
                      <w:lang w:eastAsia="zh-CN"/>
                      <w14:textFill>
                        <w14:solidFill>
                          <w14:schemeClr w14:val="tx1"/>
                        </w14:solidFill>
                      </w14:textFill>
                    </w:rPr>
                    <w:t>）</w:t>
                  </w:r>
                </w:p>
              </w:tc>
              <w:tc>
                <w:tcPr>
                  <w:tcW w:w="772" w:type="pct"/>
                  <w:vAlign w:val="center"/>
                </w:tcPr>
                <w:p>
                  <w:pPr>
                    <w:pStyle w:val="48"/>
                    <w:tabs>
                      <w:tab w:val="left" w:pos="494"/>
                    </w:tabs>
                    <w:jc w:val="center"/>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581" w:type="pct"/>
                  <w:vMerge w:val="restart"/>
                  <w:vAlign w:val="center"/>
                </w:tcPr>
                <w:p>
                  <w:pPr>
                    <w:pStyle w:val="48"/>
                    <w:jc w:val="center"/>
                    <w:rPr>
                      <w:color w:val="000000" w:themeColor="text1"/>
                      <w:u w:val="single"/>
                      <w14:textFill>
                        <w14:solidFill>
                          <w14:schemeClr w14:val="tx1"/>
                        </w14:solidFill>
                      </w14:textFill>
                    </w:rPr>
                  </w:pPr>
                  <w:r>
                    <w:rPr>
                      <w:color w:val="000000" w:themeColor="text1"/>
                      <w:u w:val="single"/>
                      <w14:textFill>
                        <w14:solidFill>
                          <w14:schemeClr w14:val="tx1"/>
                        </w14:solidFill>
                      </w14:textFill>
                    </w:rPr>
                    <w:t>废水治理</w:t>
                  </w:r>
                </w:p>
              </w:tc>
              <w:tc>
                <w:tcPr>
                  <w:tcW w:w="815" w:type="pct"/>
                  <w:vMerge w:val="restart"/>
                  <w:vAlign w:val="center"/>
                </w:tcPr>
                <w:p>
                  <w:pPr>
                    <w:pStyle w:val="48"/>
                    <w:jc w:val="center"/>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废水</w:t>
                  </w:r>
                </w:p>
              </w:tc>
              <w:tc>
                <w:tcPr>
                  <w:tcW w:w="1662" w:type="pct"/>
                  <w:vAlign w:val="center"/>
                </w:tcPr>
                <w:p>
                  <w:pPr>
                    <w:pStyle w:val="48"/>
                    <w:jc w:val="center"/>
                    <w:rPr>
                      <w:color w:val="000000" w:themeColor="text1"/>
                      <w:u w:val="single"/>
                      <w14:textFill>
                        <w14:solidFill>
                          <w14:schemeClr w14:val="tx1"/>
                        </w14:solidFill>
                      </w14:textFill>
                    </w:rPr>
                  </w:pPr>
                  <w:r>
                    <w:rPr>
                      <w:color w:val="000000" w:themeColor="text1"/>
                      <w:u w:val="single"/>
                      <w14:textFill>
                        <w14:solidFill>
                          <w14:schemeClr w14:val="tx1"/>
                        </w14:solidFill>
                      </w14:textFill>
                    </w:rPr>
                    <w:t>化粪池</w:t>
                  </w:r>
                </w:p>
              </w:tc>
              <w:tc>
                <w:tcPr>
                  <w:tcW w:w="602" w:type="pct"/>
                  <w:vAlign w:val="center"/>
                </w:tcPr>
                <w:p>
                  <w:pPr>
                    <w:pStyle w:val="48"/>
                    <w:jc w:val="center"/>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1个</w:t>
                  </w:r>
                </w:p>
              </w:tc>
              <w:tc>
                <w:tcPr>
                  <w:tcW w:w="565" w:type="pct"/>
                  <w:vAlign w:val="center"/>
                </w:tcPr>
                <w:p>
                  <w:pPr>
                    <w:pStyle w:val="48"/>
                    <w:jc w:val="center"/>
                    <w:rPr>
                      <w:rFonts w:hint="eastAsia"/>
                      <w:color w:val="000000" w:themeColor="text1"/>
                      <w:u w:val="single"/>
                      <w:lang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3</w:t>
                  </w:r>
                </w:p>
              </w:tc>
              <w:tc>
                <w:tcPr>
                  <w:tcW w:w="772" w:type="pct"/>
                  <w:vAlign w:val="center"/>
                </w:tcPr>
                <w:p>
                  <w:pPr>
                    <w:pStyle w:val="48"/>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 w:hRule="atLeast"/>
                <w:jc w:val="center"/>
              </w:trPr>
              <w:tc>
                <w:tcPr>
                  <w:tcW w:w="581" w:type="pct"/>
                  <w:vMerge w:val="continue"/>
                  <w:vAlign w:val="center"/>
                </w:tcPr>
                <w:p>
                  <w:pPr>
                    <w:pStyle w:val="48"/>
                    <w:jc w:val="center"/>
                    <w:rPr>
                      <w:color w:val="000000" w:themeColor="text1"/>
                      <w:u w:val="single"/>
                      <w14:textFill>
                        <w14:solidFill>
                          <w14:schemeClr w14:val="tx1"/>
                        </w14:solidFill>
                      </w14:textFill>
                    </w:rPr>
                  </w:pPr>
                </w:p>
              </w:tc>
              <w:tc>
                <w:tcPr>
                  <w:tcW w:w="815" w:type="pct"/>
                  <w:vMerge w:val="continue"/>
                  <w:vAlign w:val="center"/>
                </w:tcPr>
                <w:p>
                  <w:pPr>
                    <w:pStyle w:val="48"/>
                    <w:jc w:val="center"/>
                    <w:rPr>
                      <w:color w:val="000000" w:themeColor="text1"/>
                      <w:u w:val="single"/>
                      <w14:textFill>
                        <w14:solidFill>
                          <w14:schemeClr w14:val="tx1"/>
                        </w14:solidFill>
                      </w14:textFill>
                    </w:rPr>
                  </w:pPr>
                </w:p>
              </w:tc>
              <w:tc>
                <w:tcPr>
                  <w:tcW w:w="1662" w:type="pct"/>
                  <w:vAlign w:val="center"/>
                </w:tcPr>
                <w:p>
                  <w:pPr>
                    <w:pStyle w:val="48"/>
                    <w:jc w:val="center"/>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配套污水处理站</w:t>
                  </w:r>
                </w:p>
              </w:tc>
              <w:tc>
                <w:tcPr>
                  <w:tcW w:w="602" w:type="pct"/>
                  <w:vAlign w:val="center"/>
                </w:tcPr>
                <w:p>
                  <w:pPr>
                    <w:pStyle w:val="48"/>
                    <w:jc w:val="center"/>
                    <w:rPr>
                      <w:color w:val="000000" w:themeColor="text1"/>
                      <w:u w:val="single"/>
                      <w14:textFill>
                        <w14:solidFill>
                          <w14:schemeClr w14:val="tx1"/>
                        </w14:solidFill>
                      </w14:textFill>
                    </w:rPr>
                  </w:pPr>
                  <w:r>
                    <w:rPr>
                      <w:color w:val="000000" w:themeColor="text1"/>
                      <w:u w:val="single"/>
                      <w14:textFill>
                        <w14:solidFill>
                          <w14:schemeClr w14:val="tx1"/>
                        </w14:solidFill>
                      </w14:textFill>
                    </w:rPr>
                    <w:t>1套</w:t>
                  </w:r>
                </w:p>
              </w:tc>
              <w:tc>
                <w:tcPr>
                  <w:tcW w:w="565" w:type="pct"/>
                  <w:vAlign w:val="center"/>
                </w:tcPr>
                <w:p>
                  <w:pPr>
                    <w:pStyle w:val="48"/>
                    <w:jc w:val="center"/>
                    <w:rPr>
                      <w:rFonts w:hint="eastAsia"/>
                      <w:color w:val="000000" w:themeColor="text1"/>
                      <w:u w:val="single"/>
                      <w:lang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6</w:t>
                  </w:r>
                </w:p>
              </w:tc>
              <w:tc>
                <w:tcPr>
                  <w:tcW w:w="772" w:type="pct"/>
                  <w:vAlign w:val="center"/>
                </w:tcPr>
                <w:p>
                  <w:pPr>
                    <w:pStyle w:val="48"/>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1" w:type="pct"/>
                  <w:vAlign w:val="center"/>
                </w:tcPr>
                <w:p>
                  <w:pPr>
                    <w:pStyle w:val="48"/>
                    <w:jc w:val="center"/>
                    <w:rPr>
                      <w:color w:val="000000" w:themeColor="text1"/>
                      <w:u w:val="single"/>
                      <w14:textFill>
                        <w14:solidFill>
                          <w14:schemeClr w14:val="tx1"/>
                        </w14:solidFill>
                      </w14:textFill>
                    </w:rPr>
                  </w:pPr>
                  <w:r>
                    <w:rPr>
                      <w:color w:val="000000" w:themeColor="text1"/>
                      <w:u w:val="single"/>
                      <w14:textFill>
                        <w14:solidFill>
                          <w14:schemeClr w14:val="tx1"/>
                        </w14:solidFill>
                      </w14:textFill>
                    </w:rPr>
                    <w:t>废气治理</w:t>
                  </w:r>
                </w:p>
              </w:tc>
              <w:tc>
                <w:tcPr>
                  <w:tcW w:w="815" w:type="pct"/>
                  <w:vAlign w:val="center"/>
                </w:tcPr>
                <w:p>
                  <w:pPr>
                    <w:pStyle w:val="48"/>
                    <w:jc w:val="center"/>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恶臭</w:t>
                  </w:r>
                </w:p>
              </w:tc>
              <w:tc>
                <w:tcPr>
                  <w:tcW w:w="1662" w:type="pct"/>
                  <w:vAlign w:val="center"/>
                </w:tcPr>
                <w:p>
                  <w:pPr>
                    <w:pStyle w:val="48"/>
                    <w:jc w:val="center"/>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污水处理站加盖密闭</w:t>
                  </w:r>
                  <w:r>
                    <w:rPr>
                      <w:color w:val="000000" w:themeColor="text1"/>
                      <w:u w:val="single"/>
                      <w14:textFill>
                        <w14:solidFill>
                          <w14:schemeClr w14:val="tx1"/>
                        </w14:solidFill>
                      </w14:textFill>
                    </w:rPr>
                    <w:t>+</w:t>
                  </w:r>
                  <w:r>
                    <w:rPr>
                      <w:rFonts w:hint="eastAsia"/>
                      <w:color w:val="000000" w:themeColor="text1"/>
                      <w:u w:val="single"/>
                      <w14:textFill>
                        <w14:solidFill>
                          <w14:schemeClr w14:val="tx1"/>
                        </w14:solidFill>
                      </w14:textFill>
                    </w:rPr>
                    <w:t>除臭</w:t>
                  </w:r>
                </w:p>
              </w:tc>
              <w:tc>
                <w:tcPr>
                  <w:tcW w:w="602" w:type="pct"/>
                  <w:vAlign w:val="center"/>
                </w:tcPr>
                <w:p>
                  <w:pPr>
                    <w:pStyle w:val="48"/>
                    <w:jc w:val="center"/>
                    <w:rPr>
                      <w:color w:val="000000" w:themeColor="text1"/>
                      <w:u w:val="single"/>
                      <w14:textFill>
                        <w14:solidFill>
                          <w14:schemeClr w14:val="tx1"/>
                        </w14:solidFill>
                      </w14:textFill>
                    </w:rPr>
                  </w:pPr>
                  <w:r>
                    <w:rPr>
                      <w:color w:val="000000" w:themeColor="text1"/>
                      <w:u w:val="single"/>
                      <w14:textFill>
                        <w14:solidFill>
                          <w14:schemeClr w14:val="tx1"/>
                        </w14:solidFill>
                      </w14:textFill>
                    </w:rPr>
                    <w:t>1套</w:t>
                  </w:r>
                </w:p>
              </w:tc>
              <w:tc>
                <w:tcPr>
                  <w:tcW w:w="565" w:type="pct"/>
                  <w:vAlign w:val="center"/>
                </w:tcPr>
                <w:p>
                  <w:pPr>
                    <w:pStyle w:val="48"/>
                    <w:jc w:val="center"/>
                    <w:rPr>
                      <w:rFonts w:hint="eastAsia"/>
                      <w:color w:val="000000" w:themeColor="text1"/>
                      <w:u w:val="single"/>
                      <w:lang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2</w:t>
                  </w:r>
                </w:p>
              </w:tc>
              <w:tc>
                <w:tcPr>
                  <w:tcW w:w="772" w:type="pct"/>
                  <w:vAlign w:val="center"/>
                </w:tcPr>
                <w:p>
                  <w:pPr>
                    <w:pStyle w:val="48"/>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1" w:type="pct"/>
                  <w:vAlign w:val="center"/>
                </w:tcPr>
                <w:p>
                  <w:pPr>
                    <w:pStyle w:val="48"/>
                    <w:jc w:val="center"/>
                    <w:rPr>
                      <w:color w:val="000000" w:themeColor="text1"/>
                      <w:u w:val="single"/>
                      <w14:textFill>
                        <w14:solidFill>
                          <w14:schemeClr w14:val="tx1"/>
                        </w14:solidFill>
                      </w14:textFill>
                    </w:rPr>
                  </w:pPr>
                  <w:r>
                    <w:rPr>
                      <w:color w:val="000000" w:themeColor="text1"/>
                      <w:u w:val="single"/>
                      <w14:textFill>
                        <w14:solidFill>
                          <w14:schemeClr w14:val="tx1"/>
                        </w14:solidFill>
                      </w14:textFill>
                    </w:rPr>
                    <w:t>噪声治理</w:t>
                  </w:r>
                </w:p>
              </w:tc>
              <w:tc>
                <w:tcPr>
                  <w:tcW w:w="815" w:type="pct"/>
                  <w:vAlign w:val="center"/>
                </w:tcPr>
                <w:p>
                  <w:pPr>
                    <w:pStyle w:val="48"/>
                    <w:jc w:val="center"/>
                    <w:rPr>
                      <w:color w:val="000000" w:themeColor="text1"/>
                      <w:u w:val="single"/>
                      <w14:textFill>
                        <w14:solidFill>
                          <w14:schemeClr w14:val="tx1"/>
                        </w14:solidFill>
                      </w14:textFill>
                    </w:rPr>
                  </w:pPr>
                  <w:r>
                    <w:rPr>
                      <w:color w:val="000000" w:themeColor="text1"/>
                      <w:u w:val="single"/>
                      <w14:textFill>
                        <w14:solidFill>
                          <w14:schemeClr w14:val="tx1"/>
                        </w14:solidFill>
                      </w14:textFill>
                    </w:rPr>
                    <w:t>设备噪声</w:t>
                  </w:r>
                </w:p>
              </w:tc>
              <w:tc>
                <w:tcPr>
                  <w:tcW w:w="1662" w:type="pct"/>
                  <w:vAlign w:val="center"/>
                </w:tcPr>
                <w:p>
                  <w:pPr>
                    <w:pStyle w:val="48"/>
                    <w:jc w:val="center"/>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隔声、减振处理，首选低噪设备，并进行合理放置，严格生产作业管理</w:t>
                  </w:r>
                </w:p>
              </w:tc>
              <w:tc>
                <w:tcPr>
                  <w:tcW w:w="602" w:type="pct"/>
                  <w:vAlign w:val="center"/>
                </w:tcPr>
                <w:p>
                  <w:pPr>
                    <w:pStyle w:val="48"/>
                    <w:jc w:val="center"/>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若干</w:t>
                  </w:r>
                </w:p>
              </w:tc>
              <w:tc>
                <w:tcPr>
                  <w:tcW w:w="565" w:type="pct"/>
                  <w:vAlign w:val="center"/>
                </w:tcPr>
                <w:p>
                  <w:pPr>
                    <w:pStyle w:val="48"/>
                    <w:jc w:val="center"/>
                    <w:rPr>
                      <w:rFonts w:hint="eastAsia"/>
                      <w:color w:val="000000" w:themeColor="text1"/>
                      <w:u w:val="single"/>
                      <w:lang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3</w:t>
                  </w:r>
                </w:p>
              </w:tc>
              <w:tc>
                <w:tcPr>
                  <w:tcW w:w="772" w:type="pct"/>
                  <w:vAlign w:val="center"/>
                </w:tcPr>
                <w:p>
                  <w:pPr>
                    <w:pStyle w:val="48"/>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1" w:type="pct"/>
                  <w:vMerge w:val="restart"/>
                  <w:vAlign w:val="center"/>
                </w:tcPr>
                <w:p>
                  <w:pPr>
                    <w:pStyle w:val="48"/>
                    <w:jc w:val="center"/>
                    <w:rPr>
                      <w:color w:val="000000" w:themeColor="text1"/>
                      <w:u w:val="single"/>
                      <w14:textFill>
                        <w14:solidFill>
                          <w14:schemeClr w14:val="tx1"/>
                        </w14:solidFill>
                      </w14:textFill>
                    </w:rPr>
                  </w:pPr>
                  <w:r>
                    <w:rPr>
                      <w:color w:val="000000" w:themeColor="text1"/>
                      <w:u w:val="single"/>
                      <w14:textFill>
                        <w14:solidFill>
                          <w14:schemeClr w14:val="tx1"/>
                        </w14:solidFill>
                      </w14:textFill>
                    </w:rPr>
                    <w:t>固废治理</w:t>
                  </w:r>
                </w:p>
              </w:tc>
              <w:tc>
                <w:tcPr>
                  <w:tcW w:w="815" w:type="pct"/>
                  <w:vAlign w:val="center"/>
                </w:tcPr>
                <w:p>
                  <w:pPr>
                    <w:pStyle w:val="48"/>
                    <w:jc w:val="center"/>
                    <w:rPr>
                      <w:color w:val="000000" w:themeColor="text1"/>
                      <w:u w:val="single"/>
                      <w14:textFill>
                        <w14:solidFill>
                          <w14:schemeClr w14:val="tx1"/>
                        </w14:solidFill>
                      </w14:textFill>
                    </w:rPr>
                  </w:pPr>
                  <w:r>
                    <w:rPr>
                      <w:color w:val="000000" w:themeColor="text1"/>
                      <w:u w:val="single"/>
                      <w14:textFill>
                        <w14:solidFill>
                          <w14:schemeClr w14:val="tx1"/>
                        </w14:solidFill>
                      </w14:textFill>
                    </w:rPr>
                    <w:t>生活垃圾</w:t>
                  </w:r>
                </w:p>
              </w:tc>
              <w:tc>
                <w:tcPr>
                  <w:tcW w:w="1662" w:type="pct"/>
                  <w:vAlign w:val="center"/>
                </w:tcPr>
                <w:p>
                  <w:pPr>
                    <w:pStyle w:val="48"/>
                    <w:jc w:val="center"/>
                    <w:rPr>
                      <w:color w:val="000000" w:themeColor="text1"/>
                      <w:u w:val="single"/>
                      <w14:textFill>
                        <w14:solidFill>
                          <w14:schemeClr w14:val="tx1"/>
                        </w14:solidFill>
                      </w14:textFill>
                    </w:rPr>
                  </w:pPr>
                  <w:r>
                    <w:rPr>
                      <w:color w:val="000000" w:themeColor="text1"/>
                      <w:u w:val="single"/>
                      <w14:textFill>
                        <w14:solidFill>
                          <w14:schemeClr w14:val="tx1"/>
                        </w14:solidFill>
                      </w14:textFill>
                    </w:rPr>
                    <w:t>生活垃圾收集箱</w:t>
                  </w:r>
                </w:p>
              </w:tc>
              <w:tc>
                <w:tcPr>
                  <w:tcW w:w="602" w:type="pct"/>
                  <w:vAlign w:val="center"/>
                </w:tcPr>
                <w:p>
                  <w:pPr>
                    <w:pStyle w:val="48"/>
                    <w:jc w:val="center"/>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23个</w:t>
                  </w:r>
                </w:p>
              </w:tc>
              <w:tc>
                <w:tcPr>
                  <w:tcW w:w="565" w:type="pct"/>
                  <w:vAlign w:val="center"/>
                </w:tcPr>
                <w:p>
                  <w:pPr>
                    <w:pStyle w:val="48"/>
                    <w:jc w:val="center"/>
                    <w:rPr>
                      <w:rFonts w:hint="eastAsia"/>
                      <w:color w:val="000000" w:themeColor="text1"/>
                      <w:u w:val="single"/>
                      <w:lang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2</w:t>
                  </w:r>
                </w:p>
              </w:tc>
              <w:tc>
                <w:tcPr>
                  <w:tcW w:w="772" w:type="pct"/>
                  <w:vAlign w:val="center"/>
                </w:tcPr>
                <w:p>
                  <w:pPr>
                    <w:pStyle w:val="48"/>
                    <w:jc w:val="center"/>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已投入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1" w:type="pct"/>
                  <w:vMerge w:val="continue"/>
                  <w:vAlign w:val="center"/>
                </w:tcPr>
                <w:p>
                  <w:pPr>
                    <w:pStyle w:val="48"/>
                    <w:jc w:val="center"/>
                    <w:rPr>
                      <w:color w:val="000000" w:themeColor="text1"/>
                      <w:u w:val="single"/>
                      <w14:textFill>
                        <w14:solidFill>
                          <w14:schemeClr w14:val="tx1"/>
                        </w14:solidFill>
                      </w14:textFill>
                    </w:rPr>
                  </w:pPr>
                </w:p>
              </w:tc>
              <w:tc>
                <w:tcPr>
                  <w:tcW w:w="815" w:type="pct"/>
                  <w:vAlign w:val="center"/>
                </w:tcPr>
                <w:p>
                  <w:pPr>
                    <w:pStyle w:val="48"/>
                    <w:jc w:val="center"/>
                    <w:rPr>
                      <w:color w:val="000000" w:themeColor="text1"/>
                      <w:u w:val="single"/>
                      <w14:textFill>
                        <w14:solidFill>
                          <w14:schemeClr w14:val="tx1"/>
                        </w14:solidFill>
                      </w14:textFill>
                    </w:rPr>
                  </w:pPr>
                  <w:r>
                    <w:rPr>
                      <w:color w:val="000000" w:themeColor="text1"/>
                      <w:u w:val="single"/>
                      <w14:textFill>
                        <w14:solidFill>
                          <w14:schemeClr w14:val="tx1"/>
                        </w14:solidFill>
                      </w14:textFill>
                    </w:rPr>
                    <w:t>危险废物</w:t>
                  </w:r>
                </w:p>
              </w:tc>
              <w:tc>
                <w:tcPr>
                  <w:tcW w:w="1662" w:type="pct"/>
                  <w:vAlign w:val="center"/>
                </w:tcPr>
                <w:p>
                  <w:pPr>
                    <w:pStyle w:val="48"/>
                    <w:jc w:val="center"/>
                    <w:rPr>
                      <w:color w:val="000000" w:themeColor="text1"/>
                      <w:u w:val="single"/>
                      <w14:textFill>
                        <w14:solidFill>
                          <w14:schemeClr w14:val="tx1"/>
                        </w14:solidFill>
                      </w14:textFill>
                    </w:rPr>
                  </w:pPr>
                  <w:r>
                    <w:rPr>
                      <w:color w:val="000000" w:themeColor="text1"/>
                      <w:u w:val="single"/>
                      <w14:textFill>
                        <w14:solidFill>
                          <w14:schemeClr w14:val="tx1"/>
                        </w14:solidFill>
                      </w14:textFill>
                    </w:rPr>
                    <w:t>危险废物暂存间</w:t>
                  </w:r>
                </w:p>
              </w:tc>
              <w:tc>
                <w:tcPr>
                  <w:tcW w:w="602" w:type="pct"/>
                  <w:vAlign w:val="center"/>
                </w:tcPr>
                <w:p>
                  <w:pPr>
                    <w:pStyle w:val="48"/>
                    <w:jc w:val="center"/>
                    <w:rPr>
                      <w:color w:val="000000" w:themeColor="text1"/>
                      <w:u w:val="single"/>
                      <w14:textFill>
                        <w14:solidFill>
                          <w14:schemeClr w14:val="tx1"/>
                        </w14:solidFill>
                      </w14:textFill>
                    </w:rPr>
                  </w:pPr>
                  <w:r>
                    <w:rPr>
                      <w:color w:val="000000" w:themeColor="text1"/>
                      <w:u w:val="single"/>
                      <w14:textFill>
                        <w14:solidFill>
                          <w14:schemeClr w14:val="tx1"/>
                        </w14:solidFill>
                      </w14:textFill>
                    </w:rPr>
                    <w:t>1个</w:t>
                  </w:r>
                </w:p>
              </w:tc>
              <w:tc>
                <w:tcPr>
                  <w:tcW w:w="565" w:type="pct"/>
                  <w:vAlign w:val="center"/>
                </w:tcPr>
                <w:p>
                  <w:pPr>
                    <w:pStyle w:val="48"/>
                    <w:jc w:val="center"/>
                    <w:rPr>
                      <w:rFonts w:hint="eastAsia"/>
                      <w:color w:val="000000" w:themeColor="text1"/>
                      <w:u w:val="single"/>
                      <w:lang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6</w:t>
                  </w:r>
                </w:p>
              </w:tc>
              <w:tc>
                <w:tcPr>
                  <w:tcW w:w="772" w:type="pct"/>
                  <w:vAlign w:val="center"/>
                </w:tcPr>
                <w:p>
                  <w:pPr>
                    <w:pStyle w:val="48"/>
                    <w:jc w:val="center"/>
                    <w:rPr>
                      <w:rFonts w:hint="eastAsia"/>
                      <w:color w:val="000000" w:themeColor="text1"/>
                      <w:u w:val="single"/>
                      <w14:textFill>
                        <w14:solidFill>
                          <w14:schemeClr w14:val="tx1"/>
                        </w14:solidFill>
                      </w14:textFill>
                    </w:rPr>
                  </w:pPr>
                  <w:r>
                    <w:rPr>
                      <w:rFonts w:hint="eastAsia"/>
                      <w:color w:val="000000" w:themeColor="text1"/>
                      <w:u w:val="single"/>
                      <w:lang w:val="en-US" w:eastAsia="zh-CN"/>
                      <w14:textFill>
                        <w14:solidFill>
                          <w14:schemeClr w14:val="tx1"/>
                        </w14:solidFill>
                      </w14:textFill>
                    </w:rPr>
                    <w:t>整改中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61" w:type="pct"/>
                  <w:gridSpan w:val="4"/>
                  <w:vAlign w:val="center"/>
                </w:tcPr>
                <w:p>
                  <w:pPr>
                    <w:pStyle w:val="48"/>
                    <w:jc w:val="center"/>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合计</w:t>
                  </w:r>
                </w:p>
              </w:tc>
              <w:tc>
                <w:tcPr>
                  <w:tcW w:w="565" w:type="pct"/>
                  <w:vAlign w:val="center"/>
                </w:tcPr>
                <w:p>
                  <w:pPr>
                    <w:pStyle w:val="48"/>
                    <w:jc w:val="center"/>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22</w:t>
                  </w:r>
                </w:p>
              </w:tc>
              <w:tc>
                <w:tcPr>
                  <w:tcW w:w="772" w:type="pct"/>
                  <w:vAlign w:val="center"/>
                </w:tcPr>
                <w:p>
                  <w:pPr>
                    <w:pStyle w:val="48"/>
                    <w:jc w:val="center"/>
                    <w:rPr>
                      <w:rFonts w:hint="eastAsia"/>
                      <w:color w:val="000000" w:themeColor="text1"/>
                      <w:u w:val="single"/>
                      <w:lang w:val="en-US" w:eastAsia="zh-CN"/>
                      <w14:textFill>
                        <w14:solidFill>
                          <w14:schemeClr w14:val="tx1"/>
                        </w14:solidFill>
                      </w14:textFill>
                    </w:rPr>
                  </w:pPr>
                </w:p>
              </w:tc>
            </w:tr>
          </w:tbl>
          <w:p>
            <w:pPr>
              <w:jc w:val="both"/>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13"/>
              <w:jc w:val="both"/>
              <w:rPr>
                <w:color w:val="000000" w:themeColor="text1"/>
                <w14:textFill>
                  <w14:solidFill>
                    <w14:schemeClr w14:val="tx1"/>
                  </w14:solidFill>
                </w14:textFill>
              </w:rPr>
            </w:pPr>
          </w:p>
        </w:tc>
      </w:tr>
    </w:tbl>
    <w:p>
      <w:pPr>
        <w:adjustRightInd w:val="0"/>
        <w:snapToGrid w:val="0"/>
        <w:rPr>
          <w:rFonts w:ascii="宋体" w:cs="宋体"/>
          <w:b/>
          <w:color w:val="000000" w:themeColor="text1"/>
          <w:kern w:val="0"/>
          <w:sz w:val="28"/>
          <w:szCs w:val="28"/>
          <w14:textFill>
            <w14:solidFill>
              <w14:schemeClr w14:val="tx1"/>
            </w14:solidFill>
          </w14:textFill>
        </w:rPr>
        <w:sectPr>
          <w:pgSz w:w="11907" w:h="16840"/>
          <w:pgMar w:top="1440" w:right="1800" w:bottom="1440" w:left="1800" w:header="851" w:footer="851" w:gutter="0"/>
          <w:pgNumType w:fmt="decimal"/>
          <w:cols w:space="720" w:num="1"/>
          <w:docGrid w:linePitch="312" w:charSpace="0"/>
        </w:sectPr>
      </w:pPr>
    </w:p>
    <w:p>
      <w:pPr>
        <w:pStyle w:val="2"/>
        <w:numPr>
          <w:ilvl w:val="0"/>
          <w:numId w:val="4"/>
        </w:numPr>
        <w:rPr>
          <w:color w:val="000000" w:themeColor="text1"/>
          <w14:textFill>
            <w14:solidFill>
              <w14:schemeClr w14:val="tx1"/>
            </w14:solidFill>
          </w14:textFill>
        </w:rPr>
      </w:pPr>
      <w:bookmarkStart w:id="56" w:name="_Toc3500"/>
      <w:bookmarkStart w:id="57" w:name="_Toc19949"/>
      <w:bookmarkStart w:id="58" w:name="_Toc30857"/>
      <w:bookmarkStart w:id="59" w:name="_Toc13236"/>
      <w:bookmarkStart w:id="60" w:name="_Toc29086"/>
      <w:bookmarkStart w:id="61" w:name="_Toc15907"/>
      <w:bookmarkStart w:id="62" w:name="_Hlk54167917"/>
      <w:bookmarkStart w:id="63" w:name="_Toc23461"/>
      <w:bookmarkStart w:id="64" w:name="_Toc30913"/>
      <w:bookmarkStart w:id="65" w:name="_Toc24563"/>
      <w:bookmarkStart w:id="66" w:name="_Toc9798"/>
      <w:bookmarkStart w:id="67" w:name="_Toc16653"/>
      <w:bookmarkStart w:id="68" w:name="_Toc20696"/>
      <w:bookmarkStart w:id="69" w:name="_Toc8571"/>
      <w:bookmarkStart w:id="70" w:name="_Toc32376"/>
      <w:r>
        <w:rPr>
          <w:rFonts w:hint="eastAsia"/>
          <w:color w:val="000000" w:themeColor="text1"/>
          <w14:textFill>
            <w14:solidFill>
              <w14:schemeClr w14:val="tx1"/>
            </w14:solidFill>
          </w14:textFill>
        </w:rPr>
        <w:t>环境保护措施监督检查清单</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425"/>
        <w:gridCol w:w="1531"/>
        <w:gridCol w:w="2223"/>
        <w:gridCol w:w="24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内容</w:t>
            </w:r>
          </w:p>
          <w:p>
            <w:pPr>
              <w:pStyle w:val="48"/>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要素</w:t>
            </w:r>
          </w:p>
        </w:tc>
        <w:tc>
          <w:tcPr>
            <w:tcW w:w="836" w:type="pct"/>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排放口</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编号、名称</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/污染源</w:t>
            </w:r>
          </w:p>
        </w:tc>
        <w:tc>
          <w:tcPr>
            <w:tcW w:w="898" w:type="pct"/>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污染物项目</w:t>
            </w:r>
          </w:p>
        </w:tc>
        <w:tc>
          <w:tcPr>
            <w:tcW w:w="1304" w:type="pct"/>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环境保护措施</w:t>
            </w:r>
          </w:p>
        </w:tc>
        <w:tc>
          <w:tcPr>
            <w:tcW w:w="1462" w:type="pct"/>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vMerge w:val="restart"/>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大气环境</w:t>
            </w:r>
          </w:p>
        </w:tc>
        <w:tc>
          <w:tcPr>
            <w:tcW w:w="836" w:type="pct"/>
            <w:tcBorders>
              <w:tl2br w:val="nil"/>
              <w:tr2bl w:val="nil"/>
            </w:tcBorders>
            <w:noWrap/>
            <w:vAlign w:val="center"/>
          </w:tcPr>
          <w:p>
            <w:pPr>
              <w:widowControl/>
              <w:jc w:val="center"/>
              <w:rPr>
                <w:color w:val="000000" w:themeColor="text1"/>
                <w14:textFill>
                  <w14:solidFill>
                    <w14:schemeClr w14:val="tx1"/>
                  </w14:solidFill>
                </w14:textFill>
              </w:rPr>
            </w:pPr>
            <w:r>
              <w:rPr>
                <w:rFonts w:hint="eastAsia" w:ascii="宋体" w:hAnsi="宋体" w:cs="宋体"/>
                <w:color w:val="000000" w:themeColor="text1"/>
                <w:kern w:val="0"/>
                <w14:textFill>
                  <w14:solidFill>
                    <w14:schemeClr w14:val="tx1"/>
                  </w14:solidFill>
                </w14:textFill>
              </w:rPr>
              <w:t>污水处理站</w:t>
            </w:r>
          </w:p>
        </w:tc>
        <w:tc>
          <w:tcPr>
            <w:tcW w:w="898" w:type="pct"/>
            <w:tcBorders>
              <w:tl2br w:val="nil"/>
              <w:tr2bl w:val="nil"/>
            </w:tcBorders>
            <w:noWrap/>
            <w:vAlign w:val="center"/>
          </w:tcPr>
          <w:p>
            <w:pPr>
              <w:pStyle w:val="48"/>
              <w:spacing w:line="360" w:lineRule="auto"/>
              <w:rPr>
                <w:rFonts w:hint="default" w:eastAsia="宋体"/>
                <w:color w:val="000000" w:themeColor="text1"/>
                <w:sz w:val="24"/>
                <w:szCs w:val="24"/>
                <w:vertAlign w:val="baseline"/>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臭气浓度、H</w:t>
            </w:r>
            <w:r>
              <w:rPr>
                <w:rFonts w:hint="eastAsia"/>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S、NH</w:t>
            </w:r>
            <w:r>
              <w:rPr>
                <w:rFonts w:hint="eastAsia"/>
                <w:color w:val="000000" w:themeColor="text1"/>
                <w:sz w:val="24"/>
                <w:szCs w:val="24"/>
                <w:vertAlign w:val="subscript"/>
                <w14:textFill>
                  <w14:solidFill>
                    <w14:schemeClr w14:val="tx1"/>
                  </w14:solidFill>
                </w14:textFill>
              </w:rPr>
              <w:t>3</w:t>
            </w:r>
            <w:r>
              <w:rPr>
                <w:rFonts w:hint="eastAsia"/>
                <w:color w:val="000000" w:themeColor="text1"/>
                <w:sz w:val="24"/>
                <w:szCs w:val="24"/>
                <w:vertAlign w:val="baseline"/>
                <w:lang w:eastAsia="zh-CN"/>
                <w14:textFill>
                  <w14:solidFill>
                    <w14:schemeClr w14:val="tx1"/>
                  </w14:solidFill>
                </w14:textFill>
              </w:rPr>
              <w:t>、</w:t>
            </w:r>
            <w:r>
              <w:rPr>
                <w:rFonts w:hint="eastAsia"/>
                <w:color w:val="000000" w:themeColor="text1"/>
                <w:sz w:val="24"/>
                <w:szCs w:val="24"/>
                <w:vertAlign w:val="baseline"/>
                <w:lang w:val="en-US" w:eastAsia="zh-CN"/>
                <w14:textFill>
                  <w14:solidFill>
                    <w14:schemeClr w14:val="tx1"/>
                  </w14:solidFill>
                </w14:textFill>
              </w:rPr>
              <w:t>氯气、甲烷</w:t>
            </w:r>
          </w:p>
        </w:tc>
        <w:tc>
          <w:tcPr>
            <w:tcW w:w="1304" w:type="pct"/>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地埋式密闭设施，定期喷洒除臭剂，加强管理。</w:t>
            </w:r>
          </w:p>
        </w:tc>
        <w:tc>
          <w:tcPr>
            <w:tcW w:w="1462" w:type="pct"/>
            <w:tcBorders>
              <w:tl2br w:val="nil"/>
              <w:tr2bl w:val="nil"/>
            </w:tcBorders>
            <w:noWrap/>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《医疗机构水污染物排放标准》（GB18466-2005）表3标准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99" w:type="pct"/>
            <w:vMerge w:val="continue"/>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p>
        </w:tc>
        <w:tc>
          <w:tcPr>
            <w:tcW w:w="836" w:type="pct"/>
            <w:tcBorders>
              <w:tl2br w:val="nil"/>
              <w:tr2bl w:val="nil"/>
            </w:tcBorders>
            <w:noWrap/>
            <w:vAlign w:val="center"/>
          </w:tcPr>
          <w:p>
            <w:pPr>
              <w:widowControl/>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柴油发电机</w:t>
            </w:r>
          </w:p>
        </w:tc>
        <w:tc>
          <w:tcPr>
            <w:tcW w:w="898" w:type="pct"/>
            <w:tcBorders>
              <w:tl2br w:val="nil"/>
              <w:tr2bl w:val="nil"/>
            </w:tcBorders>
            <w:noWrap/>
            <w:vAlign w:val="center"/>
          </w:tcPr>
          <w:p>
            <w:pPr>
              <w:widowControl/>
              <w:jc w:val="center"/>
              <w:rPr>
                <w:color w:val="000000" w:themeColor="text1"/>
                <w:kern w:val="0"/>
                <w14:textFill>
                  <w14:solidFill>
                    <w14:schemeClr w14:val="tx1"/>
                  </w14:solidFill>
                </w14:textFill>
              </w:rPr>
            </w:pPr>
            <w:r>
              <w:rPr>
                <w:rFonts w:hint="default"/>
                <w:color w:val="000000" w:themeColor="text1"/>
                <w:kern w:val="0"/>
                <w:lang w:val="en-US" w:eastAsia="zh-CN"/>
                <w14:textFill>
                  <w14:solidFill>
                    <w14:schemeClr w14:val="tx1"/>
                  </w14:solidFill>
                </w14:textFill>
              </w:rPr>
              <w:t>SO</w:t>
            </w:r>
            <w:r>
              <w:rPr>
                <w:rFonts w:hint="default"/>
                <w:color w:val="000000" w:themeColor="text1"/>
                <w:kern w:val="0"/>
                <w:vertAlign w:val="subscript"/>
                <w:lang w:val="en-US" w:eastAsia="zh-CN"/>
                <w14:textFill>
                  <w14:solidFill>
                    <w14:schemeClr w14:val="tx1"/>
                  </w14:solidFill>
                </w14:textFill>
              </w:rPr>
              <w:t>2</w:t>
            </w:r>
            <w:r>
              <w:rPr>
                <w:rFonts w:hint="eastAsia"/>
                <w:color w:val="000000" w:themeColor="text1"/>
                <w:kern w:val="0"/>
                <w:lang w:val="en-US" w:eastAsia="zh-CN"/>
                <w14:textFill>
                  <w14:solidFill>
                    <w14:schemeClr w14:val="tx1"/>
                  </w14:solidFill>
                </w14:textFill>
              </w:rPr>
              <w:t>、</w:t>
            </w:r>
            <w:r>
              <w:rPr>
                <w:rFonts w:hint="default"/>
                <w:color w:val="000000" w:themeColor="text1"/>
                <w:kern w:val="0"/>
                <w:lang w:val="en-US" w:eastAsia="zh-CN"/>
                <w14:textFill>
                  <w14:solidFill>
                    <w14:schemeClr w14:val="tx1"/>
                  </w14:solidFill>
                </w14:textFill>
              </w:rPr>
              <w:t>NOx</w:t>
            </w:r>
            <w:r>
              <w:rPr>
                <w:rFonts w:hint="eastAsia"/>
                <w:color w:val="000000" w:themeColor="text1"/>
                <w:kern w:val="0"/>
                <w:lang w:val="en-US" w:eastAsia="zh-CN"/>
                <w14:textFill>
                  <w14:solidFill>
                    <w14:schemeClr w14:val="tx1"/>
                  </w14:solidFill>
                </w14:textFill>
              </w:rPr>
              <w:t>、颗粒物</w:t>
            </w:r>
          </w:p>
        </w:tc>
        <w:tc>
          <w:tcPr>
            <w:tcW w:w="1304" w:type="pct"/>
            <w:tcBorders>
              <w:tl2br w:val="nil"/>
              <w:tr2bl w:val="nil"/>
            </w:tcBorders>
            <w:noWrap/>
            <w:vAlign w:val="center"/>
          </w:tcPr>
          <w:p>
            <w:pPr>
              <w:widowControl/>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462" w:type="pct"/>
            <w:tcBorders>
              <w:tl2br w:val="nil"/>
              <w:tr2bl w:val="nil"/>
            </w:tcBorders>
            <w:noWrap/>
            <w:vAlign w:val="center"/>
          </w:tcPr>
          <w:p>
            <w:pPr>
              <w:widowControl/>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《大气污染物综合排放标准》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499" w:type="pct"/>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地表水环境</w:t>
            </w:r>
          </w:p>
        </w:tc>
        <w:tc>
          <w:tcPr>
            <w:tcW w:w="836" w:type="pct"/>
            <w:tcBorders>
              <w:tl2br w:val="nil"/>
              <w:tr2bl w:val="nil"/>
            </w:tcBorders>
            <w:noWrap/>
            <w:vAlign w:val="center"/>
          </w:tcPr>
          <w:p>
            <w:pPr>
              <w:widowControl/>
              <w:jc w:val="center"/>
              <w:rPr>
                <w:color w:val="000000" w:themeColor="text1"/>
                <w14:textFill>
                  <w14:solidFill>
                    <w14:schemeClr w14:val="tx1"/>
                  </w14:solidFill>
                </w14:textFill>
              </w:rPr>
            </w:pPr>
            <w:r>
              <w:rPr>
                <w:color w:val="000000" w:themeColor="text1"/>
                <w:kern w:val="0"/>
                <w14:textFill>
                  <w14:solidFill>
                    <w14:schemeClr w14:val="tx1"/>
                  </w14:solidFill>
                </w14:textFill>
              </w:rPr>
              <w:t>综合废水</w:t>
            </w:r>
          </w:p>
          <w:p>
            <w:pPr>
              <w:widowControl/>
              <w:jc w:val="center"/>
              <w:rPr>
                <w:color w:val="000000" w:themeColor="text1"/>
                <w14:textFill>
                  <w14:solidFill>
                    <w14:schemeClr w14:val="tx1"/>
                  </w14:solidFill>
                </w14:textFill>
              </w:rPr>
            </w:pPr>
            <w:r>
              <w:rPr>
                <w:color w:val="000000" w:themeColor="text1"/>
                <w:kern w:val="0"/>
                <w14:textFill>
                  <w14:solidFill>
                    <w14:schemeClr w14:val="tx1"/>
                  </w14:solidFill>
                </w14:textFill>
              </w:rPr>
              <w:t>(DW001)</w:t>
            </w:r>
          </w:p>
        </w:tc>
        <w:tc>
          <w:tcPr>
            <w:tcW w:w="898" w:type="pct"/>
            <w:tcBorders>
              <w:tl2br w:val="nil"/>
              <w:tr2bl w:val="nil"/>
            </w:tcBorders>
            <w:noWrap/>
            <w:vAlign w:val="center"/>
          </w:tcPr>
          <w:p>
            <w:pPr>
              <w:widowControl/>
              <w:jc w:val="center"/>
              <w:rPr>
                <w:rFonts w:hint="eastAsia" w:eastAsia="宋体"/>
                <w:color w:val="000000" w:themeColor="text1"/>
                <w:kern w:val="0"/>
                <w:lang w:eastAsia="zh-CN"/>
                <w14:textFill>
                  <w14:solidFill>
                    <w14:schemeClr w14:val="tx1"/>
                  </w14:solidFill>
                </w14:textFill>
              </w:rPr>
            </w:pPr>
            <w:r>
              <w:rPr>
                <w:rFonts w:hint="eastAsia" w:eastAsia="宋体"/>
                <w:color w:val="000000" w:themeColor="text1"/>
                <w:kern w:val="0"/>
                <w:lang w:val="en-US" w:eastAsia="zh-CN"/>
                <w14:textFill>
                  <w14:solidFill>
                    <w14:schemeClr w14:val="tx1"/>
                  </w14:solidFill>
                </w14:textFill>
              </w:rPr>
              <w:t>BOD5</w:t>
            </w:r>
            <w:r>
              <w:rPr>
                <w:rFonts w:hint="eastAsia" w:eastAsia="宋体"/>
                <w:color w:val="000000" w:themeColor="text1"/>
                <w:kern w:val="0"/>
                <w:lang w:eastAsia="zh-CN"/>
                <w14:textFill>
                  <w14:solidFill>
                    <w14:schemeClr w14:val="tx1"/>
                  </w14:solidFill>
                </w14:textFill>
              </w:rPr>
              <w:t>、</w:t>
            </w:r>
            <w:r>
              <w:rPr>
                <w:rFonts w:hint="eastAsia" w:eastAsia="宋体"/>
                <w:color w:val="000000" w:themeColor="text1"/>
                <w:kern w:val="0"/>
                <w:lang w:val="en-US" w:eastAsia="zh-CN"/>
                <w14:textFill>
                  <w14:solidFill>
                    <w14:schemeClr w14:val="tx1"/>
                  </w14:solidFill>
                </w14:textFill>
              </w:rPr>
              <w:t>化学需氧量</w:t>
            </w:r>
            <w:r>
              <w:rPr>
                <w:rFonts w:hint="eastAsia"/>
                <w:color w:val="000000" w:themeColor="text1"/>
                <w:kern w:val="0"/>
                <w:lang w:val="en-US" w:eastAsia="zh-CN"/>
                <w14:textFill>
                  <w14:solidFill>
                    <w14:schemeClr w14:val="tx1"/>
                  </w14:solidFill>
                </w14:textFill>
              </w:rPr>
              <w:t>、悬浮物、氨氮、动植物油、阴离子表面活性剂</w:t>
            </w:r>
            <w:r>
              <w:rPr>
                <w:rFonts w:hint="eastAsia" w:eastAsia="宋体"/>
                <w:color w:val="000000" w:themeColor="text1"/>
                <w:kern w:val="0"/>
                <w:lang w:eastAsia="zh-CN"/>
                <w14:textFill>
                  <w14:solidFill>
                    <w14:schemeClr w14:val="tx1"/>
                  </w14:solidFill>
                </w14:textFill>
              </w:rPr>
              <w:t>NH3-N、粪大肠菌群、</w:t>
            </w:r>
            <w:r>
              <w:rPr>
                <w:rFonts w:hint="eastAsia" w:eastAsia="宋体"/>
                <w:color w:val="000000" w:themeColor="text1"/>
                <w:kern w:val="0"/>
                <w:lang w:val="en-US" w:eastAsia="zh-CN"/>
                <w14:textFill>
                  <w14:solidFill>
                    <w14:schemeClr w14:val="tx1"/>
                  </w14:solidFill>
                </w14:textFill>
              </w:rPr>
              <w:t>总余氯</w:t>
            </w:r>
          </w:p>
        </w:tc>
        <w:tc>
          <w:tcPr>
            <w:tcW w:w="1304" w:type="pct"/>
            <w:tcBorders>
              <w:tl2br w:val="nil"/>
              <w:tr2bl w:val="nil"/>
            </w:tcBorders>
            <w:noWrap/>
            <w:vAlign w:val="center"/>
          </w:tcPr>
          <w:p>
            <w:pPr>
              <w:widowControl/>
              <w:jc w:val="center"/>
              <w:rPr>
                <w:rFonts w:hint="eastAsia" w:eastAsia="宋体"/>
                <w:color w:val="000000" w:themeColor="text1"/>
                <w:lang w:val="zh-CN" w:eastAsia="zh-CN"/>
                <w14:textFill>
                  <w14:solidFill>
                    <w14:schemeClr w14:val="tx1"/>
                  </w14:solidFill>
                </w14:textFill>
              </w:rPr>
            </w:pPr>
            <w:r>
              <w:rPr>
                <w:color w:val="000000" w:themeColor="text1"/>
                <w14:textFill>
                  <w14:solidFill>
                    <w14:schemeClr w14:val="tx1"/>
                  </w14:solidFill>
                </w14:textFill>
              </w:rPr>
              <w:t>医院污水处理设施</w:t>
            </w:r>
            <w:r>
              <w:rPr>
                <w:rFonts w:hint="eastAsia"/>
                <w:color w:val="000000" w:themeColor="text1"/>
                <w14:textFill>
                  <w14:solidFill>
                    <w14:schemeClr w14:val="tx1"/>
                  </w14:solidFill>
                </w14:textFill>
              </w:rPr>
              <w:t>（“化粪池+格栅井+调节池+AO工艺+沉淀池+消毒”工艺）</w:t>
            </w:r>
            <w:r>
              <w:rPr>
                <w:rFonts w:hint="eastAsia"/>
                <w:color w:val="000000" w:themeColor="text1"/>
                <w:lang w:eastAsia="zh-CN"/>
                <w14:textFill>
                  <w14:solidFill>
                    <w14:schemeClr w14:val="tx1"/>
                  </w14:solidFill>
                </w14:textFill>
              </w:rPr>
              <w:t>，达到《医疗机构水污染物排放标准》（GB18466-2005）中表 2 中预处理标准后排临</w:t>
            </w:r>
            <w:r>
              <w:rPr>
                <w:rFonts w:hint="eastAsia"/>
                <w:color w:val="000000" w:themeColor="text1"/>
                <w:lang w:val="en-US" w:eastAsia="zh-CN"/>
                <w14:textFill>
                  <w14:solidFill>
                    <w14:schemeClr w14:val="tx1"/>
                  </w14:solidFill>
                </w14:textFill>
              </w:rPr>
              <w:t>桃林镇污水处理厂</w:t>
            </w:r>
            <w:r>
              <w:rPr>
                <w:rFonts w:hint="eastAsia"/>
                <w:color w:val="000000" w:themeColor="text1"/>
                <w:lang w:eastAsia="zh-CN"/>
                <w14:textFill>
                  <w14:solidFill>
                    <w14:schemeClr w14:val="tx1"/>
                  </w14:solidFill>
                </w14:textFill>
              </w:rPr>
              <w:t>处理</w:t>
            </w:r>
          </w:p>
        </w:tc>
        <w:tc>
          <w:tcPr>
            <w:tcW w:w="1462" w:type="pct"/>
            <w:tcBorders>
              <w:tl2br w:val="nil"/>
              <w:tr2bl w:val="nil"/>
            </w:tcBorders>
            <w:noWrap/>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《医疗机构水污染物排放标准》（GB18466-2005）表2预处理标准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声环境</w:t>
            </w:r>
          </w:p>
        </w:tc>
        <w:tc>
          <w:tcPr>
            <w:tcW w:w="1734" w:type="pct"/>
            <w:gridSpan w:val="2"/>
            <w:tcBorders>
              <w:tl2br w:val="nil"/>
              <w:tr2bl w:val="nil"/>
            </w:tcBorders>
            <w:noWrap/>
            <w:vAlign w:val="center"/>
          </w:tcPr>
          <w:p>
            <w:pPr>
              <w:pStyle w:val="48"/>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设备噪声</w:t>
            </w:r>
          </w:p>
        </w:tc>
        <w:tc>
          <w:tcPr>
            <w:tcW w:w="1304" w:type="pct"/>
            <w:tcBorders>
              <w:tl2br w:val="nil"/>
              <w:tr2bl w:val="nil"/>
            </w:tcBorders>
            <w:noWrap/>
            <w:vAlign w:val="center"/>
          </w:tcPr>
          <w:p>
            <w:pPr>
              <w:widowControl/>
              <w:jc w:val="center"/>
              <w:rPr>
                <w:color w:val="000000" w:themeColor="text1"/>
                <w14:textFill>
                  <w14:solidFill>
                    <w14:schemeClr w14:val="tx1"/>
                  </w14:solidFill>
                </w14:textFill>
              </w:rPr>
            </w:pPr>
            <w:r>
              <w:rPr>
                <w:rFonts w:hAnsi="宋体"/>
                <w:color w:val="000000" w:themeColor="text1"/>
                <w14:textFill>
                  <w14:solidFill>
                    <w14:schemeClr w14:val="tx1"/>
                  </w14:solidFill>
                </w14:textFill>
              </w:rPr>
              <w:t>隔声减振、距离衰减、加强管理</w:t>
            </w:r>
            <w:r>
              <w:rPr>
                <w:rFonts w:hint="eastAsia"/>
                <w:color w:val="000000" w:themeColor="text1"/>
                <w14:textFill>
                  <w14:solidFill>
                    <w14:schemeClr w14:val="tx1"/>
                  </w14:solidFill>
                </w14:textFill>
              </w:rPr>
              <w:t>。</w:t>
            </w:r>
          </w:p>
        </w:tc>
        <w:tc>
          <w:tcPr>
            <w:tcW w:w="1462" w:type="pct"/>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《工业企业厂界环境噪声排放标准》中2类</w:t>
            </w:r>
            <w:r>
              <w:rPr>
                <w:color w:val="000000" w:themeColor="text1"/>
                <w:sz w:val="24"/>
                <w:szCs w:val="24"/>
                <w14:textFill>
                  <w14:solidFill>
                    <w14:schemeClr w14:val="tx1"/>
                  </w14:solidFill>
                </w14:textFill>
              </w:rPr>
              <w:t>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9" w:type="pct"/>
            <w:vMerge w:val="restart"/>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固体废物</w:t>
            </w:r>
          </w:p>
        </w:tc>
        <w:tc>
          <w:tcPr>
            <w:tcW w:w="1734" w:type="pct"/>
            <w:gridSpan w:val="2"/>
            <w:tcBorders>
              <w:tl2br w:val="nil"/>
              <w:tr2bl w:val="nil"/>
            </w:tcBorders>
            <w:noWrap/>
            <w:vAlign w:val="center"/>
          </w:tcPr>
          <w:p>
            <w:pPr>
              <w:pStyle w:val="48"/>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生活垃圾</w:t>
            </w:r>
          </w:p>
        </w:tc>
        <w:tc>
          <w:tcPr>
            <w:tcW w:w="1304" w:type="pct"/>
            <w:tcBorders>
              <w:tl2br w:val="nil"/>
              <w:tr2bl w:val="nil"/>
            </w:tcBorders>
            <w:noWrap/>
            <w:vAlign w:val="center"/>
          </w:tcPr>
          <w:p>
            <w:pPr>
              <w:widowControl/>
              <w:jc w:val="center"/>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分类收集交环卫部门处理</w:t>
            </w:r>
          </w:p>
        </w:tc>
        <w:tc>
          <w:tcPr>
            <w:tcW w:w="1462" w:type="pct"/>
            <w:tcBorders>
              <w:tl2br w:val="nil"/>
              <w:tr2bl w:val="nil"/>
            </w:tcBorders>
            <w:noWrap/>
            <w:vAlign w:val="center"/>
          </w:tcPr>
          <w:p>
            <w:pPr>
              <w:pStyle w:val="48"/>
              <w:spacing w:line="360" w:lineRule="auto"/>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vMerge w:val="continue"/>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p>
        </w:tc>
        <w:tc>
          <w:tcPr>
            <w:tcW w:w="1734" w:type="pct"/>
            <w:gridSpan w:val="2"/>
            <w:tcBorders>
              <w:tl2br w:val="nil"/>
              <w:tr2bl w:val="nil"/>
            </w:tcBorders>
            <w:noWrap/>
            <w:vAlign w:val="center"/>
          </w:tcPr>
          <w:p>
            <w:pPr>
              <w:pStyle w:val="48"/>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一次性塑料输液瓶（袋）</w:t>
            </w:r>
          </w:p>
        </w:tc>
        <w:tc>
          <w:tcPr>
            <w:tcW w:w="1304" w:type="pct"/>
            <w:tcBorders>
              <w:tl2br w:val="nil"/>
              <w:tr2bl w:val="nil"/>
            </w:tcBorders>
            <w:noWrap/>
            <w:vAlign w:val="center"/>
          </w:tcPr>
          <w:p>
            <w:pPr>
              <w:pStyle w:val="48"/>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交专门单位回收处理</w:t>
            </w:r>
          </w:p>
        </w:tc>
        <w:tc>
          <w:tcPr>
            <w:tcW w:w="1462" w:type="pct"/>
            <w:vMerge w:val="restart"/>
            <w:tcBorders>
              <w:tl2br w:val="nil"/>
              <w:tr2bl w:val="nil"/>
            </w:tcBorders>
            <w:noWrap/>
            <w:vAlign w:val="center"/>
          </w:tcPr>
          <w:p>
            <w:pPr>
              <w:pStyle w:val="48"/>
              <w:spacing w:line="360" w:lineRule="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vMerge w:val="continue"/>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p>
        </w:tc>
        <w:tc>
          <w:tcPr>
            <w:tcW w:w="1734" w:type="pct"/>
            <w:gridSpan w:val="2"/>
            <w:tcBorders>
              <w:tl2br w:val="nil"/>
              <w:tr2bl w:val="nil"/>
            </w:tcBorders>
            <w:noWrap/>
            <w:vAlign w:val="center"/>
          </w:tcPr>
          <w:p>
            <w:pPr>
              <w:widowControl/>
              <w:jc w:val="center"/>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废包装材料</w:t>
            </w:r>
          </w:p>
        </w:tc>
        <w:tc>
          <w:tcPr>
            <w:tcW w:w="1304" w:type="pct"/>
            <w:tcBorders>
              <w:tl2br w:val="nil"/>
              <w:tr2bl w:val="nil"/>
            </w:tcBorders>
            <w:noWrap/>
            <w:vAlign w:val="center"/>
          </w:tcPr>
          <w:p>
            <w:pPr>
              <w:widowControl/>
              <w:jc w:val="center"/>
              <w:rPr>
                <w:rFonts w:cstheme="minorBidi"/>
                <w:color w:val="000000" w:themeColor="text1"/>
                <w14:textFill>
                  <w14:solidFill>
                    <w14:schemeClr w14:val="tx1"/>
                  </w14:solidFill>
                </w14:textFill>
              </w:rPr>
            </w:pPr>
            <w:r>
              <w:rPr>
                <w:rFonts w:hint="eastAsia" w:ascii="宋体" w:hAnsi="宋体" w:cs="宋体"/>
                <w:color w:val="000000" w:themeColor="text1"/>
                <w:kern w:val="0"/>
                <w14:textFill>
                  <w14:solidFill>
                    <w14:schemeClr w14:val="tx1"/>
                  </w14:solidFill>
                </w14:textFill>
              </w:rPr>
              <w:t>收集后交资源回收公司处理</w:t>
            </w:r>
          </w:p>
        </w:tc>
        <w:tc>
          <w:tcPr>
            <w:tcW w:w="1462" w:type="pct"/>
            <w:vMerge w:val="continue"/>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499" w:type="pct"/>
            <w:vMerge w:val="continue"/>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p>
        </w:tc>
        <w:tc>
          <w:tcPr>
            <w:tcW w:w="1734" w:type="pct"/>
            <w:gridSpan w:val="2"/>
            <w:tcBorders>
              <w:tl2br w:val="nil"/>
              <w:tr2bl w:val="nil"/>
            </w:tcBorders>
            <w:noWrap/>
            <w:vAlign w:val="center"/>
          </w:tcPr>
          <w:p>
            <w:pPr>
              <w:pStyle w:val="48"/>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医疗废物</w:t>
            </w:r>
          </w:p>
        </w:tc>
        <w:tc>
          <w:tcPr>
            <w:tcW w:w="1304" w:type="pct"/>
            <w:vMerge w:val="restart"/>
            <w:tcBorders>
              <w:tl2br w:val="nil"/>
              <w:tr2bl w:val="nil"/>
            </w:tcBorders>
            <w:noWrap/>
            <w:vAlign w:val="center"/>
          </w:tcPr>
          <w:p>
            <w:pPr>
              <w:pStyle w:val="48"/>
              <w:spacing w:line="360" w:lineRule="auto"/>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暂存于医疗废物暂存间后委托</w:t>
            </w:r>
            <w:r>
              <w:rPr>
                <w:rFonts w:hint="eastAsia"/>
                <w:color w:val="000000" w:themeColor="text1"/>
                <w:kern w:val="2"/>
                <w:sz w:val="24"/>
                <w:szCs w:val="24"/>
                <w14:textFill>
                  <w14:solidFill>
                    <w14:schemeClr w14:val="tx1"/>
                  </w14:solidFill>
                </w14:textFill>
              </w:rPr>
              <w:t>岳阳市方向固废安全处置有限公司</w:t>
            </w:r>
            <w:r>
              <w:rPr>
                <w:color w:val="000000" w:themeColor="text1"/>
                <w:kern w:val="2"/>
                <w:sz w:val="24"/>
                <w:szCs w:val="24"/>
                <w14:textFill>
                  <w14:solidFill>
                    <w14:schemeClr w14:val="tx1"/>
                  </w14:solidFill>
                </w14:textFill>
              </w:rPr>
              <w:t>定期清运和处置</w:t>
            </w:r>
          </w:p>
        </w:tc>
        <w:tc>
          <w:tcPr>
            <w:tcW w:w="1462" w:type="pct"/>
            <w:vMerge w:val="restart"/>
            <w:tcBorders>
              <w:tl2br w:val="nil"/>
              <w:tr2bl w:val="nil"/>
            </w:tcBorders>
            <w:noWrap/>
            <w:vAlign w:val="center"/>
          </w:tcPr>
          <w:p>
            <w:pPr>
              <w:pStyle w:val="48"/>
              <w:spacing w:line="360" w:lineRule="auto"/>
              <w:rPr>
                <w:color w:val="000000" w:themeColor="text1"/>
                <w:kern w:val="2"/>
                <w:sz w:val="24"/>
                <w:szCs w:val="24"/>
                <w14:textFill>
                  <w14:solidFill>
                    <w14:schemeClr w14:val="tx1"/>
                  </w14:solidFill>
                </w14:textFill>
              </w:rPr>
            </w:pPr>
            <w:r>
              <w:rPr>
                <w:rFonts w:hint="eastAsia"/>
                <w:color w:val="000000" w:themeColor="text1"/>
                <w:sz w:val="24"/>
                <w:szCs w:val="24"/>
                <w14:textFill>
                  <w14:solidFill>
                    <w14:schemeClr w14:val="tx1"/>
                  </w14:solidFill>
                </w14:textFill>
              </w:rPr>
              <w:t>《危险废物贮存污染控制标准》（GB18597-2023）</w:t>
            </w:r>
            <w:r>
              <w:rPr>
                <w:color w:val="000000" w:themeColor="text1"/>
                <w:sz w:val="24"/>
                <w:szCs w:val="24"/>
                <w14:textFill>
                  <w14:solidFill>
                    <w14:schemeClr w14:val="tx1"/>
                  </w14:solidFill>
                </w14:textFill>
              </w:rPr>
              <w:t>及2013年修改单中的相关规定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9" w:type="pct"/>
            <w:vMerge w:val="continue"/>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p>
        </w:tc>
        <w:tc>
          <w:tcPr>
            <w:tcW w:w="1734" w:type="pct"/>
            <w:gridSpan w:val="2"/>
            <w:tcBorders>
              <w:tl2br w:val="nil"/>
              <w:tr2bl w:val="nil"/>
            </w:tcBorders>
            <w:noWrap/>
            <w:vAlign w:val="center"/>
          </w:tcPr>
          <w:p>
            <w:pPr>
              <w:pStyle w:val="48"/>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污泥</w:t>
            </w:r>
          </w:p>
        </w:tc>
        <w:tc>
          <w:tcPr>
            <w:tcW w:w="1304" w:type="pct"/>
            <w:vMerge w:val="continue"/>
            <w:tcBorders>
              <w:tl2br w:val="nil"/>
              <w:tr2bl w:val="nil"/>
            </w:tcBorders>
            <w:noWrap/>
            <w:vAlign w:val="center"/>
          </w:tcPr>
          <w:p>
            <w:pPr>
              <w:pStyle w:val="48"/>
              <w:rPr>
                <w:color w:val="000000" w:themeColor="text1"/>
                <w:sz w:val="24"/>
                <w:szCs w:val="24"/>
                <w14:textFill>
                  <w14:solidFill>
                    <w14:schemeClr w14:val="tx1"/>
                  </w14:solidFill>
                </w14:textFill>
              </w:rPr>
            </w:pPr>
          </w:p>
        </w:tc>
        <w:tc>
          <w:tcPr>
            <w:tcW w:w="1462" w:type="pct"/>
            <w:vMerge w:val="continue"/>
            <w:tcBorders>
              <w:tl2br w:val="nil"/>
              <w:tr2bl w:val="nil"/>
            </w:tcBorders>
            <w:noWrap/>
            <w:vAlign w:val="center"/>
          </w:tcPr>
          <w:p>
            <w:pPr>
              <w:pStyle w:val="48"/>
              <w:spacing w:line="360" w:lineRule="auto"/>
              <w:rPr>
                <w:color w:val="000000" w:themeColor="text1"/>
                <w:kern w:val="2"/>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电磁辐射</w:t>
            </w:r>
          </w:p>
        </w:tc>
        <w:tc>
          <w:tcPr>
            <w:tcW w:w="836" w:type="pct"/>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p>
        </w:tc>
        <w:tc>
          <w:tcPr>
            <w:tcW w:w="898" w:type="pct"/>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p>
        </w:tc>
        <w:tc>
          <w:tcPr>
            <w:tcW w:w="1304" w:type="pct"/>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p>
        </w:tc>
        <w:tc>
          <w:tcPr>
            <w:tcW w:w="1462" w:type="pct"/>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土壤及地下水污染防治措施</w:t>
            </w:r>
          </w:p>
        </w:tc>
        <w:tc>
          <w:tcPr>
            <w:tcW w:w="4500" w:type="pct"/>
            <w:gridSpan w:val="4"/>
            <w:tcBorders>
              <w:tl2br w:val="nil"/>
              <w:tr2bl w:val="nil"/>
            </w:tcBorders>
            <w:noWrap/>
            <w:vAlign w:val="center"/>
          </w:tcPr>
          <w:p>
            <w:pPr>
              <w:pStyle w:val="7"/>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rPr>
            </w:pPr>
            <w:r>
              <w:rPr>
                <w:rFonts w:hint="eastAsia"/>
                <w:color w:val="auto"/>
              </w:rPr>
              <w:t>本项目一体化污水处理设施各类池体、池面均采取防渗措施，项目产生的医疗废水经市政管网排入</w:t>
            </w:r>
            <w:r>
              <w:rPr>
                <w:rFonts w:hint="eastAsia"/>
                <w:color w:val="auto"/>
                <w:lang w:val="en-US" w:eastAsia="zh-CN"/>
              </w:rPr>
              <w:t>桃林</w:t>
            </w:r>
            <w:r>
              <w:rPr>
                <w:rFonts w:hint="eastAsia"/>
                <w:color w:val="auto"/>
              </w:rPr>
              <w:t>镇污水处理厂进行处理，对所在地的地下水环境基本无影响。</w:t>
            </w:r>
          </w:p>
          <w:p>
            <w:pPr>
              <w:pStyle w:val="7"/>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eastAsia="宋体"/>
                <w:color w:val="000000" w:themeColor="text1"/>
                <w:lang w:eastAsia="zh-CN"/>
                <w14:textFill>
                  <w14:solidFill>
                    <w14:schemeClr w14:val="tx1"/>
                  </w14:solidFill>
                </w14:textFill>
              </w:rPr>
            </w:pPr>
            <w:r>
              <w:rPr>
                <w:rFonts w:hint="eastAsia"/>
                <w:color w:val="auto"/>
              </w:rPr>
              <w:t>根据现状，医院已设置了规范性的危废暂存间，为避免有毒有害物质下渗对土壤造成影响，贮存场所已严格按《危险废物贮存污染控制标准》（GB18597-2023）、《医疗废物集中处置技术规范》（环发〔2003〕206号）、《一般工业固体废物贮存和填埋污染控制标准》（GB18599-2020）中相关要求建设，采取防渗、防漏、防逸散措施，阻止其渗入土壤，不会对项目周边土壤</w:t>
            </w:r>
            <w:r>
              <w:rPr>
                <w:rFonts w:hint="eastAsia"/>
                <w:color w:val="auto"/>
                <w:lang w:eastAsia="zh-CN"/>
              </w:rPr>
              <w:t>、</w:t>
            </w:r>
            <w:r>
              <w:rPr>
                <w:rFonts w:hint="eastAsia"/>
                <w:color w:val="auto"/>
                <w:lang w:val="en-US" w:eastAsia="zh-CN"/>
              </w:rPr>
              <w:t>地下水</w:t>
            </w:r>
            <w:r>
              <w:rPr>
                <w:rFonts w:hint="eastAsia"/>
                <w:color w:val="auto"/>
              </w:rPr>
              <w:t>产生影响。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生态保护措施</w:t>
            </w:r>
          </w:p>
        </w:tc>
        <w:tc>
          <w:tcPr>
            <w:tcW w:w="4500" w:type="pct"/>
            <w:gridSpan w:val="4"/>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环境风险防范措施</w:t>
            </w:r>
          </w:p>
        </w:tc>
        <w:tc>
          <w:tcPr>
            <w:tcW w:w="4500" w:type="pct"/>
            <w:gridSpan w:val="4"/>
            <w:tcBorders>
              <w:tl2br w:val="nil"/>
              <w:tr2bl w:val="nil"/>
            </w:tcBorders>
            <w:noWrap/>
          </w:tcPr>
          <w:p>
            <w:pPr>
              <w:pStyle w:val="7"/>
              <w:ind w:firstLine="48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1</w:t>
            </w:r>
            <w:r>
              <w:rPr>
                <w:rFonts w:hint="eastAsia" w:ascii="Times New Roman" w:hAnsi="Times New Roman" w:eastAsia="宋体" w:cs="Times New Roman"/>
                <w:color w:val="000000" w:themeColor="text1"/>
                <w:lang w:eastAsia="zh-CN"/>
                <w14:textFill>
                  <w14:solidFill>
                    <w14:schemeClr w14:val="tx1"/>
                  </w14:solidFill>
                </w14:textFill>
              </w:rPr>
              <w:t>）医疗废物在收集、贮存、运送过程中防范措施</w:t>
            </w:r>
          </w:p>
          <w:p>
            <w:pPr>
              <w:pStyle w:val="7"/>
              <w:ind w:firstLine="48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医疗废物中可能存在传染性病菌、病毒、化学污染物等有害物质，由于医疗废物具有空间污染、急性传染和潜伏性污染等特征，其病毒、病菌的危害性是普通生活垃圾的几十、几百甚至上千倍，且基本没有回收再利用的价值。医疗废物在转运的过程中可能会发生泄露、滴漏现象，如处理不当，会对周围环境存在风险。</w:t>
            </w:r>
          </w:p>
          <w:p>
            <w:pPr>
              <w:pStyle w:val="7"/>
              <w:ind w:firstLine="48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本项目医疗废物产生后分类收集，分区贮存于医院的医疗废物暂存间内，医院内均为硬化地面</w:t>
            </w:r>
            <w:r>
              <w:rPr>
                <w:rFonts w:hint="eastAsia" w:ascii="Times New Roman" w:hAnsi="Times New Roman" w:eastAsia="宋体" w:cs="Times New Roman"/>
                <w:color w:val="auto"/>
                <w:lang w:eastAsia="zh-CN"/>
              </w:rPr>
              <w:t>，即</w:t>
            </w:r>
            <w:r>
              <w:rPr>
                <w:rFonts w:hint="eastAsia" w:ascii="Times New Roman" w:hAnsi="Times New Roman" w:eastAsia="宋体" w:cs="Times New Roman"/>
                <w:color w:val="000000" w:themeColor="text1"/>
                <w:lang w:eastAsia="zh-CN"/>
                <w14:textFill>
                  <w14:solidFill>
                    <w14:schemeClr w14:val="tx1"/>
                  </w14:solidFill>
                </w14:textFill>
              </w:rPr>
              <w:t>使在运输过程中发生少量泄露，采取相应的处理措施，不会渗漏到地下对土壤及地下水造成污染，同时做好消毒防范措施，也不会对人群造成危害。</w:t>
            </w:r>
          </w:p>
          <w:p>
            <w:pPr>
              <w:pStyle w:val="7"/>
              <w:ind w:firstLine="480"/>
              <w:jc w:val="both"/>
              <w:rPr>
                <w:color w:val="0000FF"/>
              </w:rPr>
            </w:pPr>
            <w:r>
              <w:rPr>
                <w:rFonts w:hint="eastAsia" w:ascii="Times New Roman" w:hAnsi="Times New Roman" w:eastAsia="宋体" w:cs="Times New Roman"/>
                <w:color w:val="000000" w:themeColor="text1"/>
                <w:lang w:eastAsia="zh-CN"/>
                <w14:textFill>
                  <w14:solidFill>
                    <w14:schemeClr w14:val="tx1"/>
                  </w14:solidFill>
                </w14:textFill>
              </w:rPr>
              <w:t>医疗废物</w:t>
            </w:r>
            <w:r>
              <w:rPr>
                <w:rFonts w:hint="eastAsia" w:ascii="Times New Roman" w:hAnsi="Times New Roman" w:eastAsia="宋体" w:cs="Times New Roman"/>
                <w:color w:val="000000" w:themeColor="text1"/>
                <w14:textFill>
                  <w14:solidFill>
                    <w14:schemeClr w14:val="tx1"/>
                  </w14:solidFill>
                </w14:textFill>
              </w:rPr>
              <w:t>装卸运输应执行《汽车危险货物运输装卸作业规程》（JT/T31145-1991），《汽车危险货物运输规则》（JT3130-1988），《机动车辆安全规范》（GB10827-1989）等有关要求。</w:t>
            </w:r>
          </w:p>
          <w:p>
            <w:pPr>
              <w:pStyle w:val="7"/>
              <w:ind w:firstLine="480"/>
              <w:jc w:val="both"/>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医院运营过程防范措施</w:t>
            </w:r>
          </w:p>
          <w:p>
            <w:pPr>
              <w:pStyle w:val="7"/>
              <w:ind w:firstLine="480"/>
              <w:jc w:val="both"/>
              <w:rPr>
                <w:color w:val="000000" w:themeColor="text1"/>
                <w14:textFill>
                  <w14:solidFill>
                    <w14:schemeClr w14:val="tx1"/>
                  </w14:solidFill>
                </w14:textFill>
              </w:rPr>
            </w:pPr>
            <w:r>
              <w:rPr>
                <w:color w:val="000000" w:themeColor="text1"/>
                <w14:textFill>
                  <w14:solidFill>
                    <w14:schemeClr w14:val="tx1"/>
                  </w14:solidFill>
                </w14:textFill>
              </w:rPr>
              <w:t>①加强职工的安全教育，</w:t>
            </w:r>
            <w:r>
              <w:rPr>
                <w:rFonts w:hint="eastAsia"/>
                <w:color w:val="000000" w:themeColor="text1"/>
                <w:lang w:eastAsia="zh-CN"/>
                <w14:textFill>
                  <w14:solidFill>
                    <w14:schemeClr w14:val="tx1"/>
                  </w14:solidFill>
                </w14:textFill>
              </w:rPr>
              <w:t>增强</w:t>
            </w:r>
            <w:r>
              <w:rPr>
                <w:color w:val="000000" w:themeColor="text1"/>
                <w14:textFill>
                  <w14:solidFill>
                    <w14:schemeClr w14:val="tx1"/>
                  </w14:solidFill>
                </w14:textFill>
              </w:rPr>
              <w:t>安全防范风险的意识。</w:t>
            </w:r>
          </w:p>
          <w:p>
            <w:pPr>
              <w:pStyle w:val="7"/>
              <w:ind w:firstLine="480"/>
              <w:jc w:val="both"/>
              <w:rPr>
                <w:color w:val="000000" w:themeColor="text1"/>
                <w14:textFill>
                  <w14:solidFill>
                    <w14:schemeClr w14:val="tx1"/>
                  </w14:solidFill>
                </w14:textFill>
              </w:rPr>
            </w:pPr>
            <w:r>
              <w:rPr>
                <w:color w:val="000000" w:themeColor="text1"/>
                <w14:textFill>
                  <w14:solidFill>
                    <w14:schemeClr w14:val="tx1"/>
                  </w14:solidFill>
                </w14:textFill>
              </w:rPr>
              <w:t>②医院雨水排口应设置雨水阀门，一旦发生火灾，消防废水进入雨水沟渠，应当及时关闭雨水阀门，利用应急泵将消防废水抽至污水管网，进入</w:t>
            </w:r>
            <w:r>
              <w:rPr>
                <w:rFonts w:hint="eastAsia"/>
                <w:color w:val="000000" w:themeColor="text1"/>
                <w:lang w:eastAsia="zh-CN"/>
                <w14:textFill>
                  <w14:solidFill>
                    <w14:schemeClr w14:val="tx1"/>
                  </w14:solidFill>
                </w14:textFill>
              </w:rPr>
              <w:t>桃林镇污水处理厂</w:t>
            </w:r>
            <w:r>
              <w:rPr>
                <w:rFonts w:hint="eastAsia"/>
                <w:color w:val="000000" w:themeColor="text1"/>
                <w14:textFill>
                  <w14:solidFill>
                    <w14:schemeClr w14:val="tx1"/>
                  </w14:solidFill>
                </w14:textFill>
              </w:rPr>
              <w:t>处理</w:t>
            </w:r>
            <w:r>
              <w:rPr>
                <w:color w:val="000000" w:themeColor="text1"/>
                <w14:textFill>
                  <w14:solidFill>
                    <w14:schemeClr w14:val="tx1"/>
                  </w14:solidFill>
                </w14:textFill>
              </w:rPr>
              <w:t>。</w:t>
            </w:r>
          </w:p>
          <w:p>
            <w:pPr>
              <w:pStyle w:val="7"/>
              <w:ind w:firstLine="480"/>
              <w:jc w:val="both"/>
              <w:rPr>
                <w:color w:val="000000" w:themeColor="text1"/>
                <w14:textFill>
                  <w14:solidFill>
                    <w14:schemeClr w14:val="tx1"/>
                  </w14:solidFill>
                </w14:textFill>
              </w:rPr>
            </w:pPr>
            <w:r>
              <w:rPr>
                <w:color w:val="000000" w:themeColor="text1"/>
                <w14:textFill>
                  <w14:solidFill>
                    <w14:schemeClr w14:val="tx1"/>
                  </w14:solidFill>
                </w14:textFill>
              </w:rPr>
              <w:t>③医院医疗污水处理站排口应该设置污水阀门，一旦污水处理设备发生故障，废水非正常排放，应及时关闭污水阀门，待设备检修完成后，可恢复正常运行。</w:t>
            </w:r>
          </w:p>
          <w:p>
            <w:pPr>
              <w:pStyle w:val="7"/>
              <w:ind w:firstLine="480"/>
              <w:jc w:val="both"/>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危险废物贮存过程的风险防范措施</w:t>
            </w:r>
          </w:p>
          <w:p>
            <w:pPr>
              <w:pStyle w:val="7"/>
              <w:ind w:firstLine="480"/>
              <w:jc w:val="both"/>
              <w:rPr>
                <w:color w:val="000000" w:themeColor="text1"/>
                <w14:textFill>
                  <w14:solidFill>
                    <w14:schemeClr w14:val="tx1"/>
                  </w14:solidFill>
                </w14:textFill>
              </w:rPr>
            </w:pPr>
            <w:r>
              <w:rPr>
                <w:color w:val="000000" w:themeColor="text1"/>
                <w14:textFill>
                  <w14:solidFill>
                    <w14:schemeClr w14:val="tx1"/>
                  </w14:solidFill>
                </w14:textFill>
              </w:rPr>
              <w:t>针对危险废物的特性、数量，按照《危险废物贮存污染控制标准》（</w:t>
            </w:r>
            <w:r>
              <w:rPr>
                <w:rFonts w:hint="eastAsia"/>
                <w:color w:val="000000" w:themeColor="text1"/>
                <w14:textFill>
                  <w14:solidFill>
                    <w14:schemeClr w14:val="tx1"/>
                  </w14:solidFill>
                </w14:textFill>
              </w:rPr>
              <w:t>GB18597-2023</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和《危险废物收集、贮存、运输技术规范》（HJ2025-2012）中要求，做好贮存风险事故防范工作。</w:t>
            </w:r>
          </w:p>
          <w:p>
            <w:pPr>
              <w:pStyle w:val="7"/>
              <w:ind w:firstLine="480"/>
              <w:jc w:val="both"/>
              <w:rPr>
                <w:color w:val="000000" w:themeColor="text1"/>
                <w14:textFill>
                  <w14:solidFill>
                    <w14:schemeClr w14:val="tx1"/>
                  </w14:solidFill>
                </w14:textFill>
              </w:rPr>
            </w:pPr>
            <w:r>
              <w:rPr>
                <w:color w:val="000000" w:themeColor="text1"/>
                <w14:textFill>
                  <w14:solidFill>
                    <w14:schemeClr w14:val="tx1"/>
                  </w14:solidFill>
                </w14:textFill>
              </w:rPr>
              <w:t>①危险废物暂存间应配备照明设施和消防设施。</w:t>
            </w:r>
          </w:p>
          <w:p>
            <w:pPr>
              <w:pStyle w:val="7"/>
              <w:ind w:firstLine="480"/>
              <w:jc w:val="both"/>
              <w:rPr>
                <w:color w:val="000000" w:themeColor="text1"/>
                <w14:textFill>
                  <w14:solidFill>
                    <w14:schemeClr w14:val="tx1"/>
                  </w14:solidFill>
                </w14:textFill>
              </w:rPr>
            </w:pPr>
            <w:r>
              <w:rPr>
                <w:color w:val="000000" w:themeColor="text1"/>
                <w14:textFill>
                  <w14:solidFill>
                    <w14:schemeClr w14:val="tx1"/>
                  </w14:solidFill>
                </w14:textFill>
              </w:rPr>
              <w:t>②危险废物暂存间基础做防渗处理，防渗层渗透系数不大于1.0×10</w:t>
            </w:r>
            <w:r>
              <w:rPr>
                <w:rFonts w:hint="eastAsia"/>
                <w:color w:val="000000" w:themeColor="text1"/>
                <w:lang w:eastAsia="zh-CN"/>
                <w14:textFill>
                  <w14:solidFill>
                    <w14:schemeClr w14:val="tx1"/>
                  </w14:solidFill>
                </w14:textFill>
              </w:rPr>
              <w:t>—</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cm/s；地面与裙脚使用坚固、防渗材料建造，建筑材料必须与危险废物相容，地面必须为耐腐蚀硬化地面，且表面无裂隙。</w:t>
            </w:r>
          </w:p>
          <w:p>
            <w:pPr>
              <w:pStyle w:val="7"/>
              <w:ind w:firstLine="480"/>
              <w:jc w:val="both"/>
              <w:rPr>
                <w:color w:val="000000" w:themeColor="text1"/>
                <w14:textFill>
                  <w14:solidFill>
                    <w14:schemeClr w14:val="tx1"/>
                  </w14:solidFill>
                </w14:textFill>
              </w:rPr>
            </w:pPr>
            <w:r>
              <w:rPr>
                <w:color w:val="000000" w:themeColor="text1"/>
                <w14:textFill>
                  <w14:solidFill>
                    <w14:schemeClr w14:val="tx1"/>
                  </w14:solidFill>
                </w14:textFill>
              </w:rPr>
              <w:t>③危险废物暂存间应阴凉、干燥、通风，避免阳光直射、</w:t>
            </w:r>
            <w:r>
              <w:rPr>
                <w:rFonts w:hint="eastAsia"/>
                <w:color w:val="000000" w:themeColor="text1"/>
                <w:lang w:eastAsia="zh-CN"/>
                <w14:textFill>
                  <w14:solidFill>
                    <w14:schemeClr w14:val="tx1"/>
                  </w14:solidFill>
                </w14:textFill>
              </w:rPr>
              <w:t>暴晒</w:t>
            </w:r>
            <w:r>
              <w:rPr>
                <w:color w:val="000000" w:themeColor="text1"/>
                <w14:textFill>
                  <w14:solidFill>
                    <w14:schemeClr w14:val="tx1"/>
                  </w14:solidFill>
                </w14:textFill>
              </w:rPr>
              <w:t>，远离热源、火源。医疗废物应当根据《医疗废物分类目录》，对医疗废物实施分类管理，根据医疗废物的类别，将医疗废物分置于符合《医疗废物专用包装物、容器的标准和警示标识的规定》的包装物或者容器内，危险废物包装袋附上标识标牌。医疗废物暂时贮存的时间不得超过2天，医疗废物转交出去后，应当对暂时贮存地点、设施及时进行清洁和消毒处理。</w:t>
            </w:r>
          </w:p>
          <w:p>
            <w:pPr>
              <w:pStyle w:val="7"/>
              <w:ind w:firstLine="480"/>
              <w:jc w:val="both"/>
              <w:rPr>
                <w:color w:val="000000" w:themeColor="text1"/>
                <w14:textFill>
                  <w14:solidFill>
                    <w14:schemeClr w14:val="tx1"/>
                  </w14:solidFill>
                </w14:textFill>
              </w:rPr>
            </w:pPr>
            <w:r>
              <w:rPr>
                <w:color w:val="000000" w:themeColor="text1"/>
                <w14:textFill>
                  <w14:solidFill>
                    <w14:schemeClr w14:val="tx1"/>
                  </w14:solidFill>
                </w14:textFill>
              </w:rPr>
              <w:t>④编制环境风险应急预案。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2" w:hRule="atLeast"/>
          <w:jc w:val="center"/>
        </w:trPr>
        <w:tc>
          <w:tcPr>
            <w:tcW w:w="499" w:type="pct"/>
            <w:tcBorders>
              <w:tl2br w:val="nil"/>
              <w:tr2bl w:val="nil"/>
            </w:tcBorders>
            <w:noWrap/>
            <w:vAlign w:val="center"/>
          </w:tcPr>
          <w:p>
            <w:pPr>
              <w:pStyle w:val="48"/>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其他环境管理要求</w:t>
            </w:r>
          </w:p>
        </w:tc>
        <w:tc>
          <w:tcPr>
            <w:tcW w:w="4500" w:type="pct"/>
            <w:gridSpan w:val="4"/>
            <w:tcBorders>
              <w:tl2br w:val="nil"/>
              <w:tr2bl w:val="nil"/>
            </w:tcBorders>
            <w:noWrap/>
            <w:vAlign w:val="center"/>
          </w:tcPr>
          <w:p>
            <w:pPr>
              <w:pStyle w:val="7"/>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color w:val="auto"/>
                <w:lang w:val="en-US" w:eastAsia="zh-CN"/>
              </w:rPr>
            </w:pPr>
            <w:r>
              <w:rPr>
                <w:rFonts w:hint="eastAsia"/>
                <w:color w:val="auto"/>
                <w:lang w:val="en-US" w:eastAsia="zh-CN"/>
              </w:rPr>
              <w:t>（1）排污许可证办理</w:t>
            </w:r>
          </w:p>
          <w:p>
            <w:pPr>
              <w:pStyle w:val="7"/>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color w:val="auto"/>
                <w:lang w:val="en-US" w:eastAsia="zh-CN"/>
              </w:rPr>
            </w:pPr>
            <w:r>
              <w:rPr>
                <w:rFonts w:hint="eastAsia"/>
                <w:color w:val="auto"/>
                <w:lang w:val="en-US" w:eastAsia="zh-CN"/>
              </w:rPr>
              <w:t>根据《固定污染源排污许可分类管理名录》（</w:t>
            </w:r>
            <w:r>
              <w:rPr>
                <w:rFonts w:hint="default"/>
                <w:color w:val="auto"/>
                <w:lang w:val="en-US" w:eastAsia="zh-CN"/>
              </w:rPr>
              <w:t>2019</w:t>
            </w:r>
            <w:r>
              <w:rPr>
                <w:rFonts w:hint="eastAsia"/>
                <w:color w:val="auto"/>
                <w:lang w:val="en-US" w:eastAsia="zh-CN"/>
              </w:rPr>
              <w:t>年），本项目属于“四十九、卫生”“</w:t>
            </w:r>
            <w:r>
              <w:rPr>
                <w:rFonts w:ascii="Helvetica" w:hAnsi="Helvetica" w:eastAsia="Helvetica" w:cs="Helvetica"/>
                <w:i w:val="0"/>
                <w:iCs w:val="0"/>
                <w:caps w:val="0"/>
                <w:color w:val="333333"/>
                <w:spacing w:val="0"/>
                <w:sz w:val="24"/>
                <w:szCs w:val="24"/>
                <w:shd w:val="clear" w:fill="FFFFFF"/>
              </w:rPr>
              <w:t>床位100张以下的综合</w:t>
            </w:r>
            <w:r>
              <w:rPr>
                <w:rFonts w:hint="default" w:ascii="Helvetica" w:hAnsi="Helvetica" w:eastAsia="Helvetica" w:cs="Helvetica"/>
                <w:i w:val="0"/>
                <w:iCs w:val="0"/>
                <w:caps w:val="0"/>
                <w:color w:val="auto"/>
                <w:spacing w:val="0"/>
                <w:sz w:val="24"/>
                <w:szCs w:val="24"/>
                <w:shd w:val="clear" w:fill="FFFFFF"/>
              </w:rPr>
              <w:t>医院</w:t>
            </w:r>
            <w:r>
              <w:rPr>
                <w:rFonts w:hint="default" w:ascii="Helvetica" w:hAnsi="Helvetica" w:eastAsia="Helvetica" w:cs="Helvetica"/>
                <w:i w:val="0"/>
                <w:iCs w:val="0"/>
                <w:caps w:val="0"/>
                <w:color w:val="333333"/>
                <w:spacing w:val="0"/>
                <w:sz w:val="24"/>
                <w:szCs w:val="24"/>
                <w:shd w:val="clear" w:fill="FFFFFF"/>
              </w:rPr>
              <w:t>8411</w:t>
            </w:r>
            <w:r>
              <w:rPr>
                <w:rFonts w:hint="eastAsia"/>
                <w:color w:val="auto"/>
                <w:lang w:val="en-US" w:eastAsia="zh-CN"/>
              </w:rPr>
              <w:t>”，应实施排污许可证登记管理。</w:t>
            </w:r>
          </w:p>
          <w:p>
            <w:pPr>
              <w:pStyle w:val="7"/>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jc w:val="both"/>
              <w:textAlignment w:val="auto"/>
              <w:rPr>
                <w:rFonts w:hint="eastAsia"/>
                <w:color w:val="auto"/>
                <w:lang w:val="en-US" w:eastAsia="zh-CN"/>
              </w:rPr>
            </w:pPr>
            <w:r>
              <w:rPr>
                <w:rFonts w:hint="eastAsia"/>
                <w:color w:val="auto"/>
                <w:lang w:val="en-US" w:eastAsia="zh-CN"/>
              </w:rPr>
              <w:t>排污口规范化设置</w:t>
            </w:r>
          </w:p>
          <w:p>
            <w:pPr>
              <w:pStyle w:val="7"/>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color w:val="auto"/>
                <w:lang w:val="en-US" w:eastAsia="zh-CN"/>
              </w:rPr>
            </w:pPr>
            <w:r>
              <w:rPr>
                <w:rFonts w:hint="eastAsia"/>
                <w:color w:val="auto"/>
                <w:lang w:val="en-US" w:eastAsia="zh-CN"/>
              </w:rPr>
              <w:t>按照国家环保总局《排污口规范化整治技术要求》，本项目排污口规范化管理具体要求见表</w:t>
            </w:r>
            <w:r>
              <w:rPr>
                <w:rFonts w:hint="default"/>
                <w:color w:val="auto"/>
                <w:lang w:val="en-US" w:eastAsia="zh-CN"/>
              </w:rPr>
              <w:t>5-1</w:t>
            </w:r>
            <w:r>
              <w:rPr>
                <w:rFonts w:hint="eastAsia"/>
                <w:color w:val="auto"/>
                <w:lang w:val="en-US" w:eastAsia="zh-CN"/>
              </w:rPr>
              <w:t xml:space="preserve">，各排污口图形符号见表 </w:t>
            </w:r>
            <w:r>
              <w:rPr>
                <w:rFonts w:hint="default"/>
                <w:color w:val="auto"/>
                <w:lang w:val="en-US" w:eastAsia="zh-CN"/>
              </w:rPr>
              <w:t>5-2</w:t>
            </w:r>
            <w:r>
              <w:rPr>
                <w:rFonts w:hint="eastAsia"/>
                <w:color w:val="auto"/>
                <w:lang w:val="en-US" w:eastAsia="zh-CN"/>
              </w:rPr>
              <w:t>。</w:t>
            </w:r>
          </w:p>
          <w:p>
            <w:pPr>
              <w:pStyle w:val="49"/>
              <w:rPr>
                <w:color w:val="auto"/>
                <w:u w:val="none"/>
              </w:rPr>
            </w:pPr>
            <w:r>
              <w:rPr>
                <w:rFonts w:hint="eastAsia"/>
                <w:color w:val="auto"/>
                <w:u w:val="none"/>
                <w:lang w:val="en-US" w:eastAsia="zh-CN"/>
              </w:rPr>
              <w:t xml:space="preserve">表 </w:t>
            </w:r>
            <w:r>
              <w:rPr>
                <w:rFonts w:hint="default"/>
                <w:color w:val="auto"/>
                <w:u w:val="none"/>
                <w:lang w:val="en-US" w:eastAsia="zh-CN"/>
              </w:rPr>
              <w:t xml:space="preserve">5-1 </w:t>
            </w:r>
            <w:r>
              <w:rPr>
                <w:rFonts w:hint="eastAsia"/>
                <w:color w:val="auto"/>
                <w:u w:val="none"/>
                <w:lang w:val="en-US" w:eastAsia="zh-CN"/>
              </w:rPr>
              <w:t>排污口规范化管理要求表</w:t>
            </w:r>
          </w:p>
          <w:tbl>
            <w:tblPr>
              <w:tblStyle w:val="32"/>
              <w:tblW w:w="6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5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Align w:val="center"/>
                </w:tcPr>
                <w:p>
                  <w:pPr>
                    <w:pStyle w:val="48"/>
                    <w:jc w:val="center"/>
                    <w:rPr>
                      <w:rFonts w:hint="eastAsia"/>
                      <w:color w:val="auto"/>
                      <w:u w:val="none"/>
                      <w:lang w:val="en-US" w:eastAsia="zh-CN"/>
                    </w:rPr>
                  </w:pPr>
                  <w:r>
                    <w:rPr>
                      <w:rFonts w:hint="eastAsia"/>
                      <w:color w:val="auto"/>
                      <w:u w:val="none"/>
                      <w:lang w:val="en-US" w:eastAsia="zh-CN"/>
                    </w:rPr>
                    <w:t>项目</w:t>
                  </w:r>
                </w:p>
              </w:tc>
              <w:tc>
                <w:tcPr>
                  <w:tcW w:w="5590" w:type="dxa"/>
                  <w:vAlign w:val="center"/>
                </w:tcPr>
                <w:p>
                  <w:pPr>
                    <w:pStyle w:val="48"/>
                    <w:jc w:val="center"/>
                    <w:rPr>
                      <w:rFonts w:hint="eastAsia"/>
                      <w:color w:val="auto"/>
                      <w:u w:val="none"/>
                      <w:lang w:val="en-US" w:eastAsia="zh-CN"/>
                    </w:rPr>
                  </w:pPr>
                  <w:r>
                    <w:rPr>
                      <w:rFonts w:hint="eastAsia"/>
                      <w:color w:val="auto"/>
                      <w:u w:val="none"/>
                      <w:lang w:val="en-US" w:eastAsia="zh-CN"/>
                    </w:rPr>
                    <w:t>主要要求内容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Align w:val="center"/>
                </w:tcPr>
                <w:p>
                  <w:pPr>
                    <w:pStyle w:val="48"/>
                    <w:jc w:val="center"/>
                    <w:rPr>
                      <w:rFonts w:hint="eastAsia"/>
                      <w:color w:val="auto"/>
                      <w:u w:val="none"/>
                      <w:lang w:val="en-US" w:eastAsia="zh-CN"/>
                    </w:rPr>
                  </w:pPr>
                  <w:r>
                    <w:rPr>
                      <w:rFonts w:hint="eastAsia"/>
                      <w:color w:val="auto"/>
                      <w:u w:val="none"/>
                      <w:lang w:val="en-US" w:eastAsia="zh-CN"/>
                    </w:rPr>
                    <w:t>基本原则</w:t>
                  </w:r>
                </w:p>
              </w:tc>
              <w:tc>
                <w:tcPr>
                  <w:tcW w:w="5590" w:type="dxa"/>
                  <w:vAlign w:val="center"/>
                </w:tcPr>
                <w:p>
                  <w:pPr>
                    <w:pStyle w:val="48"/>
                    <w:jc w:val="both"/>
                    <w:rPr>
                      <w:color w:val="auto"/>
                      <w:u w:val="none"/>
                    </w:rPr>
                  </w:pPr>
                  <w:r>
                    <w:rPr>
                      <w:rFonts w:hint="default"/>
                      <w:color w:val="auto"/>
                      <w:u w:val="none"/>
                      <w:lang w:val="en-US" w:eastAsia="zh-CN"/>
                    </w:rPr>
                    <w:t>1</w:t>
                  </w:r>
                  <w:r>
                    <w:rPr>
                      <w:rFonts w:hint="eastAsia"/>
                      <w:color w:val="auto"/>
                      <w:u w:val="none"/>
                      <w:lang w:val="en-US" w:eastAsia="zh-CN"/>
                    </w:rPr>
                    <w:t>、凡向环境排放污染物的一切排污口必须进行规范化管理；</w:t>
                  </w:r>
                </w:p>
                <w:p>
                  <w:pPr>
                    <w:pStyle w:val="48"/>
                    <w:jc w:val="both"/>
                    <w:rPr>
                      <w:color w:val="auto"/>
                      <w:u w:val="none"/>
                    </w:rPr>
                  </w:pPr>
                  <w:r>
                    <w:rPr>
                      <w:rFonts w:hint="default"/>
                      <w:color w:val="auto"/>
                      <w:u w:val="none"/>
                      <w:lang w:val="en-US" w:eastAsia="zh-CN"/>
                    </w:rPr>
                    <w:t>2</w:t>
                  </w:r>
                  <w:r>
                    <w:rPr>
                      <w:rFonts w:hint="eastAsia"/>
                      <w:color w:val="auto"/>
                      <w:u w:val="none"/>
                      <w:lang w:val="en-US" w:eastAsia="zh-CN"/>
                    </w:rPr>
                    <w:t>、将总量控制的污染物排污口及行业特征污染物排放口列为管理的重点；</w:t>
                  </w:r>
                </w:p>
                <w:p>
                  <w:pPr>
                    <w:pStyle w:val="48"/>
                    <w:jc w:val="both"/>
                    <w:rPr>
                      <w:color w:val="auto"/>
                      <w:u w:val="none"/>
                    </w:rPr>
                  </w:pPr>
                  <w:r>
                    <w:rPr>
                      <w:rFonts w:hint="default"/>
                      <w:color w:val="auto"/>
                      <w:u w:val="none"/>
                      <w:lang w:val="en-US" w:eastAsia="zh-CN"/>
                    </w:rPr>
                    <w:t>3</w:t>
                  </w:r>
                  <w:r>
                    <w:rPr>
                      <w:rFonts w:hint="eastAsia"/>
                      <w:color w:val="auto"/>
                      <w:u w:val="none"/>
                      <w:lang w:val="en-US" w:eastAsia="zh-CN"/>
                    </w:rPr>
                    <w:t>、排污口设置应便于采样和计量监测，便于日常现场监督和检查；</w:t>
                  </w:r>
                </w:p>
                <w:p>
                  <w:pPr>
                    <w:pStyle w:val="48"/>
                    <w:jc w:val="both"/>
                    <w:rPr>
                      <w:rFonts w:hint="eastAsia"/>
                      <w:color w:val="auto"/>
                      <w:u w:val="none"/>
                      <w:lang w:val="en-US" w:eastAsia="zh-CN"/>
                    </w:rPr>
                  </w:pPr>
                  <w:r>
                    <w:rPr>
                      <w:rFonts w:hint="default"/>
                      <w:color w:val="auto"/>
                      <w:u w:val="none"/>
                      <w:lang w:val="en-US" w:eastAsia="zh-CN"/>
                    </w:rPr>
                    <w:t>4</w:t>
                  </w:r>
                  <w:r>
                    <w:rPr>
                      <w:rFonts w:hint="eastAsia"/>
                      <w:color w:val="auto"/>
                      <w:u w:val="none"/>
                      <w:lang w:val="en-US" w:eastAsia="zh-CN"/>
                    </w:rPr>
                    <w:t>、如实向环保行政主管部门申报排污口位置，排污种类、数量、浓度与排放去向等。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Align w:val="center"/>
                </w:tcPr>
                <w:p>
                  <w:pPr>
                    <w:pStyle w:val="48"/>
                    <w:jc w:val="center"/>
                    <w:rPr>
                      <w:rFonts w:hint="eastAsia"/>
                      <w:color w:val="auto"/>
                      <w:u w:val="none"/>
                      <w:lang w:val="en-US" w:eastAsia="zh-CN"/>
                    </w:rPr>
                  </w:pPr>
                  <w:r>
                    <w:rPr>
                      <w:rFonts w:hint="eastAsia"/>
                      <w:color w:val="auto"/>
                      <w:u w:val="none"/>
                      <w:lang w:val="en-US" w:eastAsia="zh-CN"/>
                    </w:rPr>
                    <w:t>技术要求</w:t>
                  </w:r>
                </w:p>
              </w:tc>
              <w:tc>
                <w:tcPr>
                  <w:tcW w:w="5590" w:type="dxa"/>
                  <w:vAlign w:val="center"/>
                </w:tcPr>
                <w:p>
                  <w:pPr>
                    <w:pStyle w:val="48"/>
                    <w:jc w:val="both"/>
                    <w:rPr>
                      <w:color w:val="auto"/>
                      <w:u w:val="none"/>
                    </w:rPr>
                  </w:pPr>
                  <w:r>
                    <w:rPr>
                      <w:rFonts w:hint="default"/>
                      <w:color w:val="auto"/>
                      <w:u w:val="none"/>
                      <w:lang w:val="en-US" w:eastAsia="zh-CN"/>
                    </w:rPr>
                    <w:t>1</w:t>
                  </w:r>
                  <w:r>
                    <w:rPr>
                      <w:rFonts w:hint="eastAsia"/>
                      <w:color w:val="auto"/>
                      <w:u w:val="none"/>
                      <w:lang w:val="en-US" w:eastAsia="zh-CN"/>
                    </w:rPr>
                    <w:t>、排污口位置必须按照环监（</w:t>
                  </w:r>
                  <w:r>
                    <w:rPr>
                      <w:rFonts w:hint="default"/>
                      <w:color w:val="auto"/>
                      <w:u w:val="none"/>
                      <w:lang w:val="en-US" w:eastAsia="zh-CN"/>
                    </w:rPr>
                    <w:t>1996</w:t>
                  </w:r>
                  <w:r>
                    <w:rPr>
                      <w:rFonts w:hint="eastAsia"/>
                      <w:color w:val="auto"/>
                      <w:u w:val="none"/>
                      <w:lang w:val="en-US" w:eastAsia="zh-CN"/>
                    </w:rPr>
                    <w:t>）</w:t>
                  </w:r>
                  <w:r>
                    <w:rPr>
                      <w:rFonts w:hint="default"/>
                      <w:color w:val="auto"/>
                      <w:u w:val="none"/>
                      <w:lang w:val="en-US" w:eastAsia="zh-CN"/>
                    </w:rPr>
                    <w:t xml:space="preserve">470 </w:t>
                  </w:r>
                  <w:r>
                    <w:rPr>
                      <w:rFonts w:hint="eastAsia"/>
                      <w:color w:val="auto"/>
                      <w:u w:val="none"/>
                      <w:lang w:val="en-US" w:eastAsia="zh-CN"/>
                    </w:rPr>
                    <w:t>号文要求合理确定，实行规范化管理；</w:t>
                  </w:r>
                </w:p>
                <w:p>
                  <w:pPr>
                    <w:pStyle w:val="48"/>
                    <w:jc w:val="both"/>
                    <w:rPr>
                      <w:rFonts w:hint="eastAsia"/>
                      <w:color w:val="auto"/>
                      <w:u w:val="none"/>
                      <w:lang w:val="en-US" w:eastAsia="zh-CN"/>
                    </w:rPr>
                  </w:pPr>
                  <w:r>
                    <w:rPr>
                      <w:rFonts w:hint="default"/>
                      <w:color w:val="auto"/>
                      <w:u w:val="none"/>
                      <w:lang w:val="en-US" w:eastAsia="zh-CN"/>
                    </w:rPr>
                    <w:t>2</w:t>
                  </w:r>
                  <w:r>
                    <w:rPr>
                      <w:rFonts w:hint="eastAsia"/>
                      <w:color w:val="auto"/>
                      <w:u w:val="none"/>
                      <w:lang w:val="en-US" w:eastAsia="zh-CN"/>
                    </w:rPr>
                    <w:t>、具体设置应符合《污染源监测技术规范》的规定与要求。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Align w:val="center"/>
                </w:tcPr>
                <w:p>
                  <w:pPr>
                    <w:pStyle w:val="48"/>
                    <w:jc w:val="center"/>
                    <w:rPr>
                      <w:rFonts w:hint="eastAsia"/>
                      <w:color w:val="auto"/>
                      <w:u w:val="none"/>
                      <w:lang w:val="en-US" w:eastAsia="zh-CN"/>
                    </w:rPr>
                  </w:pPr>
                  <w:r>
                    <w:rPr>
                      <w:rFonts w:hint="eastAsia"/>
                      <w:color w:val="auto"/>
                      <w:u w:val="none"/>
                      <w:lang w:val="en-US" w:eastAsia="zh-CN"/>
                    </w:rPr>
                    <w:t>立标管理</w:t>
                  </w:r>
                </w:p>
              </w:tc>
              <w:tc>
                <w:tcPr>
                  <w:tcW w:w="5590" w:type="dxa"/>
                  <w:vAlign w:val="center"/>
                </w:tcPr>
                <w:p>
                  <w:pPr>
                    <w:pStyle w:val="48"/>
                    <w:jc w:val="both"/>
                    <w:rPr>
                      <w:color w:val="auto"/>
                      <w:u w:val="none"/>
                    </w:rPr>
                  </w:pPr>
                  <w:r>
                    <w:rPr>
                      <w:rFonts w:hint="default"/>
                      <w:color w:val="auto"/>
                      <w:u w:val="none"/>
                      <w:lang w:val="en-US" w:eastAsia="zh-CN"/>
                    </w:rPr>
                    <w:t>1</w:t>
                  </w:r>
                  <w:r>
                    <w:rPr>
                      <w:rFonts w:hint="eastAsia"/>
                      <w:color w:val="auto"/>
                      <w:u w:val="none"/>
                      <w:lang w:val="en-US" w:eastAsia="zh-CN"/>
                    </w:rPr>
                    <w:t>、排污口必须按照国家《环境保护图形标志》相关规定，设置环保图形标志牌；</w:t>
                  </w:r>
                </w:p>
                <w:p>
                  <w:pPr>
                    <w:pStyle w:val="48"/>
                    <w:jc w:val="both"/>
                    <w:rPr>
                      <w:color w:val="auto"/>
                      <w:u w:val="none"/>
                    </w:rPr>
                  </w:pPr>
                  <w:r>
                    <w:rPr>
                      <w:rFonts w:hint="default"/>
                      <w:color w:val="auto"/>
                      <w:u w:val="none"/>
                      <w:lang w:val="en-US" w:eastAsia="zh-CN"/>
                    </w:rPr>
                    <w:t>2</w:t>
                  </w:r>
                  <w:r>
                    <w:rPr>
                      <w:rFonts w:hint="eastAsia"/>
                      <w:color w:val="auto"/>
                      <w:u w:val="none"/>
                      <w:lang w:val="en-US" w:eastAsia="zh-CN"/>
                    </w:rPr>
                    <w:t xml:space="preserve">、标志牌设置位置应距排污口及固体废物贮存（处置）场或采样点较近且醒目处，设置高度一般为标志牌上缘距离地面约 </w:t>
                  </w:r>
                  <w:r>
                    <w:rPr>
                      <w:rFonts w:hint="default"/>
                      <w:color w:val="auto"/>
                      <w:u w:val="none"/>
                      <w:lang w:val="en-US" w:eastAsia="zh-CN"/>
                    </w:rPr>
                    <w:t>2m</w:t>
                  </w:r>
                  <w:r>
                    <w:rPr>
                      <w:rFonts w:hint="eastAsia"/>
                      <w:color w:val="auto"/>
                      <w:u w:val="none"/>
                      <w:lang w:val="en-US" w:eastAsia="zh-CN"/>
                    </w:rPr>
                    <w:t>；</w:t>
                  </w:r>
                </w:p>
                <w:p>
                  <w:pPr>
                    <w:pStyle w:val="48"/>
                    <w:jc w:val="both"/>
                    <w:rPr>
                      <w:color w:val="auto"/>
                      <w:u w:val="none"/>
                    </w:rPr>
                  </w:pPr>
                  <w:r>
                    <w:rPr>
                      <w:rFonts w:hint="default"/>
                      <w:color w:val="auto"/>
                      <w:u w:val="none"/>
                      <w:lang w:val="en-US" w:eastAsia="zh-CN"/>
                    </w:rPr>
                    <w:t>3</w:t>
                  </w:r>
                  <w:r>
                    <w:rPr>
                      <w:rFonts w:hint="eastAsia"/>
                      <w:color w:val="auto"/>
                      <w:u w:val="none"/>
                      <w:lang w:val="en-US" w:eastAsia="zh-CN"/>
                    </w:rPr>
                    <w:t>、重点排污单位排污口设立式标志牌，一般单位排污口可设立式或平面固定式提示性环保图形标志牌；</w:t>
                  </w:r>
                </w:p>
                <w:p>
                  <w:pPr>
                    <w:pStyle w:val="48"/>
                    <w:jc w:val="both"/>
                    <w:rPr>
                      <w:rFonts w:hint="eastAsia"/>
                      <w:color w:val="auto"/>
                      <w:u w:val="none"/>
                      <w:lang w:val="en-US" w:eastAsia="zh-CN"/>
                    </w:rPr>
                  </w:pPr>
                  <w:r>
                    <w:rPr>
                      <w:rFonts w:hint="default"/>
                      <w:color w:val="auto"/>
                      <w:u w:val="none"/>
                      <w:lang w:val="en-US" w:eastAsia="zh-CN"/>
                    </w:rPr>
                    <w:t>4</w:t>
                  </w:r>
                  <w:r>
                    <w:rPr>
                      <w:rFonts w:hint="eastAsia"/>
                      <w:color w:val="auto"/>
                      <w:u w:val="none"/>
                      <w:lang w:val="en-US" w:eastAsia="zh-CN"/>
                    </w:rPr>
                    <w:t>、对危险物贮存、处置场所，必须设置警告性环境保护图形标志牌。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Align w:val="center"/>
                </w:tcPr>
                <w:p>
                  <w:pPr>
                    <w:pStyle w:val="48"/>
                    <w:jc w:val="center"/>
                    <w:rPr>
                      <w:rFonts w:hint="eastAsia"/>
                      <w:color w:val="auto"/>
                      <w:u w:val="none"/>
                      <w:lang w:val="en-US" w:eastAsia="zh-CN"/>
                    </w:rPr>
                  </w:pPr>
                  <w:r>
                    <w:rPr>
                      <w:rFonts w:hint="eastAsia"/>
                      <w:color w:val="auto"/>
                      <w:u w:val="none"/>
                      <w:lang w:val="en-US" w:eastAsia="zh-CN"/>
                    </w:rPr>
                    <w:t>建档管理</w:t>
                  </w:r>
                </w:p>
              </w:tc>
              <w:tc>
                <w:tcPr>
                  <w:tcW w:w="5590" w:type="dxa"/>
                  <w:vAlign w:val="center"/>
                </w:tcPr>
                <w:p>
                  <w:pPr>
                    <w:pStyle w:val="48"/>
                    <w:jc w:val="both"/>
                    <w:rPr>
                      <w:color w:val="auto"/>
                      <w:u w:val="none"/>
                    </w:rPr>
                  </w:pPr>
                  <w:r>
                    <w:rPr>
                      <w:rFonts w:hint="default"/>
                      <w:color w:val="auto"/>
                      <w:u w:val="none"/>
                      <w:lang w:val="en-US" w:eastAsia="zh-CN"/>
                    </w:rPr>
                    <w:t>1</w:t>
                  </w:r>
                  <w:r>
                    <w:rPr>
                      <w:rFonts w:hint="eastAsia"/>
                      <w:color w:val="auto"/>
                      <w:u w:val="none"/>
                      <w:lang w:val="en-US" w:eastAsia="zh-CN"/>
                    </w:rPr>
                    <w:t>、使用《中华人民共和国规范化排污口标志登记证》，并按要求填写有</w:t>
                  </w:r>
                </w:p>
                <w:p>
                  <w:pPr>
                    <w:pStyle w:val="48"/>
                    <w:jc w:val="both"/>
                    <w:rPr>
                      <w:color w:val="auto"/>
                      <w:u w:val="none"/>
                    </w:rPr>
                  </w:pPr>
                  <w:r>
                    <w:rPr>
                      <w:rFonts w:hint="eastAsia"/>
                      <w:color w:val="auto"/>
                      <w:u w:val="none"/>
                      <w:lang w:val="en-US" w:eastAsia="zh-CN"/>
                    </w:rPr>
                    <w:t>关内容；</w:t>
                  </w:r>
                </w:p>
                <w:p>
                  <w:pPr>
                    <w:pStyle w:val="48"/>
                    <w:jc w:val="both"/>
                    <w:rPr>
                      <w:color w:val="auto"/>
                      <w:u w:val="none"/>
                    </w:rPr>
                  </w:pPr>
                  <w:r>
                    <w:rPr>
                      <w:rFonts w:hint="default"/>
                      <w:color w:val="auto"/>
                      <w:u w:val="none"/>
                      <w:lang w:val="en-US" w:eastAsia="zh-CN"/>
                    </w:rPr>
                    <w:t>2</w:t>
                  </w:r>
                  <w:r>
                    <w:rPr>
                      <w:rFonts w:hint="eastAsia"/>
                      <w:color w:val="auto"/>
                      <w:u w:val="none"/>
                      <w:lang w:val="en-US" w:eastAsia="zh-CN"/>
                    </w:rPr>
                    <w:t>、严格按照环境管理监控计划及排污口管理内容要求，在工程建成后将</w:t>
                  </w:r>
                </w:p>
                <w:p>
                  <w:pPr>
                    <w:pStyle w:val="48"/>
                    <w:jc w:val="both"/>
                    <w:rPr>
                      <w:color w:val="auto"/>
                      <w:u w:val="none"/>
                    </w:rPr>
                  </w:pPr>
                  <w:r>
                    <w:rPr>
                      <w:rFonts w:hint="eastAsia"/>
                      <w:color w:val="auto"/>
                      <w:u w:val="none"/>
                      <w:lang w:val="en-US" w:eastAsia="zh-CN"/>
                    </w:rPr>
                    <w:t>主要污染物种类、数量、排放浓度与去向，立标及环保设施运行情况记录在案，并及时上报；</w:t>
                  </w:r>
                </w:p>
                <w:p>
                  <w:pPr>
                    <w:pStyle w:val="48"/>
                    <w:jc w:val="both"/>
                    <w:rPr>
                      <w:rFonts w:hint="eastAsia"/>
                      <w:color w:val="auto"/>
                      <w:u w:val="none"/>
                      <w:lang w:val="en-US" w:eastAsia="zh-CN"/>
                    </w:rPr>
                  </w:pPr>
                  <w:r>
                    <w:rPr>
                      <w:rFonts w:hint="default"/>
                      <w:color w:val="auto"/>
                      <w:u w:val="none"/>
                      <w:lang w:val="en-US" w:eastAsia="zh-CN"/>
                    </w:rPr>
                    <w:t>3</w:t>
                  </w:r>
                  <w:r>
                    <w:rPr>
                      <w:rFonts w:hint="eastAsia"/>
                      <w:color w:val="auto"/>
                      <w:u w:val="none"/>
                      <w:lang w:val="en-US" w:eastAsia="zh-CN"/>
                    </w:rPr>
                    <w:t>、选派有专业技能环保人员对排污口进行管理，做到责任明确、奖罚分明。</w:t>
                  </w:r>
                </w:p>
              </w:tc>
            </w:tr>
          </w:tbl>
          <w:p>
            <w:pPr>
              <w:pStyle w:val="49"/>
              <w:rPr>
                <w:rFonts w:hint="eastAsia"/>
                <w:color w:val="auto"/>
                <w:u w:val="none"/>
                <w:lang w:val="en-US" w:eastAsia="zh-CN"/>
              </w:rPr>
            </w:pPr>
            <w:r>
              <w:rPr>
                <w:rFonts w:hint="eastAsia"/>
                <w:color w:val="auto"/>
                <w:u w:val="none"/>
                <w:lang w:val="en-US" w:eastAsia="zh-CN"/>
              </w:rPr>
              <w:t xml:space="preserve">表 </w:t>
            </w:r>
            <w:r>
              <w:rPr>
                <w:rFonts w:hint="default"/>
                <w:color w:val="auto"/>
                <w:u w:val="none"/>
                <w:lang w:val="en-US" w:eastAsia="zh-CN"/>
              </w:rPr>
              <w:t xml:space="preserve">5-2 </w:t>
            </w:r>
            <w:r>
              <w:rPr>
                <w:rFonts w:hint="eastAsia"/>
                <w:color w:val="auto"/>
                <w:u w:val="none"/>
                <w:lang w:val="en-US" w:eastAsia="zh-CN"/>
              </w:rPr>
              <w:t>排污口图形符号（提示标志）一览表</w:t>
            </w:r>
          </w:p>
          <w:tbl>
            <w:tblPr>
              <w:tblStyle w:val="32"/>
              <w:tblW w:w="6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1650"/>
              <w:gridCol w:w="1548"/>
              <w:gridCol w:w="1390"/>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t>序号</w:t>
                  </w:r>
                </w:p>
              </w:tc>
              <w:tc>
                <w:tcPr>
                  <w:tcW w:w="1650"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t>提示图像符号</w:t>
                  </w:r>
                </w:p>
              </w:tc>
              <w:tc>
                <w:tcPr>
                  <w:tcW w:w="1548"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t>警告图像符号</w:t>
                  </w:r>
                </w:p>
              </w:tc>
              <w:tc>
                <w:tcPr>
                  <w:tcW w:w="1390"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t>名称</w:t>
                  </w:r>
                </w:p>
              </w:tc>
              <w:tc>
                <w:tcPr>
                  <w:tcW w:w="1390"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pStyle w:val="48"/>
                    <w:jc w:val="center"/>
                    <w:rPr>
                      <w:rFonts w:hint="default" w:eastAsia="宋体"/>
                      <w:color w:val="auto"/>
                      <w:u w:val="none"/>
                      <w:lang w:val="en-US" w:eastAsia="zh-CN"/>
                    </w:rPr>
                  </w:pPr>
                  <w:r>
                    <w:rPr>
                      <w:rFonts w:hint="eastAsia" w:eastAsia="宋体"/>
                      <w:color w:val="auto"/>
                      <w:u w:val="none"/>
                      <w:lang w:val="en-US" w:eastAsia="zh-CN"/>
                    </w:rPr>
                    <w:t>1</w:t>
                  </w:r>
                </w:p>
              </w:tc>
              <w:tc>
                <w:tcPr>
                  <w:tcW w:w="1650"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908685" cy="916940"/>
                        <wp:effectExtent l="0" t="0" r="5715" b="165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908685" cy="916940"/>
                                </a:xfrm>
                                <a:prstGeom prst="rect">
                                  <a:avLst/>
                                </a:prstGeom>
                                <a:noFill/>
                                <a:ln>
                                  <a:noFill/>
                                </a:ln>
                              </pic:spPr>
                            </pic:pic>
                          </a:graphicData>
                        </a:graphic>
                      </wp:inline>
                    </w:drawing>
                  </w:r>
                </w:p>
              </w:tc>
              <w:tc>
                <w:tcPr>
                  <w:tcW w:w="1548"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844550" cy="708025"/>
                        <wp:effectExtent l="0" t="0" r="12700" b="1587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0"/>
                                <a:stretch>
                                  <a:fillRect/>
                                </a:stretch>
                              </pic:blipFill>
                              <pic:spPr>
                                <a:xfrm>
                                  <a:off x="0" y="0"/>
                                  <a:ext cx="844550" cy="708025"/>
                                </a:xfrm>
                                <a:prstGeom prst="rect">
                                  <a:avLst/>
                                </a:prstGeom>
                                <a:noFill/>
                                <a:ln>
                                  <a:noFill/>
                                </a:ln>
                              </pic:spPr>
                            </pic:pic>
                          </a:graphicData>
                        </a:graphic>
                      </wp:inline>
                    </w:drawing>
                  </w:r>
                </w:p>
              </w:tc>
              <w:tc>
                <w:tcPr>
                  <w:tcW w:w="1390"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t>废气排放口</w:t>
                  </w:r>
                </w:p>
              </w:tc>
              <w:tc>
                <w:tcPr>
                  <w:tcW w:w="1390"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t>表示废气向大气排放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pStyle w:val="48"/>
                    <w:jc w:val="center"/>
                    <w:rPr>
                      <w:rFonts w:hint="default" w:eastAsia="宋体"/>
                      <w:color w:val="auto"/>
                      <w:u w:val="none"/>
                      <w:lang w:val="en-US" w:eastAsia="zh-CN"/>
                    </w:rPr>
                  </w:pPr>
                  <w:r>
                    <w:rPr>
                      <w:rFonts w:hint="eastAsia" w:eastAsia="宋体"/>
                      <w:color w:val="auto"/>
                      <w:u w:val="none"/>
                      <w:lang w:val="en-US" w:eastAsia="zh-CN"/>
                    </w:rPr>
                    <w:t>2</w:t>
                  </w:r>
                </w:p>
              </w:tc>
              <w:tc>
                <w:tcPr>
                  <w:tcW w:w="1650"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909955" cy="906780"/>
                        <wp:effectExtent l="0" t="0" r="4445"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1"/>
                                <a:stretch>
                                  <a:fillRect/>
                                </a:stretch>
                              </pic:blipFill>
                              <pic:spPr>
                                <a:xfrm>
                                  <a:off x="0" y="0"/>
                                  <a:ext cx="909955" cy="906780"/>
                                </a:xfrm>
                                <a:prstGeom prst="rect">
                                  <a:avLst/>
                                </a:prstGeom>
                                <a:noFill/>
                                <a:ln>
                                  <a:noFill/>
                                </a:ln>
                              </pic:spPr>
                            </pic:pic>
                          </a:graphicData>
                        </a:graphic>
                      </wp:inline>
                    </w:drawing>
                  </w:r>
                </w:p>
              </w:tc>
              <w:tc>
                <w:tcPr>
                  <w:tcW w:w="1548"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843915" cy="755650"/>
                        <wp:effectExtent l="0" t="0" r="13335" b="635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2"/>
                                <a:stretch>
                                  <a:fillRect/>
                                </a:stretch>
                              </pic:blipFill>
                              <pic:spPr>
                                <a:xfrm>
                                  <a:off x="0" y="0"/>
                                  <a:ext cx="843915" cy="755650"/>
                                </a:xfrm>
                                <a:prstGeom prst="rect">
                                  <a:avLst/>
                                </a:prstGeom>
                                <a:noFill/>
                                <a:ln>
                                  <a:noFill/>
                                </a:ln>
                              </pic:spPr>
                            </pic:pic>
                          </a:graphicData>
                        </a:graphic>
                      </wp:inline>
                    </w:drawing>
                  </w:r>
                </w:p>
              </w:tc>
              <w:tc>
                <w:tcPr>
                  <w:tcW w:w="1390"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t>废水排放口</w:t>
                  </w:r>
                </w:p>
              </w:tc>
              <w:tc>
                <w:tcPr>
                  <w:tcW w:w="1390"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t>表示废水向水环境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pStyle w:val="48"/>
                    <w:jc w:val="center"/>
                    <w:rPr>
                      <w:rFonts w:hint="default" w:eastAsia="宋体"/>
                      <w:color w:val="auto"/>
                      <w:u w:val="none"/>
                      <w:lang w:val="en-US" w:eastAsia="zh-CN"/>
                    </w:rPr>
                  </w:pPr>
                  <w:r>
                    <w:rPr>
                      <w:rFonts w:hint="eastAsia" w:eastAsia="宋体"/>
                      <w:color w:val="auto"/>
                      <w:u w:val="none"/>
                      <w:lang w:val="en-US" w:eastAsia="zh-CN"/>
                    </w:rPr>
                    <w:t>3</w:t>
                  </w:r>
                </w:p>
              </w:tc>
              <w:tc>
                <w:tcPr>
                  <w:tcW w:w="1650"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909955" cy="875665"/>
                        <wp:effectExtent l="0" t="0" r="4445" b="63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3"/>
                                <a:stretch>
                                  <a:fillRect/>
                                </a:stretch>
                              </pic:blipFill>
                              <pic:spPr>
                                <a:xfrm>
                                  <a:off x="0" y="0"/>
                                  <a:ext cx="909955" cy="875665"/>
                                </a:xfrm>
                                <a:prstGeom prst="rect">
                                  <a:avLst/>
                                </a:prstGeom>
                                <a:noFill/>
                                <a:ln>
                                  <a:noFill/>
                                </a:ln>
                              </pic:spPr>
                            </pic:pic>
                          </a:graphicData>
                        </a:graphic>
                      </wp:inline>
                    </w:drawing>
                  </w:r>
                </w:p>
              </w:tc>
              <w:tc>
                <w:tcPr>
                  <w:tcW w:w="1548"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845185" cy="712470"/>
                        <wp:effectExtent l="0" t="0" r="12065" b="1143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4"/>
                                <a:stretch>
                                  <a:fillRect/>
                                </a:stretch>
                              </pic:blipFill>
                              <pic:spPr>
                                <a:xfrm>
                                  <a:off x="0" y="0"/>
                                  <a:ext cx="845185" cy="712470"/>
                                </a:xfrm>
                                <a:prstGeom prst="rect">
                                  <a:avLst/>
                                </a:prstGeom>
                                <a:noFill/>
                                <a:ln>
                                  <a:noFill/>
                                </a:ln>
                              </pic:spPr>
                            </pic:pic>
                          </a:graphicData>
                        </a:graphic>
                      </wp:inline>
                    </w:drawing>
                  </w:r>
                </w:p>
              </w:tc>
              <w:tc>
                <w:tcPr>
                  <w:tcW w:w="1390"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t>一般固体废物储存</w:t>
                  </w:r>
                </w:p>
              </w:tc>
              <w:tc>
                <w:tcPr>
                  <w:tcW w:w="1390"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t>表示固废储存处置场所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pStyle w:val="48"/>
                    <w:jc w:val="center"/>
                    <w:rPr>
                      <w:rFonts w:hint="default" w:eastAsia="宋体"/>
                      <w:color w:val="auto"/>
                      <w:u w:val="none"/>
                      <w:lang w:val="en-US" w:eastAsia="zh-CN"/>
                    </w:rPr>
                  </w:pPr>
                  <w:r>
                    <w:rPr>
                      <w:rFonts w:hint="eastAsia" w:eastAsia="宋体"/>
                      <w:color w:val="auto"/>
                      <w:u w:val="none"/>
                      <w:lang w:val="en-US" w:eastAsia="zh-CN"/>
                    </w:rPr>
                    <w:t>4</w:t>
                  </w:r>
                </w:p>
              </w:tc>
              <w:tc>
                <w:tcPr>
                  <w:tcW w:w="1650"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909320" cy="891540"/>
                        <wp:effectExtent l="0" t="0" r="5080" b="381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5"/>
                                <a:stretch>
                                  <a:fillRect/>
                                </a:stretch>
                              </pic:blipFill>
                              <pic:spPr>
                                <a:xfrm>
                                  <a:off x="0" y="0"/>
                                  <a:ext cx="909320" cy="891540"/>
                                </a:xfrm>
                                <a:prstGeom prst="rect">
                                  <a:avLst/>
                                </a:prstGeom>
                                <a:noFill/>
                                <a:ln>
                                  <a:noFill/>
                                </a:ln>
                              </pic:spPr>
                            </pic:pic>
                          </a:graphicData>
                        </a:graphic>
                      </wp:inline>
                    </w:drawing>
                  </w:r>
                </w:p>
              </w:tc>
              <w:tc>
                <w:tcPr>
                  <w:tcW w:w="1548"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845185" cy="723900"/>
                        <wp:effectExtent l="0" t="0" r="12065"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6"/>
                                <a:stretch>
                                  <a:fillRect/>
                                </a:stretch>
                              </pic:blipFill>
                              <pic:spPr>
                                <a:xfrm>
                                  <a:off x="0" y="0"/>
                                  <a:ext cx="845185" cy="723900"/>
                                </a:xfrm>
                                <a:prstGeom prst="rect">
                                  <a:avLst/>
                                </a:prstGeom>
                                <a:noFill/>
                                <a:ln>
                                  <a:noFill/>
                                </a:ln>
                              </pic:spPr>
                            </pic:pic>
                          </a:graphicData>
                        </a:graphic>
                      </wp:inline>
                    </w:drawing>
                  </w:r>
                </w:p>
              </w:tc>
              <w:tc>
                <w:tcPr>
                  <w:tcW w:w="1390"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t>噪声源</w:t>
                  </w:r>
                </w:p>
              </w:tc>
              <w:tc>
                <w:tcPr>
                  <w:tcW w:w="1390"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pStyle w:val="48"/>
                    <w:jc w:val="center"/>
                    <w:rPr>
                      <w:rFonts w:hint="default" w:eastAsia="宋体"/>
                      <w:color w:val="auto"/>
                      <w:u w:val="none"/>
                      <w:lang w:val="en-US" w:eastAsia="zh-CN"/>
                    </w:rPr>
                  </w:pPr>
                  <w:r>
                    <w:rPr>
                      <w:rFonts w:hint="eastAsia" w:eastAsia="宋体"/>
                      <w:color w:val="auto"/>
                      <w:u w:val="none"/>
                      <w:lang w:val="en-US" w:eastAsia="zh-CN"/>
                    </w:rPr>
                    <w:t>5</w:t>
                  </w:r>
                </w:p>
              </w:tc>
              <w:tc>
                <w:tcPr>
                  <w:tcW w:w="1650" w:type="dxa"/>
                  <w:vAlign w:val="center"/>
                </w:tcPr>
                <w:p>
                  <w:pPr>
                    <w:pStyle w:val="48"/>
                    <w:jc w:val="center"/>
                    <w:rPr>
                      <w:rFonts w:hint="default" w:eastAsia="宋体"/>
                      <w:color w:val="auto"/>
                      <w:u w:val="none"/>
                      <w:lang w:val="en-US" w:eastAsia="zh-CN"/>
                    </w:rPr>
                  </w:pPr>
                  <w:r>
                    <w:rPr>
                      <w:rFonts w:hint="eastAsia" w:eastAsia="宋体"/>
                      <w:color w:val="auto"/>
                      <w:u w:val="none"/>
                      <w:lang w:val="en-US" w:eastAsia="zh-CN"/>
                    </w:rPr>
                    <w:t>/</w:t>
                  </w:r>
                </w:p>
              </w:tc>
              <w:tc>
                <w:tcPr>
                  <w:tcW w:w="1548"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844550" cy="666115"/>
                        <wp:effectExtent l="0" t="0" r="12700" b="63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7"/>
                                <a:stretch>
                                  <a:fillRect/>
                                </a:stretch>
                              </pic:blipFill>
                              <pic:spPr>
                                <a:xfrm>
                                  <a:off x="0" y="0"/>
                                  <a:ext cx="844550" cy="666115"/>
                                </a:xfrm>
                                <a:prstGeom prst="rect">
                                  <a:avLst/>
                                </a:prstGeom>
                                <a:noFill/>
                                <a:ln>
                                  <a:noFill/>
                                </a:ln>
                              </pic:spPr>
                            </pic:pic>
                          </a:graphicData>
                        </a:graphic>
                      </wp:inline>
                    </w:drawing>
                  </w:r>
                </w:p>
              </w:tc>
              <w:tc>
                <w:tcPr>
                  <w:tcW w:w="1390"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t>危险废物</w:t>
                  </w:r>
                </w:p>
              </w:tc>
              <w:tc>
                <w:tcPr>
                  <w:tcW w:w="1390" w:type="dxa"/>
                  <w:vAlign w:val="center"/>
                </w:tcPr>
                <w:p>
                  <w:pPr>
                    <w:pStyle w:val="48"/>
                    <w:jc w:val="center"/>
                    <w:rPr>
                      <w:rFonts w:hint="eastAsia" w:eastAsia="宋体"/>
                      <w:color w:val="auto"/>
                      <w:u w:val="none"/>
                      <w:lang w:val="en-US" w:eastAsia="zh-CN"/>
                    </w:rPr>
                  </w:pPr>
                  <w:r>
                    <w:rPr>
                      <w:rFonts w:hint="eastAsia" w:eastAsia="宋体"/>
                      <w:color w:val="auto"/>
                      <w:u w:val="none"/>
                      <w:lang w:val="en-US" w:eastAsia="zh-CN"/>
                    </w:rPr>
                    <w:t>危险废物贮存、处置场所</w:t>
                  </w:r>
                </w:p>
              </w:tc>
            </w:tr>
          </w:tbl>
          <w:p>
            <w:pPr>
              <w:widowControl/>
              <w:jc w:val="center"/>
              <w:rPr>
                <w:rFonts w:hint="default" w:eastAsia="宋体"/>
                <w:color w:val="000000" w:themeColor="text1"/>
                <w:sz w:val="24"/>
                <w:szCs w:val="24"/>
                <w:lang w:val="en-US" w:eastAsia="zh-CN"/>
                <w14:textFill>
                  <w14:solidFill>
                    <w14:schemeClr w14:val="tx1"/>
                  </w14:solidFill>
                </w14:textFill>
              </w:rPr>
            </w:pPr>
          </w:p>
        </w:tc>
      </w:tr>
    </w:tbl>
    <w:p>
      <w:pPr>
        <w:rPr>
          <w:color w:val="000000" w:themeColor="text1"/>
          <w14:textFill>
            <w14:solidFill>
              <w14:schemeClr w14:val="tx1"/>
            </w14:solidFill>
          </w14:textFill>
        </w:rPr>
        <w:sectPr>
          <w:pgSz w:w="11906" w:h="16838"/>
          <w:pgMar w:top="1440" w:right="1800" w:bottom="1440" w:left="1800" w:header="851" w:footer="851" w:gutter="0"/>
          <w:pgNumType w:fmt="decimal"/>
          <w:cols w:space="720" w:num="1"/>
          <w:docGrid w:linePitch="312" w:charSpace="0"/>
        </w:sectPr>
      </w:pPr>
      <w:r>
        <w:rPr>
          <w:color w:val="000000" w:themeColor="text1"/>
          <w14:textFill>
            <w14:solidFill>
              <w14:schemeClr w14:val="tx1"/>
            </w14:solidFill>
          </w14:textFill>
        </w:rPr>
        <w:br w:type="page"/>
      </w:r>
      <w:bookmarkStart w:id="71" w:name="_Toc19704"/>
      <w:bookmarkStart w:id="72" w:name="_Toc20273"/>
      <w:bookmarkStart w:id="73" w:name="_Toc24328"/>
      <w:bookmarkStart w:id="74" w:name="_Toc23000"/>
      <w:bookmarkStart w:id="75" w:name="_Toc6791"/>
      <w:bookmarkStart w:id="76" w:name="_Toc17826"/>
      <w:bookmarkStart w:id="77" w:name="_Toc12926"/>
      <w:bookmarkStart w:id="78" w:name="_Toc27518"/>
      <w:bookmarkStart w:id="79" w:name="_Toc12031"/>
      <w:bookmarkStart w:id="80" w:name="_Toc12687"/>
      <w:bookmarkStart w:id="81" w:name="_Toc14711"/>
      <w:bookmarkStart w:id="82" w:name="_Toc32647"/>
    </w:p>
    <w:p>
      <w:pPr>
        <w:pStyle w:val="2"/>
        <w:rPr>
          <w:color w:val="000000" w:themeColor="text1"/>
          <w14:textFill>
            <w14:solidFill>
              <w14:schemeClr w14:val="tx1"/>
            </w14:solidFill>
          </w14:textFill>
        </w:rPr>
      </w:pPr>
      <w:bookmarkStart w:id="83" w:name="_Toc19112"/>
      <w:bookmarkStart w:id="84" w:name="_Toc13080"/>
      <w:r>
        <w:rPr>
          <w:rFonts w:hint="eastAsia"/>
          <w:color w:val="000000" w:themeColor="text1"/>
          <w14:textFill>
            <w14:solidFill>
              <w14:schemeClr w14:val="tx1"/>
            </w14:solidFill>
          </w14:textFill>
        </w:rPr>
        <w:t>六、结论</w:t>
      </w:r>
      <w:bookmarkEnd w:id="71"/>
      <w:bookmarkEnd w:id="72"/>
      <w:bookmarkEnd w:id="73"/>
      <w:bookmarkEnd w:id="74"/>
      <w:bookmarkEnd w:id="75"/>
      <w:bookmarkEnd w:id="76"/>
      <w:bookmarkEnd w:id="77"/>
      <w:bookmarkEnd w:id="78"/>
      <w:bookmarkEnd w:id="79"/>
      <w:bookmarkEnd w:id="80"/>
      <w:bookmarkEnd w:id="81"/>
      <w:bookmarkEnd w:id="82"/>
      <w:bookmarkEnd w:id="83"/>
      <w:bookmarkEnd w:id="84"/>
    </w:p>
    <w:tbl>
      <w:tblPr>
        <w:tblStyle w:val="31"/>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58" w:hRule="atLeast"/>
          <w:jc w:val="center"/>
        </w:trPr>
        <w:tc>
          <w:tcPr>
            <w:tcW w:w="8865" w:type="dxa"/>
            <w:noWrap/>
          </w:tcPr>
          <w:p>
            <w:pPr>
              <w:keepNext w:val="0"/>
              <w:keepLines w:val="0"/>
              <w:pageBreakBefore w:val="0"/>
              <w:widowControl w:val="0"/>
              <w:kinsoku/>
              <w:wordWrap/>
              <w:overflowPunct/>
              <w:topLinePunct w:val="0"/>
              <w:autoSpaceDE w:val="0"/>
              <w:autoSpaceDN w:val="0"/>
              <w:bidi w:val="0"/>
              <w:adjustRightInd w:val="0"/>
              <w:snapToGrid w:val="0"/>
              <w:spacing w:before="313" w:beforeLines="100"/>
              <w:ind w:firstLine="480" w:firstLineChars="200"/>
              <w:jc w:val="both"/>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临湘市桃林镇中心卫生院(临湘市桃林镇中心妇幼保健计划生育服务站）</w:t>
            </w:r>
            <w:r>
              <w:rPr>
                <w:color w:val="000000" w:themeColor="text1"/>
                <w14:textFill>
                  <w14:solidFill>
                    <w14:schemeClr w14:val="tx1"/>
                  </w14:solidFill>
                </w14:textFill>
              </w:rPr>
              <w:t>建设符项目合国家及卫生部相关的产业政策</w:t>
            </w:r>
            <w:r>
              <w:rPr>
                <w:color w:val="auto"/>
              </w:rPr>
              <w:t>以及相关规划</w:t>
            </w:r>
            <w:r>
              <w:rPr>
                <w:color w:val="000000" w:themeColor="text1"/>
                <w14:textFill>
                  <w14:solidFill>
                    <w14:schemeClr w14:val="tx1"/>
                  </w14:solidFill>
                </w14:textFill>
              </w:rPr>
              <w:t>，</w:t>
            </w:r>
            <w:r>
              <w:rPr>
                <w:color w:val="auto"/>
              </w:rPr>
              <w:t>选址合理</w:t>
            </w:r>
            <w:r>
              <w:rPr>
                <w:color w:val="000000" w:themeColor="text1"/>
                <w14:textFill>
                  <w14:solidFill>
                    <w14:schemeClr w14:val="tx1"/>
                  </w14:solidFill>
                </w14:textFill>
              </w:rPr>
              <w:t>。建设单位应严格落实环境影响报告表提出的环保对策及措施，排放污染物能得到合理处置，工程对区域环境空气，水环境，声环境均不会产生明显的不利影响，对区域环境质量影响很小，风险防范措施得当，从环保角度考虑，该项目建设是可行的。</w:t>
            </w:r>
          </w:p>
          <w:p>
            <w:pPr>
              <w:pStyle w:val="8"/>
              <w:ind w:left="480"/>
              <w:jc w:val="both"/>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41"/>
              <w:rPr>
                <w:color w:val="000000" w:themeColor="text1"/>
                <w:kern w:val="2"/>
                <w14:textFill>
                  <w14:solidFill>
                    <w14:schemeClr w14:val="tx1"/>
                  </w14:solidFill>
                </w14:textFill>
              </w:rPr>
            </w:pPr>
          </w:p>
          <w:p>
            <w:pPr>
              <w:pStyle w:val="42"/>
              <w:ind w:firstLine="36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41"/>
              <w:rPr>
                <w:color w:val="000000" w:themeColor="text1"/>
                <w:kern w:val="2"/>
                <w14:textFill>
                  <w14:solidFill>
                    <w14:schemeClr w14:val="tx1"/>
                  </w14:solidFill>
                </w14:textFill>
              </w:rPr>
            </w:pPr>
          </w:p>
          <w:p>
            <w:pPr>
              <w:pStyle w:val="42"/>
              <w:ind w:firstLine="36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41"/>
              <w:rPr>
                <w:color w:val="000000" w:themeColor="text1"/>
                <w:kern w:val="2"/>
                <w14:textFill>
                  <w14:solidFill>
                    <w14:schemeClr w14:val="tx1"/>
                  </w14:solidFill>
                </w14:textFill>
              </w:rPr>
            </w:pPr>
          </w:p>
          <w:p>
            <w:pPr>
              <w:pStyle w:val="42"/>
              <w:ind w:firstLine="36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41"/>
              <w:rPr>
                <w:color w:val="000000" w:themeColor="text1"/>
                <w:kern w:val="2"/>
                <w14:textFill>
                  <w14:solidFill>
                    <w14:schemeClr w14:val="tx1"/>
                  </w14:solidFill>
                </w14:textFill>
              </w:rPr>
            </w:pPr>
          </w:p>
          <w:p>
            <w:pPr>
              <w:pStyle w:val="42"/>
              <w:ind w:firstLine="36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41"/>
              <w:rPr>
                <w:color w:val="000000" w:themeColor="text1"/>
                <w:kern w:val="2"/>
                <w14:textFill>
                  <w14:solidFill>
                    <w14:schemeClr w14:val="tx1"/>
                  </w14:solidFill>
                </w14:textFill>
              </w:rPr>
            </w:pPr>
          </w:p>
          <w:p>
            <w:pPr>
              <w:pStyle w:val="42"/>
              <w:ind w:firstLine="36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41"/>
              <w:rPr>
                <w:color w:val="000000" w:themeColor="text1"/>
                <w:kern w:val="2"/>
                <w14:textFill>
                  <w14:solidFill>
                    <w14:schemeClr w14:val="tx1"/>
                  </w14:solidFill>
                </w14:textFill>
              </w:rPr>
            </w:pPr>
          </w:p>
          <w:p>
            <w:pPr>
              <w:pStyle w:val="42"/>
              <w:ind w:firstLine="36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41"/>
              <w:rPr>
                <w:color w:val="000000" w:themeColor="text1"/>
                <w:kern w:val="2"/>
                <w14:textFill>
                  <w14:solidFill>
                    <w14:schemeClr w14:val="tx1"/>
                  </w14:solidFill>
                </w14:textFill>
              </w:rPr>
            </w:pPr>
          </w:p>
        </w:tc>
      </w:tr>
    </w:tbl>
    <w:p>
      <w:pPr>
        <w:rPr>
          <w:rFonts w:ascii="宋体"/>
          <w:color w:val="000000" w:themeColor="text1"/>
          <w14:textFill>
            <w14:solidFill>
              <w14:schemeClr w14:val="tx1"/>
            </w14:solidFill>
          </w14:textFill>
        </w:rPr>
        <w:sectPr>
          <w:pgSz w:w="11906" w:h="16838"/>
          <w:pgMar w:top="1440" w:right="1800" w:bottom="1440" w:left="1800" w:header="851" w:footer="851" w:gutter="0"/>
          <w:pgNumType w:fmt="decimal"/>
          <w:cols w:space="720" w:num="1"/>
          <w:docGrid w:linePitch="312" w:charSpace="0"/>
        </w:sectPr>
      </w:pPr>
    </w:p>
    <w:p>
      <w:pPr>
        <w:pStyle w:val="3"/>
        <w:jc w:val="center"/>
        <w:rPr>
          <w:color w:val="000000" w:themeColor="text1"/>
          <w14:textFill>
            <w14:solidFill>
              <w14:schemeClr w14:val="tx1"/>
            </w14:solidFill>
          </w14:textFill>
        </w:rPr>
      </w:pPr>
      <w:bookmarkStart w:id="85" w:name="_Toc14201"/>
      <w:bookmarkStart w:id="86" w:name="_Toc15497"/>
      <w:bookmarkStart w:id="87" w:name="_Toc14030"/>
      <w:bookmarkStart w:id="88" w:name="_Toc3822"/>
      <w:bookmarkStart w:id="89" w:name="_Toc15741"/>
      <w:bookmarkStart w:id="90" w:name="_Toc14339"/>
      <w:r>
        <w:rPr>
          <w:rFonts w:hint="eastAsia"/>
          <w:color w:val="000000" w:themeColor="text1"/>
          <w14:textFill>
            <w14:solidFill>
              <w14:schemeClr w14:val="tx1"/>
            </w14:solidFill>
          </w14:textFill>
        </w:rPr>
        <w:t>建设项目污染物排放量汇总表</w:t>
      </w:r>
      <w:bookmarkEnd w:id="85"/>
      <w:bookmarkEnd w:id="86"/>
      <w:bookmarkEnd w:id="87"/>
      <w:bookmarkEnd w:id="88"/>
      <w:bookmarkEnd w:id="89"/>
      <w:bookmarkEnd w:id="90"/>
    </w:p>
    <w:tbl>
      <w:tblPr>
        <w:tblStyle w:val="31"/>
        <w:tblW w:w="1401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284"/>
        <w:gridCol w:w="1854"/>
        <w:gridCol w:w="1137"/>
        <w:gridCol w:w="2030"/>
        <w:gridCol w:w="1925"/>
        <w:gridCol w:w="1794"/>
        <w:gridCol w:w="2279"/>
        <w:gridCol w:w="10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tcBorders>
              <w:tl2br w:val="single" w:color="auto" w:sz="4" w:space="0"/>
            </w:tcBorders>
            <w:noWrap/>
            <w:tcMar>
              <w:left w:w="28" w:type="dxa"/>
              <w:right w:w="28" w:type="dxa"/>
            </w:tcMar>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分类</w:t>
            </w:r>
          </w:p>
        </w:tc>
        <w:tc>
          <w:tcPr>
            <w:tcW w:w="1284" w:type="dxa"/>
            <w:noWrap/>
            <w:tcMar>
              <w:left w:w="28" w:type="dxa"/>
              <w:right w:w="28" w:type="dxa"/>
            </w:tcMar>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污染物名称</w:t>
            </w:r>
          </w:p>
        </w:tc>
        <w:tc>
          <w:tcPr>
            <w:tcW w:w="1854" w:type="dxa"/>
            <w:noWrap/>
            <w:tcMar>
              <w:left w:w="28" w:type="dxa"/>
              <w:right w:w="28" w:type="dxa"/>
            </w:tcMar>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现有工程排放量（固</w:t>
            </w:r>
            <w:r>
              <w:rPr>
                <w:rFonts w:hint="eastAsia"/>
                <w:color w:val="000000" w:themeColor="text1"/>
                <w14:textFill>
                  <w14:solidFill>
                    <w14:schemeClr w14:val="tx1"/>
                  </w14:solidFill>
                </w14:textFill>
              </w:rPr>
              <w:t>体</w:t>
            </w:r>
            <w:r>
              <w:rPr>
                <w:color w:val="000000" w:themeColor="text1"/>
                <w14:textFill>
                  <w14:solidFill>
                    <w14:schemeClr w14:val="tx1"/>
                  </w14:solidFill>
                </w14:textFill>
              </w:rPr>
              <w:t>废</w:t>
            </w:r>
            <w:r>
              <w:rPr>
                <w:rFonts w:hint="eastAsia"/>
                <w:color w:val="000000" w:themeColor="text1"/>
                <w14:textFill>
                  <w14:solidFill>
                    <w14:schemeClr w14:val="tx1"/>
                  </w14:solidFill>
                </w14:textFill>
              </w:rPr>
              <w:t>物</w:t>
            </w:r>
            <w:r>
              <w:rPr>
                <w:color w:val="000000" w:themeColor="text1"/>
                <w14:textFill>
                  <w14:solidFill>
                    <w14:schemeClr w14:val="tx1"/>
                  </w14:solidFill>
                </w14:textFill>
              </w:rPr>
              <w:t>产生量）</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①</w:t>
            </w:r>
            <w:r>
              <w:rPr>
                <w:color w:val="000000" w:themeColor="text1"/>
                <w14:textFill>
                  <w14:solidFill>
                    <w14:schemeClr w14:val="tx1"/>
                  </w14:solidFill>
                </w14:textFill>
              </w:rPr>
              <w:fldChar w:fldCharType="end"/>
            </w:r>
          </w:p>
        </w:tc>
        <w:tc>
          <w:tcPr>
            <w:tcW w:w="1137" w:type="dxa"/>
            <w:noWrap/>
            <w:tcMar>
              <w:left w:w="28" w:type="dxa"/>
              <w:right w:w="28" w:type="dxa"/>
            </w:tcMar>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现有工程许可排放量</w:t>
            </w:r>
          </w:p>
          <w:p>
            <w:pPr>
              <w:pStyle w:val="48"/>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②</w:t>
            </w:r>
            <w:r>
              <w:rPr>
                <w:color w:val="000000" w:themeColor="text1"/>
                <w14:textFill>
                  <w14:solidFill>
                    <w14:schemeClr w14:val="tx1"/>
                  </w14:solidFill>
                </w14:textFill>
              </w:rPr>
              <w:fldChar w:fldCharType="end"/>
            </w:r>
          </w:p>
        </w:tc>
        <w:tc>
          <w:tcPr>
            <w:tcW w:w="2030" w:type="dxa"/>
            <w:noWrap/>
            <w:tcMar>
              <w:left w:w="28" w:type="dxa"/>
              <w:right w:w="28" w:type="dxa"/>
            </w:tcMar>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在建工程排放量（固</w:t>
            </w:r>
            <w:r>
              <w:rPr>
                <w:rFonts w:hint="eastAsia"/>
                <w:color w:val="000000" w:themeColor="text1"/>
                <w14:textFill>
                  <w14:solidFill>
                    <w14:schemeClr w14:val="tx1"/>
                  </w14:solidFill>
                </w14:textFill>
              </w:rPr>
              <w:t>体</w:t>
            </w:r>
            <w:r>
              <w:rPr>
                <w:color w:val="000000" w:themeColor="text1"/>
                <w14:textFill>
                  <w14:solidFill>
                    <w14:schemeClr w14:val="tx1"/>
                  </w14:solidFill>
                </w14:textFill>
              </w:rPr>
              <w:t>废</w:t>
            </w:r>
            <w:r>
              <w:rPr>
                <w:rFonts w:hint="eastAsia"/>
                <w:color w:val="000000" w:themeColor="text1"/>
                <w14:textFill>
                  <w14:solidFill>
                    <w14:schemeClr w14:val="tx1"/>
                  </w14:solidFill>
                </w14:textFill>
              </w:rPr>
              <w:t>物</w:t>
            </w:r>
            <w:r>
              <w:rPr>
                <w:color w:val="000000" w:themeColor="text1"/>
                <w14:textFill>
                  <w14:solidFill>
                    <w14:schemeClr w14:val="tx1"/>
                  </w14:solidFill>
                </w14:textFill>
              </w:rPr>
              <w:t>产生量）</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③</w:t>
            </w:r>
            <w:r>
              <w:rPr>
                <w:color w:val="000000" w:themeColor="text1"/>
                <w14:textFill>
                  <w14:solidFill>
                    <w14:schemeClr w14:val="tx1"/>
                  </w14:solidFill>
                </w14:textFill>
              </w:rPr>
              <w:fldChar w:fldCharType="end"/>
            </w:r>
          </w:p>
        </w:tc>
        <w:tc>
          <w:tcPr>
            <w:tcW w:w="1925" w:type="dxa"/>
            <w:noWrap/>
            <w:tcMar>
              <w:left w:w="28" w:type="dxa"/>
              <w:right w:w="28" w:type="dxa"/>
            </w:tcMar>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本项目排放量（固</w:t>
            </w:r>
            <w:r>
              <w:rPr>
                <w:rFonts w:hint="eastAsia"/>
                <w:color w:val="000000" w:themeColor="text1"/>
                <w14:textFill>
                  <w14:solidFill>
                    <w14:schemeClr w14:val="tx1"/>
                  </w14:solidFill>
                </w14:textFill>
              </w:rPr>
              <w:t>体</w:t>
            </w:r>
            <w:r>
              <w:rPr>
                <w:color w:val="000000" w:themeColor="text1"/>
                <w14:textFill>
                  <w14:solidFill>
                    <w14:schemeClr w14:val="tx1"/>
                  </w14:solidFill>
                </w14:textFill>
              </w:rPr>
              <w:t>废</w:t>
            </w:r>
            <w:r>
              <w:rPr>
                <w:rFonts w:hint="eastAsia"/>
                <w:color w:val="000000" w:themeColor="text1"/>
                <w14:textFill>
                  <w14:solidFill>
                    <w14:schemeClr w14:val="tx1"/>
                  </w14:solidFill>
                </w14:textFill>
              </w:rPr>
              <w:t>物</w:t>
            </w:r>
            <w:r>
              <w:rPr>
                <w:color w:val="000000" w:themeColor="text1"/>
                <w14:textFill>
                  <w14:solidFill>
                    <w14:schemeClr w14:val="tx1"/>
                  </w14:solidFill>
                </w14:textFill>
              </w:rPr>
              <w:t>产生量）</w:t>
            </w:r>
            <w:r>
              <w:rPr>
                <w:rFonts w:hint="eastAsia" w:ascii="宋体" w:hAnsi="宋体" w:cs="宋体"/>
                <w:color w:val="000000" w:themeColor="text1"/>
                <w14:textFill>
                  <w14:solidFill>
                    <w14:schemeClr w14:val="tx1"/>
                  </w14:solidFill>
                </w14:textFill>
              </w:rPr>
              <w:t>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4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④</w:t>
            </w:r>
            <w:r>
              <w:rPr>
                <w:color w:val="000000" w:themeColor="text1"/>
                <w14:textFill>
                  <w14:solidFill>
                    <w14:schemeClr w14:val="tx1"/>
                  </w14:solidFill>
                </w14:textFill>
              </w:rPr>
              <w:fldChar w:fldCharType="end"/>
            </w:r>
          </w:p>
        </w:tc>
        <w:tc>
          <w:tcPr>
            <w:tcW w:w="1794" w:type="dxa"/>
            <w:noWrap/>
            <w:tcMar>
              <w:left w:w="28" w:type="dxa"/>
              <w:right w:w="28" w:type="dxa"/>
            </w:tcMar>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以新带老削减量（新建项目不填）</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5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⑤</w:t>
            </w:r>
            <w:r>
              <w:rPr>
                <w:color w:val="000000" w:themeColor="text1"/>
                <w14:textFill>
                  <w14:solidFill>
                    <w14:schemeClr w14:val="tx1"/>
                  </w14:solidFill>
                </w14:textFill>
              </w:rPr>
              <w:fldChar w:fldCharType="end"/>
            </w:r>
          </w:p>
        </w:tc>
        <w:tc>
          <w:tcPr>
            <w:tcW w:w="2279" w:type="dxa"/>
            <w:noWrap/>
            <w:tcMar>
              <w:left w:w="28" w:type="dxa"/>
              <w:right w:w="28" w:type="dxa"/>
            </w:tcMar>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本项目建成后</w:t>
            </w:r>
            <w:r>
              <w:rPr>
                <w:rFonts w:hint="eastAsia"/>
                <w:color w:val="000000" w:themeColor="text1"/>
                <w14:textFill>
                  <w14:solidFill>
                    <w14:schemeClr w14:val="tx1"/>
                  </w14:solidFill>
                </w14:textFill>
              </w:rPr>
              <w:t>全厂</w:t>
            </w:r>
            <w:r>
              <w:rPr>
                <w:color w:val="000000" w:themeColor="text1"/>
                <w14:textFill>
                  <w14:solidFill>
                    <w14:schemeClr w14:val="tx1"/>
                  </w14:solidFill>
                </w14:textFill>
              </w:rPr>
              <w:t>排放量（固</w:t>
            </w:r>
            <w:r>
              <w:rPr>
                <w:rFonts w:hint="eastAsia"/>
                <w:color w:val="000000" w:themeColor="text1"/>
                <w14:textFill>
                  <w14:solidFill>
                    <w14:schemeClr w14:val="tx1"/>
                  </w14:solidFill>
                </w14:textFill>
              </w:rPr>
              <w:t>体</w:t>
            </w:r>
            <w:r>
              <w:rPr>
                <w:color w:val="000000" w:themeColor="text1"/>
                <w14:textFill>
                  <w14:solidFill>
                    <w14:schemeClr w14:val="tx1"/>
                  </w14:solidFill>
                </w14:textFill>
              </w:rPr>
              <w:t>废</w:t>
            </w:r>
            <w:r>
              <w:rPr>
                <w:rFonts w:hint="eastAsia"/>
                <w:color w:val="000000" w:themeColor="text1"/>
                <w14:textFill>
                  <w14:solidFill>
                    <w14:schemeClr w14:val="tx1"/>
                  </w14:solidFill>
                </w14:textFill>
              </w:rPr>
              <w:t>物</w:t>
            </w:r>
            <w:r>
              <w:rPr>
                <w:color w:val="000000" w:themeColor="text1"/>
                <w14:textFill>
                  <w14:solidFill>
                    <w14:schemeClr w14:val="tx1"/>
                  </w14:solidFill>
                </w14:textFill>
              </w:rPr>
              <w:t>产生量）</w:t>
            </w:r>
            <w:r>
              <w:rPr>
                <w:rFonts w:hint="eastAsia" w:ascii="宋体" w:hAnsi="宋体" w:cs="宋体"/>
                <w:color w:val="000000" w:themeColor="text1"/>
                <w14:textFill>
                  <w14:solidFill>
                    <w14:schemeClr w14:val="tx1"/>
                  </w14:solidFill>
                </w14:textFill>
              </w:rPr>
              <w:t>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6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⑥</w:t>
            </w:r>
            <w:r>
              <w:rPr>
                <w:color w:val="000000" w:themeColor="text1"/>
                <w14:textFill>
                  <w14:solidFill>
                    <w14:schemeClr w14:val="tx1"/>
                  </w14:solidFill>
                </w14:textFill>
              </w:rPr>
              <w:fldChar w:fldCharType="end"/>
            </w:r>
          </w:p>
        </w:tc>
        <w:tc>
          <w:tcPr>
            <w:tcW w:w="1053" w:type="dxa"/>
            <w:noWrap/>
            <w:tcMar>
              <w:left w:w="28" w:type="dxa"/>
              <w:right w:w="28" w:type="dxa"/>
            </w:tcMar>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变化量</w:t>
            </w:r>
          </w:p>
          <w:p>
            <w:pPr>
              <w:pStyle w:val="48"/>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7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⑦</w:t>
            </w:r>
            <w:r>
              <w:rPr>
                <w:color w:val="000000" w:themeColor="text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662" w:type="dxa"/>
            <w:vMerge w:val="restart"/>
            <w:noWrap/>
            <w:vAlign w:val="center"/>
          </w:tcPr>
          <w:p>
            <w:pPr>
              <w:pStyle w:val="48"/>
              <w:rPr>
                <w:color w:val="000000" w:themeColor="text1"/>
                <w14:textFill>
                  <w14:solidFill>
                    <w14:schemeClr w14:val="tx1"/>
                  </w14:solidFill>
                </w14:textFill>
              </w:rPr>
            </w:pPr>
            <w:r>
              <w:rPr>
                <w:rFonts w:ascii="Times New Roman" w:hAnsi="Times New Roman"/>
                <w:snapToGrid w:val="0"/>
                <w:color w:val="auto"/>
                <w:kern w:val="21"/>
                <w:sz w:val="21"/>
                <w:szCs w:val="21"/>
                <w:u w:val="none"/>
              </w:rPr>
              <w:t>废气</w:t>
            </w:r>
          </w:p>
        </w:tc>
        <w:tc>
          <w:tcPr>
            <w:tcW w:w="128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p>
        </w:tc>
        <w:tc>
          <w:tcPr>
            <w:tcW w:w="1854" w:type="dxa"/>
            <w:noWrap/>
            <w:vAlign w:val="center"/>
          </w:tcPr>
          <w:p>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w:t>
            </w:r>
          </w:p>
        </w:tc>
        <w:tc>
          <w:tcPr>
            <w:tcW w:w="1137" w:type="dxa"/>
            <w:noWrap/>
            <w:vAlign w:val="center"/>
          </w:tcPr>
          <w:p>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w:t>
            </w:r>
          </w:p>
        </w:tc>
        <w:tc>
          <w:tcPr>
            <w:tcW w:w="2030"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925" w:type="dxa"/>
            <w:noWrap/>
            <w:vAlign w:val="center"/>
          </w:tcPr>
          <w:p>
            <w:pPr>
              <w:pStyle w:val="48"/>
              <w:rPr>
                <w:rFonts w:hint="default"/>
                <w:color w:val="000000" w:themeColor="text1"/>
                <w:kern w:val="2"/>
                <w:lang w:val="en-US" w:eastAsia="zh-CN"/>
                <w14:textFill>
                  <w14:solidFill>
                    <w14:schemeClr w14:val="tx1"/>
                  </w14:solidFill>
                </w14:textFill>
              </w:rPr>
            </w:pPr>
            <w:r>
              <w:rPr>
                <w:rFonts w:hint="eastAsia"/>
                <w:color w:val="000000" w:themeColor="text1"/>
                <w:kern w:val="2"/>
                <w:lang w:val="en-US" w:eastAsia="zh-CN"/>
                <w14:textFill>
                  <w14:solidFill>
                    <w14:schemeClr w14:val="tx1"/>
                  </w14:solidFill>
                </w14:textFill>
              </w:rPr>
              <w:t>0.00081</w:t>
            </w:r>
          </w:p>
        </w:tc>
        <w:tc>
          <w:tcPr>
            <w:tcW w:w="179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2279" w:type="dxa"/>
            <w:noWrap/>
            <w:vAlign w:val="center"/>
          </w:tcPr>
          <w:p>
            <w:pPr>
              <w:pStyle w:val="48"/>
              <w:rPr>
                <w:color w:val="000000" w:themeColor="text1"/>
                <w14:textFill>
                  <w14:solidFill>
                    <w14:schemeClr w14:val="tx1"/>
                  </w14:solidFill>
                </w14:textFill>
              </w:rPr>
            </w:pPr>
            <w:r>
              <w:rPr>
                <w:rFonts w:hint="eastAsia"/>
                <w:color w:val="000000" w:themeColor="text1"/>
                <w:kern w:val="2"/>
                <w:lang w:val="en-US" w:eastAsia="zh-CN"/>
                <w14:textFill>
                  <w14:solidFill>
                    <w14:schemeClr w14:val="tx1"/>
                  </w14:solidFill>
                </w14:textFill>
              </w:rPr>
              <w:t>0.00081</w:t>
            </w:r>
          </w:p>
        </w:tc>
        <w:tc>
          <w:tcPr>
            <w:tcW w:w="1053" w:type="dxa"/>
            <w:noWrap/>
            <w:vAlign w:val="center"/>
          </w:tcPr>
          <w:p>
            <w:pPr>
              <w:pStyle w:val="48"/>
              <w:rPr>
                <w:rFonts w:hint="eastAsia" w:eastAsia="宋体"/>
                <w:color w:val="000000" w:themeColor="text1"/>
                <w:lang w:val="en-US" w:eastAsia="zh-CN"/>
                <w14:textFill>
                  <w14:solidFill>
                    <w14:schemeClr w14:val="tx1"/>
                  </w14:solidFill>
                </w14:textFill>
              </w:rPr>
            </w:pPr>
            <w:r>
              <w:rPr>
                <w:rFonts w:hint="eastAsia"/>
                <w:color w:val="000000" w:themeColor="text1"/>
                <w:kern w:val="2"/>
                <w:lang w:val="en-US" w:eastAsia="zh-CN"/>
                <w14:textFill>
                  <w14:solidFill>
                    <w14:schemeClr w14:val="tx1"/>
                  </w14:solidFill>
                </w14:textFill>
              </w:rPr>
              <w:t>+0.00081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62" w:type="dxa"/>
            <w:vMerge w:val="continue"/>
            <w:noWrap/>
            <w:vAlign w:val="center"/>
          </w:tcPr>
          <w:p>
            <w:pPr>
              <w:pStyle w:val="48"/>
              <w:rPr>
                <w:color w:val="000000" w:themeColor="text1"/>
                <w14:textFill>
                  <w14:solidFill>
                    <w14:schemeClr w14:val="tx1"/>
                  </w14:solidFill>
                </w14:textFill>
              </w:rPr>
            </w:pPr>
          </w:p>
        </w:tc>
        <w:tc>
          <w:tcPr>
            <w:tcW w:w="128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NH</w:t>
            </w:r>
            <w:r>
              <w:rPr>
                <w:rFonts w:hint="eastAsia"/>
                <w:color w:val="000000" w:themeColor="text1"/>
                <w:vertAlign w:val="subscript"/>
                <w14:textFill>
                  <w14:solidFill>
                    <w14:schemeClr w14:val="tx1"/>
                  </w14:solidFill>
                </w14:textFill>
              </w:rPr>
              <w:t>3</w:t>
            </w:r>
          </w:p>
        </w:tc>
        <w:tc>
          <w:tcPr>
            <w:tcW w:w="1854" w:type="dxa"/>
            <w:noWrap/>
            <w:vAlign w:val="center"/>
          </w:tcPr>
          <w:p>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w:t>
            </w:r>
          </w:p>
        </w:tc>
        <w:tc>
          <w:tcPr>
            <w:tcW w:w="1137" w:type="dxa"/>
            <w:noWrap/>
            <w:vAlign w:val="center"/>
          </w:tcPr>
          <w:p>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w:t>
            </w:r>
          </w:p>
        </w:tc>
        <w:tc>
          <w:tcPr>
            <w:tcW w:w="2030"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925" w:type="dxa"/>
            <w:noWrap/>
            <w:vAlign w:val="center"/>
          </w:tcPr>
          <w:p>
            <w:pPr>
              <w:pStyle w:val="48"/>
              <w:rPr>
                <w:rFonts w:hint="default"/>
                <w:color w:val="000000" w:themeColor="text1"/>
                <w:kern w:val="2"/>
                <w:lang w:val="en-US" w:eastAsia="zh-CN"/>
                <w14:textFill>
                  <w14:solidFill>
                    <w14:schemeClr w14:val="tx1"/>
                  </w14:solidFill>
                </w14:textFill>
              </w:rPr>
            </w:pPr>
            <w:r>
              <w:rPr>
                <w:rFonts w:hint="eastAsia"/>
                <w:color w:val="000000" w:themeColor="text1"/>
                <w:kern w:val="2"/>
                <w:lang w:val="en-US" w:eastAsia="zh-CN"/>
                <w14:textFill>
                  <w14:solidFill>
                    <w14:schemeClr w14:val="tx1"/>
                  </w14:solidFill>
                </w14:textFill>
              </w:rPr>
              <w:t>0.000031</w:t>
            </w:r>
          </w:p>
        </w:tc>
        <w:tc>
          <w:tcPr>
            <w:tcW w:w="179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2279" w:type="dxa"/>
            <w:noWrap/>
            <w:vAlign w:val="center"/>
          </w:tcPr>
          <w:p>
            <w:pPr>
              <w:pStyle w:val="48"/>
              <w:rPr>
                <w:color w:val="000000" w:themeColor="text1"/>
                <w14:textFill>
                  <w14:solidFill>
                    <w14:schemeClr w14:val="tx1"/>
                  </w14:solidFill>
                </w14:textFill>
              </w:rPr>
            </w:pPr>
            <w:r>
              <w:rPr>
                <w:rFonts w:hint="eastAsia"/>
                <w:color w:val="000000" w:themeColor="text1"/>
                <w:kern w:val="2"/>
                <w:lang w:val="en-US" w:eastAsia="zh-CN"/>
                <w14:textFill>
                  <w14:solidFill>
                    <w14:schemeClr w14:val="tx1"/>
                  </w14:solidFill>
                </w14:textFill>
              </w:rPr>
              <w:t>0.000031</w:t>
            </w:r>
          </w:p>
        </w:tc>
        <w:tc>
          <w:tcPr>
            <w:tcW w:w="1053" w:type="dxa"/>
            <w:noWrap/>
            <w:vAlign w:val="center"/>
          </w:tcPr>
          <w:p>
            <w:pPr>
              <w:pStyle w:val="48"/>
              <w:rPr>
                <w:color w:val="000000" w:themeColor="text1"/>
                <w14:textFill>
                  <w14:solidFill>
                    <w14:schemeClr w14:val="tx1"/>
                  </w14:solidFill>
                </w14:textFill>
              </w:rPr>
            </w:pPr>
            <w:r>
              <w:rPr>
                <w:rFonts w:hint="eastAsia"/>
                <w:color w:val="000000" w:themeColor="text1"/>
                <w:kern w:val="2"/>
                <w:lang w:val="en-US" w:eastAsia="zh-CN"/>
                <w14:textFill>
                  <w14:solidFill>
                    <w14:schemeClr w14:val="tx1"/>
                  </w14:solidFill>
                </w14:textFill>
              </w:rPr>
              <w:t>+0.000031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restart"/>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1284" w:type="dxa"/>
            <w:noWrap/>
            <w:vAlign w:val="center"/>
          </w:tcPr>
          <w:p>
            <w:pPr>
              <w:pStyle w:val="48"/>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水量</w:t>
            </w:r>
          </w:p>
        </w:tc>
        <w:tc>
          <w:tcPr>
            <w:tcW w:w="1854" w:type="dxa"/>
            <w:noWrap/>
            <w:vAlign w:val="center"/>
          </w:tcPr>
          <w:p>
            <w:pPr>
              <w:pStyle w:val="48"/>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137" w:type="dxa"/>
            <w:noWrap/>
            <w:vAlign w:val="center"/>
          </w:tcPr>
          <w:p>
            <w:pPr>
              <w:pStyle w:val="48"/>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2030" w:type="dxa"/>
            <w:noWrap/>
            <w:vAlign w:val="center"/>
          </w:tcPr>
          <w:p>
            <w:pPr>
              <w:pStyle w:val="48"/>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925" w:type="dxa"/>
            <w:noWrap/>
            <w:vAlign w:val="center"/>
          </w:tcPr>
          <w:p>
            <w:pPr>
              <w:pStyle w:val="48"/>
              <w:rPr>
                <w:rFonts w:hint="default" w:eastAsia="宋体"/>
                <w:color w:val="000000" w:themeColor="text1"/>
                <w:kern w:val="2"/>
                <w:lang w:val="en-US" w:eastAsia="zh-CN"/>
                <w14:textFill>
                  <w14:solidFill>
                    <w14:schemeClr w14:val="tx1"/>
                  </w14:solidFill>
                </w14:textFill>
              </w:rPr>
            </w:pPr>
            <w:r>
              <w:rPr>
                <w:rFonts w:hint="eastAsia"/>
                <w:color w:val="000000" w:themeColor="text1"/>
                <w:kern w:val="2"/>
                <w:lang w:val="en-US" w:eastAsia="zh-CN"/>
                <w14:textFill>
                  <w14:solidFill>
                    <w14:schemeClr w14:val="tx1"/>
                  </w14:solidFill>
                </w14:textFill>
              </w:rPr>
              <w:t>3489.4</w:t>
            </w:r>
          </w:p>
        </w:tc>
        <w:tc>
          <w:tcPr>
            <w:tcW w:w="1794" w:type="dxa"/>
            <w:noWrap/>
            <w:vAlign w:val="center"/>
          </w:tcPr>
          <w:p>
            <w:pPr>
              <w:pStyle w:val="48"/>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2279" w:type="dxa"/>
            <w:noWrap/>
            <w:vAlign w:val="center"/>
          </w:tcPr>
          <w:p>
            <w:pPr>
              <w:pStyle w:val="48"/>
              <w:rPr>
                <w:rFonts w:hint="eastAsia"/>
                <w:color w:val="000000" w:themeColor="text1"/>
                <w:kern w:val="2"/>
                <w14:textFill>
                  <w14:solidFill>
                    <w14:schemeClr w14:val="tx1"/>
                  </w14:solidFill>
                </w14:textFill>
              </w:rPr>
            </w:pPr>
            <w:r>
              <w:rPr>
                <w:rFonts w:hint="eastAsia"/>
                <w:color w:val="000000" w:themeColor="text1"/>
                <w:kern w:val="2"/>
                <w:lang w:val="en-US" w:eastAsia="zh-CN"/>
                <w14:textFill>
                  <w14:solidFill>
                    <w14:schemeClr w14:val="tx1"/>
                  </w14:solidFill>
                </w14:textFill>
              </w:rPr>
              <w:t>3489.4</w:t>
            </w:r>
          </w:p>
        </w:tc>
        <w:tc>
          <w:tcPr>
            <w:tcW w:w="1053" w:type="dxa"/>
            <w:noWrap/>
            <w:vAlign w:val="center"/>
          </w:tcPr>
          <w:p>
            <w:pPr>
              <w:pStyle w:val="48"/>
              <w:rPr>
                <w:rFonts w:hint="eastAsia" w:eastAsia="宋体"/>
                <w:color w:val="000000" w:themeColor="text1"/>
                <w:kern w:val="2"/>
                <w:lang w:val="en-US" w:eastAsia="zh-CN"/>
                <w14:textFill>
                  <w14:solidFill>
                    <w14:schemeClr w14:val="tx1"/>
                  </w14:solidFill>
                </w14:textFill>
              </w:rPr>
            </w:pPr>
            <w:r>
              <w:rPr>
                <w:rFonts w:hint="eastAsia"/>
                <w:color w:val="000000" w:themeColor="text1"/>
                <w:kern w:val="2"/>
                <w:lang w:val="en-US" w:eastAsia="zh-CN"/>
                <w14:textFill>
                  <w14:solidFill>
                    <w14:schemeClr w14:val="tx1"/>
                  </w14:solidFill>
                </w14:textFill>
              </w:rPr>
              <w:t>+3489.4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noWrap/>
            <w:vAlign w:val="center"/>
          </w:tcPr>
          <w:p>
            <w:pPr>
              <w:pStyle w:val="48"/>
              <w:rPr>
                <w:color w:val="000000" w:themeColor="text1"/>
                <w14:textFill>
                  <w14:solidFill>
                    <w14:schemeClr w14:val="tx1"/>
                  </w14:solidFill>
                </w14:textFill>
              </w:rPr>
            </w:pPr>
          </w:p>
        </w:tc>
        <w:tc>
          <w:tcPr>
            <w:tcW w:w="128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COD</w:t>
            </w:r>
            <w:r>
              <w:rPr>
                <w:color w:val="000000" w:themeColor="text1"/>
                <w14:textFill>
                  <w14:solidFill>
                    <w14:schemeClr w14:val="tx1"/>
                  </w14:solidFill>
                </w14:textFill>
              </w:rPr>
              <w:t>cr</w:t>
            </w:r>
          </w:p>
        </w:tc>
        <w:tc>
          <w:tcPr>
            <w:tcW w:w="185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137"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2030"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925" w:type="dxa"/>
            <w:noWrap/>
            <w:vAlign w:val="center"/>
          </w:tcPr>
          <w:p>
            <w:pPr>
              <w:pStyle w:val="48"/>
              <w:rPr>
                <w:rFonts w:hint="default" w:eastAsia="宋体"/>
                <w:color w:val="000000" w:themeColor="text1"/>
                <w:kern w:val="2"/>
                <w:lang w:val="en-US" w:eastAsia="zh-CN"/>
                <w14:textFill>
                  <w14:solidFill>
                    <w14:schemeClr w14:val="tx1"/>
                  </w14:solidFill>
                </w14:textFill>
              </w:rPr>
            </w:pPr>
            <w:r>
              <w:rPr>
                <w:rFonts w:hint="eastAsia"/>
                <w:color w:val="000000" w:themeColor="text1"/>
                <w:kern w:val="2"/>
                <w:lang w:val="en-US" w:eastAsia="zh-CN"/>
                <w14:textFill>
                  <w14:solidFill>
                    <w14:schemeClr w14:val="tx1"/>
                  </w14:solidFill>
                </w14:textFill>
              </w:rPr>
              <w:t>0.16</w:t>
            </w:r>
          </w:p>
        </w:tc>
        <w:tc>
          <w:tcPr>
            <w:tcW w:w="179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2279" w:type="dxa"/>
            <w:noWrap/>
            <w:vAlign w:val="center"/>
          </w:tcPr>
          <w:p>
            <w:pPr>
              <w:pStyle w:val="48"/>
              <w:rPr>
                <w:color w:val="000000" w:themeColor="text1"/>
                <w:kern w:val="2"/>
                <w14:textFill>
                  <w14:solidFill>
                    <w14:schemeClr w14:val="tx1"/>
                  </w14:solidFill>
                </w14:textFill>
              </w:rPr>
            </w:pPr>
            <w:r>
              <w:rPr>
                <w:rFonts w:hint="eastAsia"/>
                <w:color w:val="000000" w:themeColor="text1"/>
                <w:kern w:val="2"/>
                <w:lang w:val="en-US" w:eastAsia="zh-CN"/>
                <w14:textFill>
                  <w14:solidFill>
                    <w14:schemeClr w14:val="tx1"/>
                  </w14:solidFill>
                </w14:textFill>
              </w:rPr>
              <w:t>0.16</w:t>
            </w:r>
          </w:p>
        </w:tc>
        <w:tc>
          <w:tcPr>
            <w:tcW w:w="1053" w:type="dxa"/>
            <w:noWrap/>
            <w:vAlign w:val="center"/>
          </w:tcPr>
          <w:p>
            <w:pPr>
              <w:pStyle w:val="48"/>
              <w:rPr>
                <w:color w:val="000000" w:themeColor="text1"/>
                <w14:textFill>
                  <w14:solidFill>
                    <w14:schemeClr w14:val="tx1"/>
                  </w14:solidFill>
                </w14:textFill>
              </w:rPr>
            </w:pPr>
            <w:r>
              <w:rPr>
                <w:rFonts w:hint="eastAsia"/>
                <w:color w:val="000000" w:themeColor="text1"/>
                <w:kern w:val="2"/>
                <w:lang w:val="en-US" w:eastAsia="zh-CN"/>
                <w14:textFill>
                  <w14:solidFill>
                    <w14:schemeClr w14:val="tx1"/>
                  </w14:solidFill>
                </w14:textFill>
              </w:rPr>
              <w:t>+0.16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noWrap/>
            <w:vAlign w:val="center"/>
          </w:tcPr>
          <w:p>
            <w:pPr>
              <w:pStyle w:val="48"/>
              <w:rPr>
                <w:color w:val="000000" w:themeColor="text1"/>
                <w14:textFill>
                  <w14:solidFill>
                    <w14:schemeClr w14:val="tx1"/>
                  </w14:solidFill>
                </w14:textFill>
              </w:rPr>
            </w:pPr>
          </w:p>
        </w:tc>
        <w:tc>
          <w:tcPr>
            <w:tcW w:w="128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氨氮</w:t>
            </w:r>
          </w:p>
        </w:tc>
        <w:tc>
          <w:tcPr>
            <w:tcW w:w="185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137"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2030"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925" w:type="dxa"/>
            <w:noWrap/>
            <w:vAlign w:val="center"/>
          </w:tcPr>
          <w:p>
            <w:pPr>
              <w:pStyle w:val="48"/>
              <w:rPr>
                <w:rFonts w:hint="default" w:eastAsia="宋体"/>
                <w:color w:val="000000" w:themeColor="text1"/>
                <w:kern w:val="2"/>
                <w:lang w:val="en-US" w:eastAsia="zh-CN"/>
                <w14:textFill>
                  <w14:solidFill>
                    <w14:schemeClr w14:val="tx1"/>
                  </w14:solidFill>
                </w14:textFill>
              </w:rPr>
            </w:pPr>
            <w:r>
              <w:rPr>
                <w:rFonts w:hint="eastAsia"/>
                <w:color w:val="000000" w:themeColor="text1"/>
                <w:kern w:val="2"/>
                <w:lang w:val="en-US" w:eastAsia="zh-CN"/>
                <w14:textFill>
                  <w14:solidFill>
                    <w14:schemeClr w14:val="tx1"/>
                  </w14:solidFill>
                </w14:textFill>
              </w:rPr>
              <w:t>0.12</w:t>
            </w:r>
          </w:p>
        </w:tc>
        <w:tc>
          <w:tcPr>
            <w:tcW w:w="179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2279" w:type="dxa"/>
            <w:noWrap/>
            <w:vAlign w:val="center"/>
          </w:tcPr>
          <w:p>
            <w:pPr>
              <w:pStyle w:val="48"/>
              <w:rPr>
                <w:color w:val="000000" w:themeColor="text1"/>
                <w:kern w:val="2"/>
                <w14:textFill>
                  <w14:solidFill>
                    <w14:schemeClr w14:val="tx1"/>
                  </w14:solidFill>
                </w14:textFill>
              </w:rPr>
            </w:pPr>
            <w:r>
              <w:rPr>
                <w:rFonts w:hint="eastAsia"/>
                <w:color w:val="000000" w:themeColor="text1"/>
                <w:kern w:val="2"/>
                <w:lang w:val="en-US" w:eastAsia="zh-CN"/>
                <w14:textFill>
                  <w14:solidFill>
                    <w14:schemeClr w14:val="tx1"/>
                  </w14:solidFill>
                </w14:textFill>
              </w:rPr>
              <w:t>0.12</w:t>
            </w:r>
          </w:p>
        </w:tc>
        <w:tc>
          <w:tcPr>
            <w:tcW w:w="1053" w:type="dxa"/>
            <w:noWrap/>
            <w:vAlign w:val="center"/>
          </w:tcPr>
          <w:p>
            <w:pPr>
              <w:pStyle w:val="48"/>
              <w:rPr>
                <w:color w:val="000000" w:themeColor="text1"/>
                <w14:textFill>
                  <w14:solidFill>
                    <w14:schemeClr w14:val="tx1"/>
                  </w14:solidFill>
                </w14:textFill>
              </w:rPr>
            </w:pPr>
            <w:r>
              <w:rPr>
                <w:rFonts w:hint="eastAsia"/>
                <w:color w:val="000000" w:themeColor="text1"/>
                <w:kern w:val="2"/>
                <w:lang w:val="en-US" w:eastAsia="zh-CN"/>
                <w14:textFill>
                  <w14:solidFill>
                    <w14:schemeClr w14:val="tx1"/>
                  </w14:solidFill>
                </w14:textFill>
              </w:rPr>
              <w:t>+0.12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62" w:type="dxa"/>
            <w:vMerge w:val="restart"/>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一般</w:t>
            </w:r>
          </w:p>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固废</w:t>
            </w:r>
          </w:p>
        </w:tc>
        <w:tc>
          <w:tcPr>
            <w:tcW w:w="128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185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137"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2030"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925" w:type="dxa"/>
            <w:noWrap/>
            <w:vAlign w:val="center"/>
          </w:tcPr>
          <w:p>
            <w:pPr>
              <w:pStyle w:val="4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22.81</w:t>
            </w:r>
          </w:p>
        </w:tc>
        <w:tc>
          <w:tcPr>
            <w:tcW w:w="179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2279" w:type="dxa"/>
            <w:noWrap/>
            <w:vAlign w:val="center"/>
          </w:tcPr>
          <w:p>
            <w:pPr>
              <w:pStyle w:val="4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22.81</w:t>
            </w:r>
          </w:p>
        </w:tc>
        <w:tc>
          <w:tcPr>
            <w:tcW w:w="1053" w:type="dxa"/>
            <w:noWrap/>
            <w:vAlign w:val="center"/>
          </w:tcPr>
          <w:p>
            <w:pPr>
              <w:pStyle w:val="4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+22.81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62" w:type="dxa"/>
            <w:vMerge w:val="continue"/>
            <w:noWrap/>
            <w:vAlign w:val="center"/>
          </w:tcPr>
          <w:p>
            <w:pPr>
              <w:pStyle w:val="48"/>
              <w:rPr>
                <w:color w:val="000000" w:themeColor="text1"/>
                <w14:textFill>
                  <w14:solidFill>
                    <w14:schemeClr w14:val="tx1"/>
                  </w14:solidFill>
                </w14:textFill>
              </w:rPr>
            </w:pPr>
          </w:p>
        </w:tc>
        <w:tc>
          <w:tcPr>
            <w:tcW w:w="128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一次性塑料输液瓶（袋）</w:t>
            </w:r>
          </w:p>
        </w:tc>
        <w:tc>
          <w:tcPr>
            <w:tcW w:w="185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137"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2030"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925"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79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2279"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053" w:type="dxa"/>
            <w:noWrap/>
            <w:vAlign w:val="center"/>
          </w:tcPr>
          <w:p>
            <w:pPr>
              <w:pStyle w:val="4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62" w:type="dxa"/>
            <w:vMerge w:val="continue"/>
            <w:noWrap/>
            <w:vAlign w:val="center"/>
          </w:tcPr>
          <w:p>
            <w:pPr>
              <w:pStyle w:val="48"/>
              <w:rPr>
                <w:color w:val="000000" w:themeColor="text1"/>
                <w14:textFill>
                  <w14:solidFill>
                    <w14:schemeClr w14:val="tx1"/>
                  </w14:solidFill>
                </w14:textFill>
              </w:rPr>
            </w:pPr>
          </w:p>
        </w:tc>
        <w:tc>
          <w:tcPr>
            <w:tcW w:w="128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废包装材料</w:t>
            </w:r>
          </w:p>
        </w:tc>
        <w:tc>
          <w:tcPr>
            <w:tcW w:w="185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137"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2030"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925"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79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2279"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053" w:type="dxa"/>
            <w:noWrap/>
            <w:vAlign w:val="center"/>
          </w:tcPr>
          <w:p>
            <w:pPr>
              <w:pStyle w:val="4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662" w:type="dxa"/>
            <w:vMerge w:val="restart"/>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128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医疗废物</w:t>
            </w:r>
          </w:p>
        </w:tc>
        <w:tc>
          <w:tcPr>
            <w:tcW w:w="185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137"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2030"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925" w:type="dxa"/>
            <w:noWrap/>
            <w:vAlign w:val="center"/>
          </w:tcPr>
          <w:p>
            <w:pPr>
              <w:pStyle w:val="4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5.58</w:t>
            </w:r>
          </w:p>
        </w:tc>
        <w:tc>
          <w:tcPr>
            <w:tcW w:w="179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2279" w:type="dxa"/>
            <w:noWrap/>
            <w:vAlign w:val="center"/>
          </w:tcPr>
          <w:p>
            <w:pPr>
              <w:pStyle w:val="4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5.58</w:t>
            </w:r>
          </w:p>
        </w:tc>
        <w:tc>
          <w:tcPr>
            <w:tcW w:w="1053" w:type="dxa"/>
            <w:noWrap/>
            <w:vAlign w:val="center"/>
          </w:tcPr>
          <w:p>
            <w:pPr>
              <w:pStyle w:val="4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662" w:type="dxa"/>
            <w:vMerge w:val="continue"/>
            <w:noWrap/>
            <w:vAlign w:val="center"/>
          </w:tcPr>
          <w:p>
            <w:pPr>
              <w:pStyle w:val="48"/>
              <w:rPr>
                <w:color w:val="000000" w:themeColor="text1"/>
                <w14:textFill>
                  <w14:solidFill>
                    <w14:schemeClr w14:val="tx1"/>
                  </w14:solidFill>
                </w14:textFill>
              </w:rPr>
            </w:pPr>
          </w:p>
        </w:tc>
        <w:tc>
          <w:tcPr>
            <w:tcW w:w="1284" w:type="dxa"/>
            <w:noWrap/>
            <w:vAlign w:val="center"/>
          </w:tcPr>
          <w:p>
            <w:pPr>
              <w:pStyle w:val="48"/>
              <w:rPr>
                <w:color w:val="000000" w:themeColor="text1"/>
                <w14:textFill>
                  <w14:solidFill>
                    <w14:schemeClr w14:val="tx1"/>
                  </w14:solidFill>
                </w14:textFill>
              </w:rPr>
            </w:pPr>
            <w:r>
              <w:rPr>
                <w:color w:val="000000" w:themeColor="text1"/>
                <w14:textFill>
                  <w14:solidFill>
                    <w14:schemeClr w14:val="tx1"/>
                  </w14:solidFill>
                </w14:textFill>
              </w:rPr>
              <w:t>污泥</w:t>
            </w:r>
          </w:p>
        </w:tc>
        <w:tc>
          <w:tcPr>
            <w:tcW w:w="185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137"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2030"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925" w:type="dxa"/>
            <w:noWrap/>
            <w:vAlign w:val="center"/>
          </w:tcPr>
          <w:p>
            <w:pPr>
              <w:pStyle w:val="4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0.52</w:t>
            </w:r>
          </w:p>
        </w:tc>
        <w:tc>
          <w:tcPr>
            <w:tcW w:w="1794" w:type="dxa"/>
            <w:noWrap/>
            <w:vAlign w:val="center"/>
          </w:tcPr>
          <w:p>
            <w:pPr>
              <w:pStyle w:val="48"/>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2279" w:type="dxa"/>
            <w:noWrap/>
            <w:vAlign w:val="center"/>
          </w:tcPr>
          <w:p>
            <w:pPr>
              <w:pStyle w:val="4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0.52</w:t>
            </w:r>
          </w:p>
        </w:tc>
        <w:tc>
          <w:tcPr>
            <w:tcW w:w="1053" w:type="dxa"/>
            <w:noWrap/>
            <w:vAlign w:val="center"/>
          </w:tcPr>
          <w:p>
            <w:pPr>
              <w:pStyle w:val="4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+0.52</w:t>
            </w:r>
          </w:p>
        </w:tc>
      </w:tr>
    </w:tbl>
    <w:p>
      <w:pPr>
        <w:spacing w:beforeLines="80" w:after="24"/>
        <w:rPr>
          <w:rFonts w:hint="default" w:hAnsi="宋体"/>
          <w:snapToGrid w:val="0"/>
          <w:color w:val="000000" w:themeColor="text1"/>
          <w:spacing w:val="-6"/>
          <w:kern w:val="21"/>
          <w:szCs w:val="21"/>
          <w:lang w:val="en-US" w:eastAsia="zh-CN"/>
          <w14:textFill>
            <w14:solidFill>
              <w14:schemeClr w14:val="tx1"/>
            </w14:solidFill>
          </w14:textFill>
        </w:rPr>
      </w:pPr>
      <w:r>
        <w:rPr>
          <w:rFonts w:hAnsi="宋体"/>
          <w:snapToGrid w:val="0"/>
          <w:color w:val="000000" w:themeColor="text1"/>
          <w:kern w:val="21"/>
          <w:szCs w:val="21"/>
          <w14:textFill>
            <w14:solidFill>
              <w14:schemeClr w14:val="tx1"/>
            </w14:solidFill>
          </w14:textFill>
        </w:rPr>
        <w:t>注：</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3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③</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4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④</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5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⑤</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7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⑦</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p>
    <w:sectPr>
      <w:footerReference r:id="rId8" w:type="default"/>
      <w:pgSz w:w="16838" w:h="11906" w:orient="landscape"/>
      <w:pgMar w:top="1247" w:right="1440" w:bottom="1797" w:left="1440" w:header="851" w:footer="992" w:gutter="0"/>
      <w:pgNumType w:fmt="decimal"/>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18030">
    <w:altName w:val="宋体"/>
    <w:panose1 w:val="00000000000000000000"/>
    <w:charset w:val="00"/>
    <w:family w:val="auto"/>
    <w:pitch w:val="default"/>
    <w:sig w:usb0="00000000" w:usb1="00000000" w:usb2="00000000" w:usb3="00000000" w:csb0="00040001" w:csb1="00000000"/>
  </w:font>
  <w:font w:name="隶书">
    <w:altName w:val="微软雅黑"/>
    <w:panose1 w:val="02010509060101010101"/>
    <w:charset w:val="86"/>
    <w:family w:val="roma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Helvetica">
    <w:altName w:val="Arial"/>
    <w:panose1 w:val="020B0604020202020204"/>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4"/>
      </w:rPr>
    </w:pPr>
    <w:r>
      <w:fldChar w:fldCharType="begin"/>
    </w:r>
    <w:r>
      <w:rPr>
        <w:rStyle w:val="34"/>
      </w:rPr>
      <w:instrText xml:space="preserve">PAGE  </w:instrText>
    </w:r>
    <w:r>
      <w:fldChar w:fldCharType="end"/>
    </w:r>
  </w:p>
  <w:p>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rPr>
                              <w:rStyle w:val="34"/>
                              <w:rFonts w:ascii="宋体" w:hAnsi="宋体"/>
                              <w:sz w:val="28"/>
                              <w:szCs w:val="28"/>
                            </w:rPr>
                          </w:pPr>
                          <w:r>
                            <w:rPr>
                              <w:rStyle w:val="34"/>
                              <w:rFonts w:hint="eastAsia" w:ascii="宋体" w:hAnsi="宋体"/>
                              <w:sz w:val="28"/>
                              <w:szCs w:val="28"/>
                            </w:rPr>
                            <w:t>—</w:t>
                          </w:r>
                          <w:r>
                            <w:rPr>
                              <w:rStyle w:val="34"/>
                              <w:rFonts w:ascii="宋体" w:hAnsi="宋体"/>
                              <w:sz w:val="26"/>
                              <w:szCs w:val="26"/>
                            </w:rPr>
                            <w:fldChar w:fldCharType="begin"/>
                          </w:r>
                          <w:r>
                            <w:rPr>
                              <w:rStyle w:val="34"/>
                              <w:rFonts w:ascii="宋体" w:hAnsi="宋体"/>
                              <w:sz w:val="26"/>
                              <w:szCs w:val="26"/>
                            </w:rPr>
                            <w:instrText xml:space="preserve">PAGE  </w:instrText>
                          </w:r>
                          <w:r>
                            <w:rPr>
                              <w:rStyle w:val="34"/>
                              <w:rFonts w:ascii="宋体" w:hAnsi="宋体"/>
                              <w:sz w:val="26"/>
                              <w:szCs w:val="26"/>
                            </w:rPr>
                            <w:fldChar w:fldCharType="separate"/>
                          </w:r>
                          <w:r>
                            <w:rPr>
                              <w:rStyle w:val="34"/>
                              <w:rFonts w:ascii="宋体" w:hAnsi="宋体"/>
                              <w:sz w:val="26"/>
                              <w:szCs w:val="26"/>
                            </w:rPr>
                            <w:t>49</w:t>
                          </w:r>
                          <w:r>
                            <w:rPr>
                              <w:rStyle w:val="34"/>
                              <w:rFonts w:ascii="宋体" w:hAnsi="宋体"/>
                              <w:sz w:val="26"/>
                              <w:szCs w:val="26"/>
                            </w:rPr>
                            <w:fldChar w:fldCharType="end"/>
                          </w:r>
                          <w:r>
                            <w:rPr>
                              <w:rStyle w:val="34"/>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18"/>
                      <w:rPr>
                        <w:rStyle w:val="34"/>
                        <w:rFonts w:ascii="宋体" w:hAnsi="宋体"/>
                        <w:sz w:val="28"/>
                        <w:szCs w:val="28"/>
                      </w:rPr>
                    </w:pPr>
                    <w:r>
                      <w:rPr>
                        <w:rStyle w:val="34"/>
                        <w:rFonts w:hint="eastAsia" w:ascii="宋体" w:hAnsi="宋体"/>
                        <w:sz w:val="28"/>
                        <w:szCs w:val="28"/>
                      </w:rPr>
                      <w:t>—</w:t>
                    </w:r>
                    <w:r>
                      <w:rPr>
                        <w:rStyle w:val="34"/>
                        <w:rFonts w:ascii="宋体" w:hAnsi="宋体"/>
                        <w:sz w:val="26"/>
                        <w:szCs w:val="26"/>
                      </w:rPr>
                      <w:fldChar w:fldCharType="begin"/>
                    </w:r>
                    <w:r>
                      <w:rPr>
                        <w:rStyle w:val="34"/>
                        <w:rFonts w:ascii="宋体" w:hAnsi="宋体"/>
                        <w:sz w:val="26"/>
                        <w:szCs w:val="26"/>
                      </w:rPr>
                      <w:instrText xml:space="preserve">PAGE  </w:instrText>
                    </w:r>
                    <w:r>
                      <w:rPr>
                        <w:rStyle w:val="34"/>
                        <w:rFonts w:ascii="宋体" w:hAnsi="宋体"/>
                        <w:sz w:val="26"/>
                        <w:szCs w:val="26"/>
                      </w:rPr>
                      <w:fldChar w:fldCharType="separate"/>
                    </w:r>
                    <w:r>
                      <w:rPr>
                        <w:rStyle w:val="34"/>
                        <w:rFonts w:ascii="宋体" w:hAnsi="宋体"/>
                        <w:sz w:val="26"/>
                        <w:szCs w:val="26"/>
                      </w:rPr>
                      <w:t>49</w:t>
                    </w:r>
                    <w:r>
                      <w:rPr>
                        <w:rStyle w:val="34"/>
                        <w:rFonts w:ascii="宋体" w:hAnsi="宋体"/>
                        <w:sz w:val="26"/>
                        <w:szCs w:val="26"/>
                      </w:rPr>
                      <w:fldChar w:fldCharType="end"/>
                    </w:r>
                    <w:r>
                      <w:rPr>
                        <w:rStyle w:val="34"/>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rPr>
                              <w:rStyle w:val="34"/>
                              <w:rFonts w:ascii="宋体" w:hAnsi="宋体"/>
                              <w:sz w:val="28"/>
                              <w:szCs w:val="28"/>
                            </w:rPr>
                          </w:pPr>
                          <w:r>
                            <w:rPr>
                              <w:rStyle w:val="34"/>
                              <w:rFonts w:hint="eastAsia" w:ascii="宋体" w:hAnsi="宋体"/>
                              <w:sz w:val="28"/>
                              <w:szCs w:val="28"/>
                            </w:rPr>
                            <w:t>—</w:t>
                          </w:r>
                          <w:r>
                            <w:rPr>
                              <w:rStyle w:val="34"/>
                              <w:rFonts w:ascii="宋体" w:hAnsi="宋体"/>
                              <w:sz w:val="26"/>
                              <w:szCs w:val="26"/>
                            </w:rPr>
                            <w:fldChar w:fldCharType="begin"/>
                          </w:r>
                          <w:r>
                            <w:rPr>
                              <w:rStyle w:val="34"/>
                              <w:rFonts w:ascii="宋体" w:hAnsi="宋体"/>
                              <w:sz w:val="26"/>
                              <w:szCs w:val="26"/>
                            </w:rPr>
                            <w:instrText xml:space="preserve">PAGE  </w:instrText>
                          </w:r>
                          <w:r>
                            <w:rPr>
                              <w:rStyle w:val="34"/>
                              <w:rFonts w:ascii="宋体" w:hAnsi="宋体"/>
                              <w:sz w:val="26"/>
                              <w:szCs w:val="26"/>
                            </w:rPr>
                            <w:fldChar w:fldCharType="separate"/>
                          </w:r>
                          <w:r>
                            <w:rPr>
                              <w:rStyle w:val="34"/>
                              <w:rFonts w:ascii="宋体" w:hAnsi="宋体"/>
                              <w:sz w:val="26"/>
                              <w:szCs w:val="26"/>
                            </w:rPr>
                            <w:t>50</w:t>
                          </w:r>
                          <w:r>
                            <w:rPr>
                              <w:rStyle w:val="34"/>
                              <w:rFonts w:ascii="宋体" w:hAnsi="宋体"/>
                              <w:sz w:val="26"/>
                              <w:szCs w:val="26"/>
                            </w:rPr>
                            <w:fldChar w:fldCharType="end"/>
                          </w:r>
                          <w:r>
                            <w:rPr>
                              <w:rStyle w:val="34"/>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18"/>
                      <w:rPr>
                        <w:rStyle w:val="34"/>
                        <w:rFonts w:ascii="宋体" w:hAnsi="宋体"/>
                        <w:sz w:val="28"/>
                        <w:szCs w:val="28"/>
                      </w:rPr>
                    </w:pPr>
                    <w:r>
                      <w:rPr>
                        <w:rStyle w:val="34"/>
                        <w:rFonts w:hint="eastAsia" w:ascii="宋体" w:hAnsi="宋体"/>
                        <w:sz w:val="28"/>
                        <w:szCs w:val="28"/>
                      </w:rPr>
                      <w:t>—</w:t>
                    </w:r>
                    <w:r>
                      <w:rPr>
                        <w:rStyle w:val="34"/>
                        <w:rFonts w:ascii="宋体" w:hAnsi="宋体"/>
                        <w:sz w:val="26"/>
                        <w:szCs w:val="26"/>
                      </w:rPr>
                      <w:fldChar w:fldCharType="begin"/>
                    </w:r>
                    <w:r>
                      <w:rPr>
                        <w:rStyle w:val="34"/>
                        <w:rFonts w:ascii="宋体" w:hAnsi="宋体"/>
                        <w:sz w:val="26"/>
                        <w:szCs w:val="26"/>
                      </w:rPr>
                      <w:instrText xml:space="preserve">PAGE  </w:instrText>
                    </w:r>
                    <w:r>
                      <w:rPr>
                        <w:rStyle w:val="34"/>
                        <w:rFonts w:ascii="宋体" w:hAnsi="宋体"/>
                        <w:sz w:val="26"/>
                        <w:szCs w:val="26"/>
                      </w:rPr>
                      <w:fldChar w:fldCharType="separate"/>
                    </w:r>
                    <w:r>
                      <w:rPr>
                        <w:rStyle w:val="34"/>
                        <w:rFonts w:ascii="宋体" w:hAnsi="宋体"/>
                        <w:sz w:val="26"/>
                        <w:szCs w:val="26"/>
                      </w:rPr>
                      <w:t>50</w:t>
                    </w:r>
                    <w:r>
                      <w:rPr>
                        <w:rStyle w:val="34"/>
                        <w:rFonts w:ascii="宋体" w:hAnsi="宋体"/>
                        <w:sz w:val="26"/>
                        <w:szCs w:val="26"/>
                      </w:rPr>
                      <w:fldChar w:fldCharType="end"/>
                    </w:r>
                    <w:r>
                      <w:rPr>
                        <w:rStyle w:val="34"/>
                        <w:rFonts w:hint="eastAsia" w:ascii="宋体" w:hAnsi="宋体"/>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6A00AE"/>
    <w:multiLevelType w:val="singleLevel"/>
    <w:tmpl w:val="9A6A00AE"/>
    <w:lvl w:ilvl="0" w:tentative="0">
      <w:start w:val="1"/>
      <w:numFmt w:val="decimal"/>
      <w:suff w:val="nothing"/>
      <w:lvlText w:val="%1、"/>
      <w:lvlJc w:val="left"/>
    </w:lvl>
  </w:abstractNum>
  <w:abstractNum w:abstractNumId="1">
    <w:nsid w:val="B6D0797E"/>
    <w:multiLevelType w:val="singleLevel"/>
    <w:tmpl w:val="B6D0797E"/>
    <w:lvl w:ilvl="0" w:tentative="0">
      <w:start w:val="5"/>
      <w:numFmt w:val="chineseCounting"/>
      <w:suff w:val="nothing"/>
      <w:lvlText w:val="%1、"/>
      <w:lvlJc w:val="left"/>
      <w:rPr>
        <w:rFonts w:hint="eastAsia"/>
      </w:rPr>
    </w:lvl>
  </w:abstractNum>
  <w:abstractNum w:abstractNumId="2">
    <w:nsid w:val="38A2AEB9"/>
    <w:multiLevelType w:val="singleLevel"/>
    <w:tmpl w:val="38A2AEB9"/>
    <w:lvl w:ilvl="0" w:tentative="0">
      <w:start w:val="4"/>
      <w:numFmt w:val="decimal"/>
      <w:suff w:val="nothing"/>
      <w:lvlText w:val="%1、"/>
      <w:lvlJc w:val="left"/>
    </w:lvl>
  </w:abstractNum>
  <w:abstractNum w:abstractNumId="3">
    <w:nsid w:val="618006C3"/>
    <w:multiLevelType w:val="singleLevel"/>
    <w:tmpl w:val="618006C3"/>
    <w:lvl w:ilvl="0" w:tentative="0">
      <w:start w:val="2"/>
      <w:numFmt w:val="decimal"/>
      <w:suff w:val="nothing"/>
      <w:lvlText w:val="（%1）"/>
      <w:lvlJc w:val="left"/>
    </w:lvl>
  </w:abstractNum>
  <w:abstractNum w:abstractNumId="4">
    <w:nsid w:val="6F625AA7"/>
    <w:multiLevelType w:val="multilevel"/>
    <w:tmpl w:val="6F625AA7"/>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pStyle w:val="5"/>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ZhMzAxMDFmMzZmMTFhZWRiMmEzN2ZkMzE4YmQ5NGEifQ=="/>
  </w:docVars>
  <w:rsids>
    <w:rsidRoot w:val="00172A27"/>
    <w:rsid w:val="000F60D4"/>
    <w:rsid w:val="00172A27"/>
    <w:rsid w:val="001812CB"/>
    <w:rsid w:val="003752C8"/>
    <w:rsid w:val="00417BD3"/>
    <w:rsid w:val="007007DA"/>
    <w:rsid w:val="00770EAD"/>
    <w:rsid w:val="009F5DFF"/>
    <w:rsid w:val="00AB35C0"/>
    <w:rsid w:val="00BD5593"/>
    <w:rsid w:val="00BD5834"/>
    <w:rsid w:val="00BE16CB"/>
    <w:rsid w:val="00CA7EEA"/>
    <w:rsid w:val="00EB3ABA"/>
    <w:rsid w:val="00EF449E"/>
    <w:rsid w:val="00F44669"/>
    <w:rsid w:val="01057174"/>
    <w:rsid w:val="01192C1F"/>
    <w:rsid w:val="01205144"/>
    <w:rsid w:val="012515C4"/>
    <w:rsid w:val="01287748"/>
    <w:rsid w:val="013758D4"/>
    <w:rsid w:val="018A58CB"/>
    <w:rsid w:val="018E7169"/>
    <w:rsid w:val="019404F8"/>
    <w:rsid w:val="01A06E9D"/>
    <w:rsid w:val="01A56261"/>
    <w:rsid w:val="01AA6D13"/>
    <w:rsid w:val="01C04E49"/>
    <w:rsid w:val="01CD6E8B"/>
    <w:rsid w:val="02193B03"/>
    <w:rsid w:val="023D293E"/>
    <w:rsid w:val="024A0CCD"/>
    <w:rsid w:val="0256755B"/>
    <w:rsid w:val="025D08EA"/>
    <w:rsid w:val="02703797"/>
    <w:rsid w:val="02753E85"/>
    <w:rsid w:val="027544D1"/>
    <w:rsid w:val="028B51DC"/>
    <w:rsid w:val="029307AF"/>
    <w:rsid w:val="02B726F0"/>
    <w:rsid w:val="02BA5D3C"/>
    <w:rsid w:val="02C508F7"/>
    <w:rsid w:val="02DD1A2B"/>
    <w:rsid w:val="02E1151B"/>
    <w:rsid w:val="02FC6355"/>
    <w:rsid w:val="03113B51"/>
    <w:rsid w:val="031B2C7F"/>
    <w:rsid w:val="031C07A5"/>
    <w:rsid w:val="03217B69"/>
    <w:rsid w:val="032A1114"/>
    <w:rsid w:val="0348159A"/>
    <w:rsid w:val="036D7252"/>
    <w:rsid w:val="03824AAC"/>
    <w:rsid w:val="038834A2"/>
    <w:rsid w:val="03C52BEB"/>
    <w:rsid w:val="03E82443"/>
    <w:rsid w:val="03F4702C"/>
    <w:rsid w:val="03FB660C"/>
    <w:rsid w:val="040C25C7"/>
    <w:rsid w:val="042465EB"/>
    <w:rsid w:val="04293179"/>
    <w:rsid w:val="04310280"/>
    <w:rsid w:val="04367644"/>
    <w:rsid w:val="04583A60"/>
    <w:rsid w:val="045C37C0"/>
    <w:rsid w:val="047E13C2"/>
    <w:rsid w:val="049001AC"/>
    <w:rsid w:val="049031F8"/>
    <w:rsid w:val="049432C9"/>
    <w:rsid w:val="04B213C1"/>
    <w:rsid w:val="04B53EE0"/>
    <w:rsid w:val="04CB2483"/>
    <w:rsid w:val="04D372DB"/>
    <w:rsid w:val="04D87491"/>
    <w:rsid w:val="051B47FF"/>
    <w:rsid w:val="054643BE"/>
    <w:rsid w:val="05487847"/>
    <w:rsid w:val="056B5C75"/>
    <w:rsid w:val="059E36F3"/>
    <w:rsid w:val="05C16769"/>
    <w:rsid w:val="05C20A0F"/>
    <w:rsid w:val="05E530D0"/>
    <w:rsid w:val="05E732EC"/>
    <w:rsid w:val="0603173B"/>
    <w:rsid w:val="061D2E70"/>
    <w:rsid w:val="06383B48"/>
    <w:rsid w:val="0680729D"/>
    <w:rsid w:val="069861E6"/>
    <w:rsid w:val="06BE1950"/>
    <w:rsid w:val="06C77CC2"/>
    <w:rsid w:val="071B7485"/>
    <w:rsid w:val="071C6FC5"/>
    <w:rsid w:val="072440CC"/>
    <w:rsid w:val="07391925"/>
    <w:rsid w:val="075C60D1"/>
    <w:rsid w:val="075F6EB2"/>
    <w:rsid w:val="07612C2A"/>
    <w:rsid w:val="07630750"/>
    <w:rsid w:val="07753585"/>
    <w:rsid w:val="077D4F4F"/>
    <w:rsid w:val="078B414B"/>
    <w:rsid w:val="079E5C2C"/>
    <w:rsid w:val="07A65AF6"/>
    <w:rsid w:val="07B54D24"/>
    <w:rsid w:val="07B727B5"/>
    <w:rsid w:val="07DC76FE"/>
    <w:rsid w:val="07DE2B23"/>
    <w:rsid w:val="07EA2C20"/>
    <w:rsid w:val="08017F69"/>
    <w:rsid w:val="08030185"/>
    <w:rsid w:val="080F08D8"/>
    <w:rsid w:val="080F2205"/>
    <w:rsid w:val="081021CB"/>
    <w:rsid w:val="082A3964"/>
    <w:rsid w:val="083D71F3"/>
    <w:rsid w:val="084F33CB"/>
    <w:rsid w:val="085D09CE"/>
    <w:rsid w:val="086E6A1B"/>
    <w:rsid w:val="08763A7E"/>
    <w:rsid w:val="08903B46"/>
    <w:rsid w:val="08BE235F"/>
    <w:rsid w:val="08D15B8E"/>
    <w:rsid w:val="08D71EE0"/>
    <w:rsid w:val="08DF44CB"/>
    <w:rsid w:val="08DF474E"/>
    <w:rsid w:val="08F875BE"/>
    <w:rsid w:val="08FB58EC"/>
    <w:rsid w:val="08FD189A"/>
    <w:rsid w:val="092343E6"/>
    <w:rsid w:val="09336848"/>
    <w:rsid w:val="0983157E"/>
    <w:rsid w:val="09931095"/>
    <w:rsid w:val="09A90F78"/>
    <w:rsid w:val="09AB762D"/>
    <w:rsid w:val="09CD27F9"/>
    <w:rsid w:val="09F61D50"/>
    <w:rsid w:val="0A0F4BBF"/>
    <w:rsid w:val="0A2543E3"/>
    <w:rsid w:val="0A314B36"/>
    <w:rsid w:val="0A326B00"/>
    <w:rsid w:val="0A38300E"/>
    <w:rsid w:val="0A397E8E"/>
    <w:rsid w:val="0A4A5BF8"/>
    <w:rsid w:val="0A56424D"/>
    <w:rsid w:val="0A56459C"/>
    <w:rsid w:val="0A5C592B"/>
    <w:rsid w:val="0A762E91"/>
    <w:rsid w:val="0ABA47FB"/>
    <w:rsid w:val="0ABB4D47"/>
    <w:rsid w:val="0AE20526"/>
    <w:rsid w:val="0AE4604C"/>
    <w:rsid w:val="0AEC7E43"/>
    <w:rsid w:val="0B1170D9"/>
    <w:rsid w:val="0B312BA9"/>
    <w:rsid w:val="0B4F3AA9"/>
    <w:rsid w:val="0B505490"/>
    <w:rsid w:val="0B6B051B"/>
    <w:rsid w:val="0B935DEE"/>
    <w:rsid w:val="0BC55E7E"/>
    <w:rsid w:val="0BDA2FAB"/>
    <w:rsid w:val="0BE103CC"/>
    <w:rsid w:val="0BE502CE"/>
    <w:rsid w:val="0BF13075"/>
    <w:rsid w:val="0C197F77"/>
    <w:rsid w:val="0C2F779B"/>
    <w:rsid w:val="0C3F3D88"/>
    <w:rsid w:val="0C4844F5"/>
    <w:rsid w:val="0C4C3EA9"/>
    <w:rsid w:val="0C50326D"/>
    <w:rsid w:val="0C654272"/>
    <w:rsid w:val="0C6C62F9"/>
    <w:rsid w:val="0C7D78F9"/>
    <w:rsid w:val="0CB0183C"/>
    <w:rsid w:val="0CB07F4B"/>
    <w:rsid w:val="0CB3217A"/>
    <w:rsid w:val="0CDD2637"/>
    <w:rsid w:val="0CF9004E"/>
    <w:rsid w:val="0D074274"/>
    <w:rsid w:val="0D162709"/>
    <w:rsid w:val="0D1C4E3B"/>
    <w:rsid w:val="0D295F98"/>
    <w:rsid w:val="0D3B3F1D"/>
    <w:rsid w:val="0D3D7C96"/>
    <w:rsid w:val="0D4234FE"/>
    <w:rsid w:val="0D4C7ED9"/>
    <w:rsid w:val="0D534FDE"/>
    <w:rsid w:val="0D562B05"/>
    <w:rsid w:val="0D575CDC"/>
    <w:rsid w:val="0D5E62E0"/>
    <w:rsid w:val="0D623C07"/>
    <w:rsid w:val="0D8458C4"/>
    <w:rsid w:val="0D904269"/>
    <w:rsid w:val="0D923CAE"/>
    <w:rsid w:val="0D98217F"/>
    <w:rsid w:val="0D9A6E96"/>
    <w:rsid w:val="0DB8731C"/>
    <w:rsid w:val="0DC45CC1"/>
    <w:rsid w:val="0DC83A03"/>
    <w:rsid w:val="0DD00B0A"/>
    <w:rsid w:val="0DF05E31"/>
    <w:rsid w:val="0DF26CD2"/>
    <w:rsid w:val="0E166430"/>
    <w:rsid w:val="0E2A114A"/>
    <w:rsid w:val="0E2F75DE"/>
    <w:rsid w:val="0E6A4ABA"/>
    <w:rsid w:val="0E7C7F3E"/>
    <w:rsid w:val="0E83792A"/>
    <w:rsid w:val="0E9C279A"/>
    <w:rsid w:val="0ED85EC8"/>
    <w:rsid w:val="0EF57191"/>
    <w:rsid w:val="0F1D4CFD"/>
    <w:rsid w:val="0F25287E"/>
    <w:rsid w:val="0F4C2412"/>
    <w:rsid w:val="0FA933C0"/>
    <w:rsid w:val="0FB32491"/>
    <w:rsid w:val="0FCC498E"/>
    <w:rsid w:val="0FF420EE"/>
    <w:rsid w:val="10044A9B"/>
    <w:rsid w:val="100F5919"/>
    <w:rsid w:val="10245407"/>
    <w:rsid w:val="104D44A7"/>
    <w:rsid w:val="104D6442"/>
    <w:rsid w:val="1060045A"/>
    <w:rsid w:val="107B4F98"/>
    <w:rsid w:val="108160EB"/>
    <w:rsid w:val="10846752"/>
    <w:rsid w:val="10993435"/>
    <w:rsid w:val="10A36062"/>
    <w:rsid w:val="10A5002C"/>
    <w:rsid w:val="10BE083C"/>
    <w:rsid w:val="10D12BCF"/>
    <w:rsid w:val="10D3566E"/>
    <w:rsid w:val="10E8616A"/>
    <w:rsid w:val="10F845FF"/>
    <w:rsid w:val="11094C5D"/>
    <w:rsid w:val="111E4A8C"/>
    <w:rsid w:val="11370766"/>
    <w:rsid w:val="113718EF"/>
    <w:rsid w:val="114E54DD"/>
    <w:rsid w:val="115E01DA"/>
    <w:rsid w:val="11603F53"/>
    <w:rsid w:val="117619C8"/>
    <w:rsid w:val="11A26319"/>
    <w:rsid w:val="11E725FA"/>
    <w:rsid w:val="12015736"/>
    <w:rsid w:val="120C332E"/>
    <w:rsid w:val="123E24E6"/>
    <w:rsid w:val="12422F86"/>
    <w:rsid w:val="12473CBD"/>
    <w:rsid w:val="12505D75"/>
    <w:rsid w:val="12751C80"/>
    <w:rsid w:val="12AD766B"/>
    <w:rsid w:val="12B207DE"/>
    <w:rsid w:val="12B42D5B"/>
    <w:rsid w:val="12BD68B4"/>
    <w:rsid w:val="12C34799"/>
    <w:rsid w:val="12C66037"/>
    <w:rsid w:val="12E36BE9"/>
    <w:rsid w:val="12EE1465"/>
    <w:rsid w:val="130C3844"/>
    <w:rsid w:val="130D1EB8"/>
    <w:rsid w:val="131E7C21"/>
    <w:rsid w:val="132C67E2"/>
    <w:rsid w:val="13383E5A"/>
    <w:rsid w:val="13443EA5"/>
    <w:rsid w:val="134F0723"/>
    <w:rsid w:val="136A10B9"/>
    <w:rsid w:val="136E6DFB"/>
    <w:rsid w:val="137912FC"/>
    <w:rsid w:val="137A3491"/>
    <w:rsid w:val="13855EF2"/>
    <w:rsid w:val="13CA5171"/>
    <w:rsid w:val="13E0137B"/>
    <w:rsid w:val="14065285"/>
    <w:rsid w:val="140908D1"/>
    <w:rsid w:val="142D2C60"/>
    <w:rsid w:val="143400BF"/>
    <w:rsid w:val="143516C6"/>
    <w:rsid w:val="143F6A45"/>
    <w:rsid w:val="1448764C"/>
    <w:rsid w:val="145002AE"/>
    <w:rsid w:val="146401FE"/>
    <w:rsid w:val="147E306D"/>
    <w:rsid w:val="1499110D"/>
    <w:rsid w:val="14AD3953"/>
    <w:rsid w:val="15122F7E"/>
    <w:rsid w:val="15192D96"/>
    <w:rsid w:val="152D05F0"/>
    <w:rsid w:val="15323ECF"/>
    <w:rsid w:val="15325C06"/>
    <w:rsid w:val="154A11A2"/>
    <w:rsid w:val="157F5F13"/>
    <w:rsid w:val="158C17BA"/>
    <w:rsid w:val="15A5287C"/>
    <w:rsid w:val="15C947BC"/>
    <w:rsid w:val="15D942D4"/>
    <w:rsid w:val="15EC2259"/>
    <w:rsid w:val="15F930EB"/>
    <w:rsid w:val="160B15F3"/>
    <w:rsid w:val="16286221"/>
    <w:rsid w:val="163A33ED"/>
    <w:rsid w:val="16500A3A"/>
    <w:rsid w:val="16556050"/>
    <w:rsid w:val="167337DB"/>
    <w:rsid w:val="16A20B69"/>
    <w:rsid w:val="16A50D85"/>
    <w:rsid w:val="16CF7BB0"/>
    <w:rsid w:val="16D87BFF"/>
    <w:rsid w:val="16E524CF"/>
    <w:rsid w:val="16E96798"/>
    <w:rsid w:val="17013AE2"/>
    <w:rsid w:val="17027E70"/>
    <w:rsid w:val="17084E70"/>
    <w:rsid w:val="170F26A3"/>
    <w:rsid w:val="1715758D"/>
    <w:rsid w:val="171E4694"/>
    <w:rsid w:val="17365E81"/>
    <w:rsid w:val="17555BDC"/>
    <w:rsid w:val="176D1177"/>
    <w:rsid w:val="177B0E6C"/>
    <w:rsid w:val="178A1D29"/>
    <w:rsid w:val="178A7F7B"/>
    <w:rsid w:val="17D631C0"/>
    <w:rsid w:val="17E05DED"/>
    <w:rsid w:val="17EE22B8"/>
    <w:rsid w:val="18003D99"/>
    <w:rsid w:val="18057602"/>
    <w:rsid w:val="18495740"/>
    <w:rsid w:val="18550589"/>
    <w:rsid w:val="18574301"/>
    <w:rsid w:val="1865196E"/>
    <w:rsid w:val="187F73B4"/>
    <w:rsid w:val="18876269"/>
    <w:rsid w:val="188D1AD1"/>
    <w:rsid w:val="188E3A9B"/>
    <w:rsid w:val="189D21AF"/>
    <w:rsid w:val="18B46832"/>
    <w:rsid w:val="18BD1C8B"/>
    <w:rsid w:val="18EA6F23"/>
    <w:rsid w:val="19010413"/>
    <w:rsid w:val="19120228"/>
    <w:rsid w:val="193840F4"/>
    <w:rsid w:val="19434886"/>
    <w:rsid w:val="19524AC9"/>
    <w:rsid w:val="195425EF"/>
    <w:rsid w:val="19722A75"/>
    <w:rsid w:val="19832ED4"/>
    <w:rsid w:val="19A8293B"/>
    <w:rsid w:val="19BE1BD4"/>
    <w:rsid w:val="19DC72B5"/>
    <w:rsid w:val="19F93196"/>
    <w:rsid w:val="1A16562F"/>
    <w:rsid w:val="1A1B135F"/>
    <w:rsid w:val="1A2B1828"/>
    <w:rsid w:val="1A394CFA"/>
    <w:rsid w:val="1A881CDD"/>
    <w:rsid w:val="1A895A24"/>
    <w:rsid w:val="1A942758"/>
    <w:rsid w:val="1A952E85"/>
    <w:rsid w:val="1A9F0BC1"/>
    <w:rsid w:val="1AB1581F"/>
    <w:rsid w:val="1AC12B11"/>
    <w:rsid w:val="1AC76B94"/>
    <w:rsid w:val="1AD80FFE"/>
    <w:rsid w:val="1AD82DAC"/>
    <w:rsid w:val="1AE96D67"/>
    <w:rsid w:val="1AEF6A73"/>
    <w:rsid w:val="1AF71484"/>
    <w:rsid w:val="1AFD2812"/>
    <w:rsid w:val="1B18764C"/>
    <w:rsid w:val="1B1C441D"/>
    <w:rsid w:val="1B252495"/>
    <w:rsid w:val="1B300E3A"/>
    <w:rsid w:val="1B356450"/>
    <w:rsid w:val="1B5626E3"/>
    <w:rsid w:val="1B5A1A13"/>
    <w:rsid w:val="1B656D35"/>
    <w:rsid w:val="1B695C92"/>
    <w:rsid w:val="1B854CE1"/>
    <w:rsid w:val="1B865AB3"/>
    <w:rsid w:val="1B8E1259"/>
    <w:rsid w:val="1B9A62B3"/>
    <w:rsid w:val="1B9C64CF"/>
    <w:rsid w:val="1BA55384"/>
    <w:rsid w:val="1BBB0703"/>
    <w:rsid w:val="1BC752FA"/>
    <w:rsid w:val="1BC81072"/>
    <w:rsid w:val="1BCB0B98"/>
    <w:rsid w:val="1BDB6FF7"/>
    <w:rsid w:val="1BF956CF"/>
    <w:rsid w:val="1BFD0D1C"/>
    <w:rsid w:val="1C0F6CA1"/>
    <w:rsid w:val="1C202C5C"/>
    <w:rsid w:val="1C313E81"/>
    <w:rsid w:val="1C3F578D"/>
    <w:rsid w:val="1C56667E"/>
    <w:rsid w:val="1C760ACE"/>
    <w:rsid w:val="1C827473"/>
    <w:rsid w:val="1CA254C3"/>
    <w:rsid w:val="1CA445D6"/>
    <w:rsid w:val="1CB533A4"/>
    <w:rsid w:val="1CCB2BC8"/>
    <w:rsid w:val="1CE608F8"/>
    <w:rsid w:val="1CEE2D5A"/>
    <w:rsid w:val="1CFC7225"/>
    <w:rsid w:val="1D000EA6"/>
    <w:rsid w:val="1D037327"/>
    <w:rsid w:val="1D1327C1"/>
    <w:rsid w:val="1D196CB1"/>
    <w:rsid w:val="1D210A3A"/>
    <w:rsid w:val="1D3505AF"/>
    <w:rsid w:val="1D591496"/>
    <w:rsid w:val="1D7F1C04"/>
    <w:rsid w:val="1DA33B45"/>
    <w:rsid w:val="1DCF66E8"/>
    <w:rsid w:val="1DEB2A3F"/>
    <w:rsid w:val="1E197963"/>
    <w:rsid w:val="1E344866"/>
    <w:rsid w:val="1E403142"/>
    <w:rsid w:val="1E48649A"/>
    <w:rsid w:val="1E594203"/>
    <w:rsid w:val="1E6D2104"/>
    <w:rsid w:val="1E713795"/>
    <w:rsid w:val="1E763007"/>
    <w:rsid w:val="1EB63404"/>
    <w:rsid w:val="1ECE074D"/>
    <w:rsid w:val="1ECE699F"/>
    <w:rsid w:val="1EDF0BAD"/>
    <w:rsid w:val="1F013C86"/>
    <w:rsid w:val="1F043715"/>
    <w:rsid w:val="1F095817"/>
    <w:rsid w:val="1F0A7BCF"/>
    <w:rsid w:val="1F1F0CAA"/>
    <w:rsid w:val="1F3741DD"/>
    <w:rsid w:val="1F3A4035"/>
    <w:rsid w:val="1F413615"/>
    <w:rsid w:val="1F495A63"/>
    <w:rsid w:val="1F550E6F"/>
    <w:rsid w:val="1F5844BB"/>
    <w:rsid w:val="1F6B41EE"/>
    <w:rsid w:val="1F7F5EEC"/>
    <w:rsid w:val="1F8D685B"/>
    <w:rsid w:val="1F8E612F"/>
    <w:rsid w:val="1F9116DA"/>
    <w:rsid w:val="1F923E71"/>
    <w:rsid w:val="1F9F15A9"/>
    <w:rsid w:val="1FAA00DC"/>
    <w:rsid w:val="1FC644C7"/>
    <w:rsid w:val="200E6AE5"/>
    <w:rsid w:val="20123E09"/>
    <w:rsid w:val="20176124"/>
    <w:rsid w:val="20286583"/>
    <w:rsid w:val="203767C6"/>
    <w:rsid w:val="20390790"/>
    <w:rsid w:val="204A474C"/>
    <w:rsid w:val="206C021E"/>
    <w:rsid w:val="206F5F60"/>
    <w:rsid w:val="20827A42"/>
    <w:rsid w:val="208B7018"/>
    <w:rsid w:val="208D1F5D"/>
    <w:rsid w:val="209E05F3"/>
    <w:rsid w:val="20AA51EA"/>
    <w:rsid w:val="20B0044B"/>
    <w:rsid w:val="20B107B3"/>
    <w:rsid w:val="20D85698"/>
    <w:rsid w:val="20DE36B4"/>
    <w:rsid w:val="20E1146A"/>
    <w:rsid w:val="20E457F2"/>
    <w:rsid w:val="20F621DE"/>
    <w:rsid w:val="20FF5536"/>
    <w:rsid w:val="2100305C"/>
    <w:rsid w:val="211014F1"/>
    <w:rsid w:val="212873DB"/>
    <w:rsid w:val="2129494B"/>
    <w:rsid w:val="212C19BC"/>
    <w:rsid w:val="213A6F30"/>
    <w:rsid w:val="21465EFC"/>
    <w:rsid w:val="2147185A"/>
    <w:rsid w:val="21507C6B"/>
    <w:rsid w:val="218B6DCA"/>
    <w:rsid w:val="21BF0821"/>
    <w:rsid w:val="21D00C81"/>
    <w:rsid w:val="21D27DD5"/>
    <w:rsid w:val="21D70261"/>
    <w:rsid w:val="21E169EA"/>
    <w:rsid w:val="21FE759C"/>
    <w:rsid w:val="22405E06"/>
    <w:rsid w:val="225C42C2"/>
    <w:rsid w:val="226D43E2"/>
    <w:rsid w:val="229B128E"/>
    <w:rsid w:val="22A21B1F"/>
    <w:rsid w:val="22A7378F"/>
    <w:rsid w:val="22AB4F51"/>
    <w:rsid w:val="22AC3262"/>
    <w:rsid w:val="22B5014B"/>
    <w:rsid w:val="22FF181D"/>
    <w:rsid w:val="23161E2B"/>
    <w:rsid w:val="231921B3"/>
    <w:rsid w:val="234D330E"/>
    <w:rsid w:val="23616034"/>
    <w:rsid w:val="236D6B88"/>
    <w:rsid w:val="23711FEF"/>
    <w:rsid w:val="23733FB9"/>
    <w:rsid w:val="23901393"/>
    <w:rsid w:val="23A22109"/>
    <w:rsid w:val="23A6613D"/>
    <w:rsid w:val="23A75A11"/>
    <w:rsid w:val="23A87C8F"/>
    <w:rsid w:val="23B1063E"/>
    <w:rsid w:val="23B64B34"/>
    <w:rsid w:val="23E12CD1"/>
    <w:rsid w:val="23E34C9B"/>
    <w:rsid w:val="23FA3D93"/>
    <w:rsid w:val="24044C11"/>
    <w:rsid w:val="24134E54"/>
    <w:rsid w:val="24172532"/>
    <w:rsid w:val="2423778D"/>
    <w:rsid w:val="242D3ABB"/>
    <w:rsid w:val="24547947"/>
    <w:rsid w:val="24813911"/>
    <w:rsid w:val="24A501A2"/>
    <w:rsid w:val="24AC1531"/>
    <w:rsid w:val="24CC1BD3"/>
    <w:rsid w:val="24DA7B6B"/>
    <w:rsid w:val="24EE7D9B"/>
    <w:rsid w:val="24FF5DE0"/>
    <w:rsid w:val="25137802"/>
    <w:rsid w:val="251610A0"/>
    <w:rsid w:val="25461985"/>
    <w:rsid w:val="254A57DC"/>
    <w:rsid w:val="25754019"/>
    <w:rsid w:val="258B383C"/>
    <w:rsid w:val="259A3A7F"/>
    <w:rsid w:val="25A3728F"/>
    <w:rsid w:val="25B763DF"/>
    <w:rsid w:val="25C40AFC"/>
    <w:rsid w:val="25D52D09"/>
    <w:rsid w:val="25D6438C"/>
    <w:rsid w:val="260809E9"/>
    <w:rsid w:val="26284BE7"/>
    <w:rsid w:val="262F4200"/>
    <w:rsid w:val="263B7010"/>
    <w:rsid w:val="263F0183"/>
    <w:rsid w:val="26451C3D"/>
    <w:rsid w:val="265005E2"/>
    <w:rsid w:val="267F67D1"/>
    <w:rsid w:val="26832765"/>
    <w:rsid w:val="26926505"/>
    <w:rsid w:val="269E134D"/>
    <w:rsid w:val="26AB75C6"/>
    <w:rsid w:val="26B172D2"/>
    <w:rsid w:val="26C54B2C"/>
    <w:rsid w:val="2706588F"/>
    <w:rsid w:val="273F4E8C"/>
    <w:rsid w:val="27425571"/>
    <w:rsid w:val="27455C6D"/>
    <w:rsid w:val="275639D6"/>
    <w:rsid w:val="275E015E"/>
    <w:rsid w:val="275F35AE"/>
    <w:rsid w:val="2782466B"/>
    <w:rsid w:val="27BF1FEC"/>
    <w:rsid w:val="27C3427E"/>
    <w:rsid w:val="27C61C7C"/>
    <w:rsid w:val="27ED7460"/>
    <w:rsid w:val="28081174"/>
    <w:rsid w:val="280E2503"/>
    <w:rsid w:val="281F64BE"/>
    <w:rsid w:val="283232D4"/>
    <w:rsid w:val="285C501C"/>
    <w:rsid w:val="28687E65"/>
    <w:rsid w:val="286C4595"/>
    <w:rsid w:val="287560DE"/>
    <w:rsid w:val="28AA222B"/>
    <w:rsid w:val="28B53DF5"/>
    <w:rsid w:val="28C476E0"/>
    <w:rsid w:val="28EF40E2"/>
    <w:rsid w:val="28F17B81"/>
    <w:rsid w:val="28F434A6"/>
    <w:rsid w:val="28FD67FF"/>
    <w:rsid w:val="29081417"/>
    <w:rsid w:val="292250F1"/>
    <w:rsid w:val="29475193"/>
    <w:rsid w:val="295F5AC6"/>
    <w:rsid w:val="296F5223"/>
    <w:rsid w:val="29891E41"/>
    <w:rsid w:val="299A404E"/>
    <w:rsid w:val="29A95B93"/>
    <w:rsid w:val="29B669AE"/>
    <w:rsid w:val="29B844D4"/>
    <w:rsid w:val="29CA4207"/>
    <w:rsid w:val="29CA61B7"/>
    <w:rsid w:val="29DA6B40"/>
    <w:rsid w:val="29EA6657"/>
    <w:rsid w:val="29F15C38"/>
    <w:rsid w:val="29F179E6"/>
    <w:rsid w:val="29F55728"/>
    <w:rsid w:val="2A0A0E8C"/>
    <w:rsid w:val="2A0B6CFA"/>
    <w:rsid w:val="2A28344F"/>
    <w:rsid w:val="2A297180"/>
    <w:rsid w:val="2A2B6E91"/>
    <w:rsid w:val="2A585C2C"/>
    <w:rsid w:val="2AA34E87"/>
    <w:rsid w:val="2AA44A58"/>
    <w:rsid w:val="2AAC64B7"/>
    <w:rsid w:val="2AAE0F81"/>
    <w:rsid w:val="2AB47391"/>
    <w:rsid w:val="2AD510B6"/>
    <w:rsid w:val="2AEA2DB3"/>
    <w:rsid w:val="2AFE685E"/>
    <w:rsid w:val="2B066F3C"/>
    <w:rsid w:val="2B0D4CF3"/>
    <w:rsid w:val="2B162D59"/>
    <w:rsid w:val="2B8A1EA0"/>
    <w:rsid w:val="2BB1742D"/>
    <w:rsid w:val="2BB439A7"/>
    <w:rsid w:val="2BCE6231"/>
    <w:rsid w:val="2BEA0B91"/>
    <w:rsid w:val="2C0C4FAB"/>
    <w:rsid w:val="2C1D4AC2"/>
    <w:rsid w:val="2C260AF1"/>
    <w:rsid w:val="2C2878E5"/>
    <w:rsid w:val="2C2E6CCF"/>
    <w:rsid w:val="2C35005E"/>
    <w:rsid w:val="2C4464F3"/>
    <w:rsid w:val="2C534988"/>
    <w:rsid w:val="2C844B41"/>
    <w:rsid w:val="2C862667"/>
    <w:rsid w:val="2C9F5E1F"/>
    <w:rsid w:val="2CCE2260"/>
    <w:rsid w:val="2CD56B9F"/>
    <w:rsid w:val="2CD7120F"/>
    <w:rsid w:val="2CDE053C"/>
    <w:rsid w:val="2CFE66A2"/>
    <w:rsid w:val="2D11647C"/>
    <w:rsid w:val="2D1613FE"/>
    <w:rsid w:val="2D1A7254"/>
    <w:rsid w:val="2D287BC3"/>
    <w:rsid w:val="2D2D51D9"/>
    <w:rsid w:val="2D354E9E"/>
    <w:rsid w:val="2D4362D4"/>
    <w:rsid w:val="2D4928AD"/>
    <w:rsid w:val="2D5B1D46"/>
    <w:rsid w:val="2D6D3827"/>
    <w:rsid w:val="2D7418B2"/>
    <w:rsid w:val="2D986AF6"/>
    <w:rsid w:val="2DB62D53"/>
    <w:rsid w:val="2DB66F7C"/>
    <w:rsid w:val="2DDE64D3"/>
    <w:rsid w:val="2DF83A39"/>
    <w:rsid w:val="2E0E0B66"/>
    <w:rsid w:val="2E3908D5"/>
    <w:rsid w:val="2E3D58F0"/>
    <w:rsid w:val="2E4858BB"/>
    <w:rsid w:val="2E60513A"/>
    <w:rsid w:val="2E7B1F74"/>
    <w:rsid w:val="2E9A1F0E"/>
    <w:rsid w:val="2E9D028B"/>
    <w:rsid w:val="2EB07E70"/>
    <w:rsid w:val="2EC13E2B"/>
    <w:rsid w:val="2EC85484"/>
    <w:rsid w:val="2EE64A43"/>
    <w:rsid w:val="2F0361F1"/>
    <w:rsid w:val="2F0D0E1E"/>
    <w:rsid w:val="2F106B60"/>
    <w:rsid w:val="2F1A353B"/>
    <w:rsid w:val="2F2115DF"/>
    <w:rsid w:val="2F3445FD"/>
    <w:rsid w:val="2F4F7689"/>
    <w:rsid w:val="2F684D4D"/>
    <w:rsid w:val="2F700DEB"/>
    <w:rsid w:val="2FB971F8"/>
    <w:rsid w:val="2FC35DC5"/>
    <w:rsid w:val="2FD951A4"/>
    <w:rsid w:val="2FE37DD1"/>
    <w:rsid w:val="2FFB15BE"/>
    <w:rsid w:val="30031653"/>
    <w:rsid w:val="30134B5A"/>
    <w:rsid w:val="30332B06"/>
    <w:rsid w:val="30393E95"/>
    <w:rsid w:val="304C3BC8"/>
    <w:rsid w:val="307C512D"/>
    <w:rsid w:val="309F63EE"/>
    <w:rsid w:val="30A07FD4"/>
    <w:rsid w:val="30A532D8"/>
    <w:rsid w:val="30BC0D4E"/>
    <w:rsid w:val="30D37E45"/>
    <w:rsid w:val="30D81900"/>
    <w:rsid w:val="30E95D30"/>
    <w:rsid w:val="30F1651D"/>
    <w:rsid w:val="30F54260"/>
    <w:rsid w:val="314B20D2"/>
    <w:rsid w:val="31615451"/>
    <w:rsid w:val="316F060E"/>
    <w:rsid w:val="3186135C"/>
    <w:rsid w:val="318F2B68"/>
    <w:rsid w:val="31910237"/>
    <w:rsid w:val="319C57BD"/>
    <w:rsid w:val="31B50B0C"/>
    <w:rsid w:val="31CB6D6E"/>
    <w:rsid w:val="31E152C5"/>
    <w:rsid w:val="31F82AAF"/>
    <w:rsid w:val="32024E86"/>
    <w:rsid w:val="320D55D9"/>
    <w:rsid w:val="32196446"/>
    <w:rsid w:val="32364B30"/>
    <w:rsid w:val="323F039F"/>
    <w:rsid w:val="32433D4E"/>
    <w:rsid w:val="32593DA3"/>
    <w:rsid w:val="326C2300"/>
    <w:rsid w:val="32742649"/>
    <w:rsid w:val="3277182F"/>
    <w:rsid w:val="328E2276"/>
    <w:rsid w:val="32910342"/>
    <w:rsid w:val="32AC7DED"/>
    <w:rsid w:val="33034963"/>
    <w:rsid w:val="330C09CA"/>
    <w:rsid w:val="332B5D17"/>
    <w:rsid w:val="33386686"/>
    <w:rsid w:val="335A5584"/>
    <w:rsid w:val="3361798A"/>
    <w:rsid w:val="336D4799"/>
    <w:rsid w:val="336E3E55"/>
    <w:rsid w:val="336F02F9"/>
    <w:rsid w:val="339228B3"/>
    <w:rsid w:val="33A930DF"/>
    <w:rsid w:val="33C23086"/>
    <w:rsid w:val="33CA7BC1"/>
    <w:rsid w:val="340F73E6"/>
    <w:rsid w:val="3451558C"/>
    <w:rsid w:val="34594B05"/>
    <w:rsid w:val="346A3EC5"/>
    <w:rsid w:val="34931DC5"/>
    <w:rsid w:val="34A82C7F"/>
    <w:rsid w:val="34A87275"/>
    <w:rsid w:val="34AF4725"/>
    <w:rsid w:val="34D67F04"/>
    <w:rsid w:val="34D73B6E"/>
    <w:rsid w:val="34DD5737"/>
    <w:rsid w:val="34EC597A"/>
    <w:rsid w:val="34F07218"/>
    <w:rsid w:val="34F86D6A"/>
    <w:rsid w:val="35004F81"/>
    <w:rsid w:val="3509150B"/>
    <w:rsid w:val="35155271"/>
    <w:rsid w:val="351A24E7"/>
    <w:rsid w:val="351A2FF5"/>
    <w:rsid w:val="351E132B"/>
    <w:rsid w:val="35337105"/>
    <w:rsid w:val="353510CF"/>
    <w:rsid w:val="353F5AA9"/>
    <w:rsid w:val="35447DF1"/>
    <w:rsid w:val="3546508A"/>
    <w:rsid w:val="35493B58"/>
    <w:rsid w:val="35531555"/>
    <w:rsid w:val="35643762"/>
    <w:rsid w:val="359027A9"/>
    <w:rsid w:val="35A3072E"/>
    <w:rsid w:val="35A40002"/>
    <w:rsid w:val="35AA386B"/>
    <w:rsid w:val="35AE6E6A"/>
    <w:rsid w:val="35BF4E3C"/>
    <w:rsid w:val="35DA3A24"/>
    <w:rsid w:val="35E93C67"/>
    <w:rsid w:val="35FC399A"/>
    <w:rsid w:val="36121410"/>
    <w:rsid w:val="362D1DA6"/>
    <w:rsid w:val="363475D8"/>
    <w:rsid w:val="36401AD9"/>
    <w:rsid w:val="36464CCC"/>
    <w:rsid w:val="36496DE4"/>
    <w:rsid w:val="36590DED"/>
    <w:rsid w:val="365E6403"/>
    <w:rsid w:val="366D4898"/>
    <w:rsid w:val="36A04C6E"/>
    <w:rsid w:val="36A4475E"/>
    <w:rsid w:val="36A75FFC"/>
    <w:rsid w:val="36B81FB7"/>
    <w:rsid w:val="36D36DF1"/>
    <w:rsid w:val="36DD1A1E"/>
    <w:rsid w:val="36E76C88"/>
    <w:rsid w:val="36F05FD0"/>
    <w:rsid w:val="370B53CC"/>
    <w:rsid w:val="37130068"/>
    <w:rsid w:val="37294C63"/>
    <w:rsid w:val="372E4027"/>
    <w:rsid w:val="373B52E1"/>
    <w:rsid w:val="37667C65"/>
    <w:rsid w:val="37722262"/>
    <w:rsid w:val="37773C20"/>
    <w:rsid w:val="378E0F6A"/>
    <w:rsid w:val="37A83DDA"/>
    <w:rsid w:val="37A97B52"/>
    <w:rsid w:val="37B95FE7"/>
    <w:rsid w:val="37BB526F"/>
    <w:rsid w:val="37CF580A"/>
    <w:rsid w:val="37D2727A"/>
    <w:rsid w:val="37DF2259"/>
    <w:rsid w:val="37F52D97"/>
    <w:rsid w:val="37FE1858"/>
    <w:rsid w:val="38382386"/>
    <w:rsid w:val="38877E93"/>
    <w:rsid w:val="3896026B"/>
    <w:rsid w:val="38B844F1"/>
    <w:rsid w:val="38CC7F9C"/>
    <w:rsid w:val="38CE3E46"/>
    <w:rsid w:val="39051C59"/>
    <w:rsid w:val="390E5EBF"/>
    <w:rsid w:val="392F4087"/>
    <w:rsid w:val="39311BAD"/>
    <w:rsid w:val="39331DC9"/>
    <w:rsid w:val="394C69E7"/>
    <w:rsid w:val="3951224F"/>
    <w:rsid w:val="39651B85"/>
    <w:rsid w:val="39763A64"/>
    <w:rsid w:val="39812B34"/>
    <w:rsid w:val="39A031F6"/>
    <w:rsid w:val="39C96289"/>
    <w:rsid w:val="3A074412"/>
    <w:rsid w:val="3A1C2D3E"/>
    <w:rsid w:val="3A1E4827"/>
    <w:rsid w:val="3A396F6B"/>
    <w:rsid w:val="3A486334"/>
    <w:rsid w:val="3A4A257D"/>
    <w:rsid w:val="3A4B6D79"/>
    <w:rsid w:val="3A5244D1"/>
    <w:rsid w:val="3A5C0EAC"/>
    <w:rsid w:val="3A731CF5"/>
    <w:rsid w:val="3A742699"/>
    <w:rsid w:val="3A7461F5"/>
    <w:rsid w:val="3A946897"/>
    <w:rsid w:val="3AAC7D66"/>
    <w:rsid w:val="3ABE5F92"/>
    <w:rsid w:val="3AD4138A"/>
    <w:rsid w:val="3AE07D2F"/>
    <w:rsid w:val="3B261128"/>
    <w:rsid w:val="3B610EC8"/>
    <w:rsid w:val="3B65225F"/>
    <w:rsid w:val="3B806E7F"/>
    <w:rsid w:val="3BA53106"/>
    <w:rsid w:val="3BD74C8E"/>
    <w:rsid w:val="3BD86C58"/>
    <w:rsid w:val="3BD97807"/>
    <w:rsid w:val="3BDC04F6"/>
    <w:rsid w:val="3BDF1D94"/>
    <w:rsid w:val="3BE1425D"/>
    <w:rsid w:val="3BF33A92"/>
    <w:rsid w:val="3C013F08"/>
    <w:rsid w:val="3C291261"/>
    <w:rsid w:val="3C442115"/>
    <w:rsid w:val="3C5F1580"/>
    <w:rsid w:val="3C6D5663"/>
    <w:rsid w:val="3C81109D"/>
    <w:rsid w:val="3C9137E0"/>
    <w:rsid w:val="3CA371C7"/>
    <w:rsid w:val="3CCF1E09"/>
    <w:rsid w:val="3CED6733"/>
    <w:rsid w:val="3D08468D"/>
    <w:rsid w:val="3D143CBF"/>
    <w:rsid w:val="3D265397"/>
    <w:rsid w:val="3D45031D"/>
    <w:rsid w:val="3D4520CB"/>
    <w:rsid w:val="3D4A5933"/>
    <w:rsid w:val="3D5567B2"/>
    <w:rsid w:val="3D762284"/>
    <w:rsid w:val="3D85696B"/>
    <w:rsid w:val="3D867D03"/>
    <w:rsid w:val="3DA9265A"/>
    <w:rsid w:val="3DB37034"/>
    <w:rsid w:val="3DB52CA0"/>
    <w:rsid w:val="3DB92773"/>
    <w:rsid w:val="3DDB4D41"/>
    <w:rsid w:val="3DE1632C"/>
    <w:rsid w:val="3DE73182"/>
    <w:rsid w:val="3DEA60C5"/>
    <w:rsid w:val="3E027FBC"/>
    <w:rsid w:val="3E067AAC"/>
    <w:rsid w:val="3E18158D"/>
    <w:rsid w:val="3E4951B3"/>
    <w:rsid w:val="3E502AD5"/>
    <w:rsid w:val="3E614006"/>
    <w:rsid w:val="3E6A003B"/>
    <w:rsid w:val="3E831516"/>
    <w:rsid w:val="3E9C5D1B"/>
    <w:rsid w:val="3EAB2402"/>
    <w:rsid w:val="3EBE3EE3"/>
    <w:rsid w:val="3ED3238B"/>
    <w:rsid w:val="3EED4953"/>
    <w:rsid w:val="3EF06066"/>
    <w:rsid w:val="3EF43DA9"/>
    <w:rsid w:val="3F020381"/>
    <w:rsid w:val="3F312907"/>
    <w:rsid w:val="3F390222"/>
    <w:rsid w:val="3F402B4A"/>
    <w:rsid w:val="3F406FEE"/>
    <w:rsid w:val="3F407CAA"/>
    <w:rsid w:val="3F6A7BC7"/>
    <w:rsid w:val="3F6C7DE3"/>
    <w:rsid w:val="3F7D269C"/>
    <w:rsid w:val="3F9E5AC2"/>
    <w:rsid w:val="3FCA68B7"/>
    <w:rsid w:val="3FCE23EB"/>
    <w:rsid w:val="3FDA4D4C"/>
    <w:rsid w:val="3FDC4011"/>
    <w:rsid w:val="3FE1257F"/>
    <w:rsid w:val="3FF17CCF"/>
    <w:rsid w:val="40153FD6"/>
    <w:rsid w:val="40491ED2"/>
    <w:rsid w:val="405E3BCF"/>
    <w:rsid w:val="40780425"/>
    <w:rsid w:val="407F3B46"/>
    <w:rsid w:val="409745D2"/>
    <w:rsid w:val="40A0202D"/>
    <w:rsid w:val="40A4535A"/>
    <w:rsid w:val="40B01F51"/>
    <w:rsid w:val="40B530C4"/>
    <w:rsid w:val="40B957EF"/>
    <w:rsid w:val="40C31C84"/>
    <w:rsid w:val="40DA6197"/>
    <w:rsid w:val="40E53AAB"/>
    <w:rsid w:val="40EB2F89"/>
    <w:rsid w:val="40F24318"/>
    <w:rsid w:val="410C0C97"/>
    <w:rsid w:val="414413B8"/>
    <w:rsid w:val="414D1AC6"/>
    <w:rsid w:val="41576633"/>
    <w:rsid w:val="415C79E3"/>
    <w:rsid w:val="415F0418"/>
    <w:rsid w:val="416845DA"/>
    <w:rsid w:val="416D399E"/>
    <w:rsid w:val="41780811"/>
    <w:rsid w:val="419456F5"/>
    <w:rsid w:val="41964025"/>
    <w:rsid w:val="419E624E"/>
    <w:rsid w:val="41DB4DAC"/>
    <w:rsid w:val="41EF06BE"/>
    <w:rsid w:val="420774D2"/>
    <w:rsid w:val="421701A7"/>
    <w:rsid w:val="421C359D"/>
    <w:rsid w:val="425516C3"/>
    <w:rsid w:val="425F2679"/>
    <w:rsid w:val="42621029"/>
    <w:rsid w:val="42A6360C"/>
    <w:rsid w:val="42A94EAA"/>
    <w:rsid w:val="42C13FA2"/>
    <w:rsid w:val="42C41CE4"/>
    <w:rsid w:val="42C54AC7"/>
    <w:rsid w:val="42EF4FB3"/>
    <w:rsid w:val="42F44377"/>
    <w:rsid w:val="43036368"/>
    <w:rsid w:val="43065E58"/>
    <w:rsid w:val="43095949"/>
    <w:rsid w:val="431467C7"/>
    <w:rsid w:val="43192030"/>
    <w:rsid w:val="43193DDE"/>
    <w:rsid w:val="432A08FD"/>
    <w:rsid w:val="43615785"/>
    <w:rsid w:val="43665781"/>
    <w:rsid w:val="43667D3A"/>
    <w:rsid w:val="43707776"/>
    <w:rsid w:val="439711A6"/>
    <w:rsid w:val="439E0787"/>
    <w:rsid w:val="43A0005B"/>
    <w:rsid w:val="43A253C6"/>
    <w:rsid w:val="43B239F7"/>
    <w:rsid w:val="43B42751"/>
    <w:rsid w:val="43EA5F57"/>
    <w:rsid w:val="43ED0DC6"/>
    <w:rsid w:val="441F5424"/>
    <w:rsid w:val="44406353"/>
    <w:rsid w:val="445C6678"/>
    <w:rsid w:val="4469195A"/>
    <w:rsid w:val="4487121B"/>
    <w:rsid w:val="44890AEF"/>
    <w:rsid w:val="449035E0"/>
    <w:rsid w:val="449425F5"/>
    <w:rsid w:val="4497022A"/>
    <w:rsid w:val="44BC7469"/>
    <w:rsid w:val="44C1472D"/>
    <w:rsid w:val="44CE29A6"/>
    <w:rsid w:val="44F3065E"/>
    <w:rsid w:val="45154A79"/>
    <w:rsid w:val="4521341D"/>
    <w:rsid w:val="4521476E"/>
    <w:rsid w:val="452720ED"/>
    <w:rsid w:val="45375405"/>
    <w:rsid w:val="45877724"/>
    <w:rsid w:val="45AB2CE7"/>
    <w:rsid w:val="45AC3E09"/>
    <w:rsid w:val="45B23E3F"/>
    <w:rsid w:val="45B70A3D"/>
    <w:rsid w:val="45B93656"/>
    <w:rsid w:val="45CF4C28"/>
    <w:rsid w:val="45D717C4"/>
    <w:rsid w:val="45E435E2"/>
    <w:rsid w:val="45E74A90"/>
    <w:rsid w:val="45F4643C"/>
    <w:rsid w:val="45F57860"/>
    <w:rsid w:val="46284338"/>
    <w:rsid w:val="46517D32"/>
    <w:rsid w:val="465313B5"/>
    <w:rsid w:val="467435CF"/>
    <w:rsid w:val="46841EB6"/>
    <w:rsid w:val="4685178A"/>
    <w:rsid w:val="46902609"/>
    <w:rsid w:val="469A5235"/>
    <w:rsid w:val="469F3582"/>
    <w:rsid w:val="46D1677D"/>
    <w:rsid w:val="46E0008F"/>
    <w:rsid w:val="46E26BDC"/>
    <w:rsid w:val="46F10BCE"/>
    <w:rsid w:val="46F5246C"/>
    <w:rsid w:val="4707595C"/>
    <w:rsid w:val="47212803"/>
    <w:rsid w:val="473311E6"/>
    <w:rsid w:val="47541095"/>
    <w:rsid w:val="47573126"/>
    <w:rsid w:val="47674450"/>
    <w:rsid w:val="478832E0"/>
    <w:rsid w:val="478D08F6"/>
    <w:rsid w:val="47906638"/>
    <w:rsid w:val="47A85F5F"/>
    <w:rsid w:val="47CF7161"/>
    <w:rsid w:val="47E04ECA"/>
    <w:rsid w:val="47F24BFD"/>
    <w:rsid w:val="47F53C79"/>
    <w:rsid w:val="480A57D7"/>
    <w:rsid w:val="480C66F0"/>
    <w:rsid w:val="4823125B"/>
    <w:rsid w:val="485968EF"/>
    <w:rsid w:val="485A1120"/>
    <w:rsid w:val="485B6C46"/>
    <w:rsid w:val="485F2075"/>
    <w:rsid w:val="486270F7"/>
    <w:rsid w:val="487B1097"/>
    <w:rsid w:val="48885EE0"/>
    <w:rsid w:val="489A3251"/>
    <w:rsid w:val="489A514C"/>
    <w:rsid w:val="48A71E8C"/>
    <w:rsid w:val="48D32C81"/>
    <w:rsid w:val="48FC471B"/>
    <w:rsid w:val="490966A2"/>
    <w:rsid w:val="490B41C9"/>
    <w:rsid w:val="49241B32"/>
    <w:rsid w:val="49252F24"/>
    <w:rsid w:val="493354CD"/>
    <w:rsid w:val="493C4382"/>
    <w:rsid w:val="49553696"/>
    <w:rsid w:val="49623162"/>
    <w:rsid w:val="49A308A5"/>
    <w:rsid w:val="49A3772A"/>
    <w:rsid w:val="49B900C8"/>
    <w:rsid w:val="49D123B3"/>
    <w:rsid w:val="49EF7646"/>
    <w:rsid w:val="4A0155CC"/>
    <w:rsid w:val="4A1452FF"/>
    <w:rsid w:val="4A353B9A"/>
    <w:rsid w:val="4A4A6F73"/>
    <w:rsid w:val="4A5774C3"/>
    <w:rsid w:val="4A8E6E5F"/>
    <w:rsid w:val="4A953621"/>
    <w:rsid w:val="4A9D52F4"/>
    <w:rsid w:val="4AB80380"/>
    <w:rsid w:val="4ACB00B3"/>
    <w:rsid w:val="4AD74B40"/>
    <w:rsid w:val="4AF40C8C"/>
    <w:rsid w:val="4AF60EA8"/>
    <w:rsid w:val="4B3E3678"/>
    <w:rsid w:val="4B4C0AC8"/>
    <w:rsid w:val="4B4E1F59"/>
    <w:rsid w:val="4B663938"/>
    <w:rsid w:val="4B6B53F2"/>
    <w:rsid w:val="4B887D52"/>
    <w:rsid w:val="4BBC17AA"/>
    <w:rsid w:val="4BC27510"/>
    <w:rsid w:val="4BC366C0"/>
    <w:rsid w:val="4BEC3F5C"/>
    <w:rsid w:val="4BF44BA8"/>
    <w:rsid w:val="4BFF5B3B"/>
    <w:rsid w:val="4C07132A"/>
    <w:rsid w:val="4C0A69B9"/>
    <w:rsid w:val="4C324162"/>
    <w:rsid w:val="4C594369"/>
    <w:rsid w:val="4C76404F"/>
    <w:rsid w:val="4C8C783C"/>
    <w:rsid w:val="4C975D73"/>
    <w:rsid w:val="4CC052CA"/>
    <w:rsid w:val="4CD86AB8"/>
    <w:rsid w:val="4CEC60BF"/>
    <w:rsid w:val="4CEE32D5"/>
    <w:rsid w:val="4CF5766A"/>
    <w:rsid w:val="4D003B9C"/>
    <w:rsid w:val="4D0945F7"/>
    <w:rsid w:val="4D0C3EC5"/>
    <w:rsid w:val="4D1B69A4"/>
    <w:rsid w:val="4D21045F"/>
    <w:rsid w:val="4D2717ED"/>
    <w:rsid w:val="4D31344E"/>
    <w:rsid w:val="4D3F03B7"/>
    <w:rsid w:val="4D472D6D"/>
    <w:rsid w:val="4D5123C6"/>
    <w:rsid w:val="4D782049"/>
    <w:rsid w:val="4D7F5185"/>
    <w:rsid w:val="4D853FE5"/>
    <w:rsid w:val="4D8D6FFC"/>
    <w:rsid w:val="4DA62712"/>
    <w:rsid w:val="4DA906B9"/>
    <w:rsid w:val="4DB72B71"/>
    <w:rsid w:val="4DC66910"/>
    <w:rsid w:val="4DF25957"/>
    <w:rsid w:val="4E0631B0"/>
    <w:rsid w:val="4E0D453F"/>
    <w:rsid w:val="4E6F0D56"/>
    <w:rsid w:val="4E9702AC"/>
    <w:rsid w:val="4EB37268"/>
    <w:rsid w:val="4EB61BBC"/>
    <w:rsid w:val="4EC866B8"/>
    <w:rsid w:val="4EDD217F"/>
    <w:rsid w:val="4EF179BD"/>
    <w:rsid w:val="4EF456FF"/>
    <w:rsid w:val="4EFA6F6E"/>
    <w:rsid w:val="4EFC5641"/>
    <w:rsid w:val="4F0C2E34"/>
    <w:rsid w:val="4F5575B8"/>
    <w:rsid w:val="4F734D00"/>
    <w:rsid w:val="4F7A3E56"/>
    <w:rsid w:val="4F8E2AC8"/>
    <w:rsid w:val="4F93321A"/>
    <w:rsid w:val="4F9547EC"/>
    <w:rsid w:val="4FA52023"/>
    <w:rsid w:val="4FB37368"/>
    <w:rsid w:val="4FBD16E0"/>
    <w:rsid w:val="4FCE41A2"/>
    <w:rsid w:val="4FD712A8"/>
    <w:rsid w:val="4FEE6CD8"/>
    <w:rsid w:val="4FF43C08"/>
    <w:rsid w:val="50176CF0"/>
    <w:rsid w:val="50306C0B"/>
    <w:rsid w:val="5043249A"/>
    <w:rsid w:val="50591CBD"/>
    <w:rsid w:val="505A0D30"/>
    <w:rsid w:val="505F58AD"/>
    <w:rsid w:val="5060022A"/>
    <w:rsid w:val="50630D8E"/>
    <w:rsid w:val="50674107"/>
    <w:rsid w:val="50792360"/>
    <w:rsid w:val="508D74DE"/>
    <w:rsid w:val="50926F7D"/>
    <w:rsid w:val="50942CF5"/>
    <w:rsid w:val="50A8054F"/>
    <w:rsid w:val="50BA16F2"/>
    <w:rsid w:val="50BC3FFA"/>
    <w:rsid w:val="50BF0E64"/>
    <w:rsid w:val="511A2440"/>
    <w:rsid w:val="511A7C44"/>
    <w:rsid w:val="5122491C"/>
    <w:rsid w:val="512322CB"/>
    <w:rsid w:val="51422751"/>
    <w:rsid w:val="51646B6C"/>
    <w:rsid w:val="517D5E7F"/>
    <w:rsid w:val="518014CC"/>
    <w:rsid w:val="518E42C1"/>
    <w:rsid w:val="519235CE"/>
    <w:rsid w:val="519B6306"/>
    <w:rsid w:val="51D1067B"/>
    <w:rsid w:val="52004638"/>
    <w:rsid w:val="52383B54"/>
    <w:rsid w:val="523A167B"/>
    <w:rsid w:val="5247498C"/>
    <w:rsid w:val="525C75D4"/>
    <w:rsid w:val="529B377D"/>
    <w:rsid w:val="52AA6800"/>
    <w:rsid w:val="52C11D9C"/>
    <w:rsid w:val="52D970E6"/>
    <w:rsid w:val="52E00474"/>
    <w:rsid w:val="52E02222"/>
    <w:rsid w:val="52ED2B91"/>
    <w:rsid w:val="52F91536"/>
    <w:rsid w:val="5334256E"/>
    <w:rsid w:val="53346A12"/>
    <w:rsid w:val="533C108C"/>
    <w:rsid w:val="53426A39"/>
    <w:rsid w:val="535E583D"/>
    <w:rsid w:val="537E1A3B"/>
    <w:rsid w:val="539C61A7"/>
    <w:rsid w:val="53A616BE"/>
    <w:rsid w:val="53DA3115"/>
    <w:rsid w:val="540006A2"/>
    <w:rsid w:val="5402441A"/>
    <w:rsid w:val="541F6D7A"/>
    <w:rsid w:val="542E520F"/>
    <w:rsid w:val="544669FD"/>
    <w:rsid w:val="54476FB8"/>
    <w:rsid w:val="544D1B39"/>
    <w:rsid w:val="54596730"/>
    <w:rsid w:val="546926EB"/>
    <w:rsid w:val="54887441"/>
    <w:rsid w:val="54A11E85"/>
    <w:rsid w:val="54AB2D04"/>
    <w:rsid w:val="54DA0EF3"/>
    <w:rsid w:val="54EA55DA"/>
    <w:rsid w:val="54F82AC4"/>
    <w:rsid w:val="54FC530D"/>
    <w:rsid w:val="550B1F09"/>
    <w:rsid w:val="5512757B"/>
    <w:rsid w:val="55286E13"/>
    <w:rsid w:val="556057DC"/>
    <w:rsid w:val="556829A3"/>
    <w:rsid w:val="557830EE"/>
    <w:rsid w:val="558066AF"/>
    <w:rsid w:val="558F46A6"/>
    <w:rsid w:val="55A03EEB"/>
    <w:rsid w:val="55B1434A"/>
    <w:rsid w:val="55C66E38"/>
    <w:rsid w:val="55CE0A58"/>
    <w:rsid w:val="55E70B87"/>
    <w:rsid w:val="56064695"/>
    <w:rsid w:val="56566879"/>
    <w:rsid w:val="565E2B4F"/>
    <w:rsid w:val="56867584"/>
    <w:rsid w:val="568832FC"/>
    <w:rsid w:val="569E667C"/>
    <w:rsid w:val="56A12F8A"/>
    <w:rsid w:val="56A812A9"/>
    <w:rsid w:val="56AD4B11"/>
    <w:rsid w:val="56B714EC"/>
    <w:rsid w:val="56D57BC4"/>
    <w:rsid w:val="57030BD5"/>
    <w:rsid w:val="570A5ABF"/>
    <w:rsid w:val="570B1838"/>
    <w:rsid w:val="571F3442"/>
    <w:rsid w:val="5728082F"/>
    <w:rsid w:val="57452F9B"/>
    <w:rsid w:val="57472757"/>
    <w:rsid w:val="5748483A"/>
    <w:rsid w:val="574D00A2"/>
    <w:rsid w:val="57560358"/>
    <w:rsid w:val="57580F21"/>
    <w:rsid w:val="579637F7"/>
    <w:rsid w:val="57A35F14"/>
    <w:rsid w:val="57A87C2C"/>
    <w:rsid w:val="57B14CC6"/>
    <w:rsid w:val="57B7551B"/>
    <w:rsid w:val="57B974E6"/>
    <w:rsid w:val="57CB1598"/>
    <w:rsid w:val="57CB2D30"/>
    <w:rsid w:val="57CF336F"/>
    <w:rsid w:val="57CF6D09"/>
    <w:rsid w:val="582A1A5B"/>
    <w:rsid w:val="582A3F3F"/>
    <w:rsid w:val="584C4CD1"/>
    <w:rsid w:val="58597CE7"/>
    <w:rsid w:val="58637B11"/>
    <w:rsid w:val="58896EB8"/>
    <w:rsid w:val="58B54151"/>
    <w:rsid w:val="58D00F8B"/>
    <w:rsid w:val="58EA4B41"/>
    <w:rsid w:val="591F781C"/>
    <w:rsid w:val="59407D71"/>
    <w:rsid w:val="596671F9"/>
    <w:rsid w:val="59692C57"/>
    <w:rsid w:val="597436C4"/>
    <w:rsid w:val="597C07CB"/>
    <w:rsid w:val="59A9527B"/>
    <w:rsid w:val="59AD4E28"/>
    <w:rsid w:val="59AF0D83"/>
    <w:rsid w:val="59BC3B3C"/>
    <w:rsid w:val="59C77A9D"/>
    <w:rsid w:val="5A026AF5"/>
    <w:rsid w:val="5A036CF4"/>
    <w:rsid w:val="5A04713E"/>
    <w:rsid w:val="5A2B5E67"/>
    <w:rsid w:val="5A364E1D"/>
    <w:rsid w:val="5A3F1F24"/>
    <w:rsid w:val="5A625E1E"/>
    <w:rsid w:val="5A7616BE"/>
    <w:rsid w:val="5A8E6A07"/>
    <w:rsid w:val="5AA5558A"/>
    <w:rsid w:val="5AE91E90"/>
    <w:rsid w:val="5AFA74C4"/>
    <w:rsid w:val="5B061323"/>
    <w:rsid w:val="5B2A4FDA"/>
    <w:rsid w:val="5B2F14BA"/>
    <w:rsid w:val="5B4A6DD2"/>
    <w:rsid w:val="5B6C5036"/>
    <w:rsid w:val="5B8816A9"/>
    <w:rsid w:val="5B8D0A44"/>
    <w:rsid w:val="5BA109BC"/>
    <w:rsid w:val="5BAF6C35"/>
    <w:rsid w:val="5BC07095"/>
    <w:rsid w:val="5BC14BBB"/>
    <w:rsid w:val="5BCA45BD"/>
    <w:rsid w:val="5BE64F4A"/>
    <w:rsid w:val="5BE72873"/>
    <w:rsid w:val="5BF55EA2"/>
    <w:rsid w:val="5BFE196B"/>
    <w:rsid w:val="5C1D0043"/>
    <w:rsid w:val="5C25339C"/>
    <w:rsid w:val="5C275401"/>
    <w:rsid w:val="5C4A2E02"/>
    <w:rsid w:val="5C6F54C7"/>
    <w:rsid w:val="5C9A1694"/>
    <w:rsid w:val="5C9D1184"/>
    <w:rsid w:val="5CA249EC"/>
    <w:rsid w:val="5CA5728E"/>
    <w:rsid w:val="5CAC7619"/>
    <w:rsid w:val="5CB87D6C"/>
    <w:rsid w:val="5CBF3C55"/>
    <w:rsid w:val="5CDA52E8"/>
    <w:rsid w:val="5CDC1CAC"/>
    <w:rsid w:val="5CE329D5"/>
    <w:rsid w:val="5CEC5C67"/>
    <w:rsid w:val="5CF65E8A"/>
    <w:rsid w:val="5CF80AB0"/>
    <w:rsid w:val="5D157897"/>
    <w:rsid w:val="5D170F36"/>
    <w:rsid w:val="5D373386"/>
    <w:rsid w:val="5D394917"/>
    <w:rsid w:val="5D3A2E77"/>
    <w:rsid w:val="5D3C274B"/>
    <w:rsid w:val="5D4635C9"/>
    <w:rsid w:val="5D4810F0"/>
    <w:rsid w:val="5D4D4958"/>
    <w:rsid w:val="5D6053DE"/>
    <w:rsid w:val="5D767412"/>
    <w:rsid w:val="5D7874FB"/>
    <w:rsid w:val="5D900CE9"/>
    <w:rsid w:val="5DA84284"/>
    <w:rsid w:val="5DAB7BC1"/>
    <w:rsid w:val="5DC32037"/>
    <w:rsid w:val="5DC56BE4"/>
    <w:rsid w:val="5DCE3F2D"/>
    <w:rsid w:val="5DD00701"/>
    <w:rsid w:val="5DEF1EB3"/>
    <w:rsid w:val="5E082F75"/>
    <w:rsid w:val="5E1B4A56"/>
    <w:rsid w:val="5E201A2B"/>
    <w:rsid w:val="5E371164"/>
    <w:rsid w:val="5E40270F"/>
    <w:rsid w:val="5E453881"/>
    <w:rsid w:val="5E761C8C"/>
    <w:rsid w:val="5E7B72A3"/>
    <w:rsid w:val="5E883F35"/>
    <w:rsid w:val="5E913683"/>
    <w:rsid w:val="5E997F0D"/>
    <w:rsid w:val="5EA70098"/>
    <w:rsid w:val="5EAE7678"/>
    <w:rsid w:val="5EC549C2"/>
    <w:rsid w:val="5EC62C14"/>
    <w:rsid w:val="5ECC3FA2"/>
    <w:rsid w:val="5ED6097D"/>
    <w:rsid w:val="5EF54B85"/>
    <w:rsid w:val="5F0279C4"/>
    <w:rsid w:val="5F131BD1"/>
    <w:rsid w:val="5F335DCF"/>
    <w:rsid w:val="5F3D09FC"/>
    <w:rsid w:val="5F41098E"/>
    <w:rsid w:val="5F487B8E"/>
    <w:rsid w:val="5F571ABE"/>
    <w:rsid w:val="5F661D01"/>
    <w:rsid w:val="5F6C286F"/>
    <w:rsid w:val="5F8A1E93"/>
    <w:rsid w:val="5F8F74AA"/>
    <w:rsid w:val="5FA12D39"/>
    <w:rsid w:val="5FB07420"/>
    <w:rsid w:val="5FC91D47"/>
    <w:rsid w:val="5FD715D7"/>
    <w:rsid w:val="6005776C"/>
    <w:rsid w:val="60065292"/>
    <w:rsid w:val="600734E4"/>
    <w:rsid w:val="601A5689"/>
    <w:rsid w:val="60200102"/>
    <w:rsid w:val="60430294"/>
    <w:rsid w:val="60536729"/>
    <w:rsid w:val="6065283C"/>
    <w:rsid w:val="606D0118"/>
    <w:rsid w:val="609B1E7E"/>
    <w:rsid w:val="60A32AE1"/>
    <w:rsid w:val="60B17C22"/>
    <w:rsid w:val="60C07B37"/>
    <w:rsid w:val="60C363E5"/>
    <w:rsid w:val="60DF41C0"/>
    <w:rsid w:val="60FB291D"/>
    <w:rsid w:val="611A57AA"/>
    <w:rsid w:val="612754C0"/>
    <w:rsid w:val="61534507"/>
    <w:rsid w:val="615362B5"/>
    <w:rsid w:val="61572852"/>
    <w:rsid w:val="61691F7C"/>
    <w:rsid w:val="61695AD8"/>
    <w:rsid w:val="617A7CE6"/>
    <w:rsid w:val="61946FF9"/>
    <w:rsid w:val="61A42FB4"/>
    <w:rsid w:val="61D513C0"/>
    <w:rsid w:val="61FF01EB"/>
    <w:rsid w:val="622F287E"/>
    <w:rsid w:val="624A76B8"/>
    <w:rsid w:val="628726BA"/>
    <w:rsid w:val="62AA45FB"/>
    <w:rsid w:val="62D60F4C"/>
    <w:rsid w:val="62D84CC4"/>
    <w:rsid w:val="62DB47B4"/>
    <w:rsid w:val="62EE098B"/>
    <w:rsid w:val="630E36F2"/>
    <w:rsid w:val="630F0A82"/>
    <w:rsid w:val="632048BD"/>
    <w:rsid w:val="632220BB"/>
    <w:rsid w:val="6329551F"/>
    <w:rsid w:val="63365E8E"/>
    <w:rsid w:val="633D0FCB"/>
    <w:rsid w:val="63497970"/>
    <w:rsid w:val="6361115D"/>
    <w:rsid w:val="63611479"/>
    <w:rsid w:val="636D5D54"/>
    <w:rsid w:val="63964B6C"/>
    <w:rsid w:val="639C03E7"/>
    <w:rsid w:val="63C16FDF"/>
    <w:rsid w:val="63DD5916"/>
    <w:rsid w:val="63E92F01"/>
    <w:rsid w:val="640970FF"/>
    <w:rsid w:val="6437795D"/>
    <w:rsid w:val="64395C36"/>
    <w:rsid w:val="645059B4"/>
    <w:rsid w:val="645A5423"/>
    <w:rsid w:val="646D58E0"/>
    <w:rsid w:val="64976126"/>
    <w:rsid w:val="64B153C7"/>
    <w:rsid w:val="64BA1D88"/>
    <w:rsid w:val="64BF60D7"/>
    <w:rsid w:val="64DB6CED"/>
    <w:rsid w:val="64F20CB4"/>
    <w:rsid w:val="650A312E"/>
    <w:rsid w:val="65120423"/>
    <w:rsid w:val="65390B9D"/>
    <w:rsid w:val="65555AC7"/>
    <w:rsid w:val="656441A9"/>
    <w:rsid w:val="65652A5B"/>
    <w:rsid w:val="659A0956"/>
    <w:rsid w:val="65BB6B6B"/>
    <w:rsid w:val="65BD63F3"/>
    <w:rsid w:val="65BE77DA"/>
    <w:rsid w:val="65C23A09"/>
    <w:rsid w:val="65D66B24"/>
    <w:rsid w:val="65F067C8"/>
    <w:rsid w:val="660364FC"/>
    <w:rsid w:val="66042274"/>
    <w:rsid w:val="66084CE3"/>
    <w:rsid w:val="66344907"/>
    <w:rsid w:val="66415276"/>
    <w:rsid w:val="664C50EB"/>
    <w:rsid w:val="66576847"/>
    <w:rsid w:val="6659436D"/>
    <w:rsid w:val="665F74AA"/>
    <w:rsid w:val="666865D8"/>
    <w:rsid w:val="666B5E4F"/>
    <w:rsid w:val="668F7D8F"/>
    <w:rsid w:val="66B75538"/>
    <w:rsid w:val="66BC0678"/>
    <w:rsid w:val="66BE2423"/>
    <w:rsid w:val="66E572AA"/>
    <w:rsid w:val="66E60BBC"/>
    <w:rsid w:val="66EE29AB"/>
    <w:rsid w:val="66F253DA"/>
    <w:rsid w:val="66F64366"/>
    <w:rsid w:val="66F978FF"/>
    <w:rsid w:val="671706A1"/>
    <w:rsid w:val="67380D8F"/>
    <w:rsid w:val="67631571"/>
    <w:rsid w:val="676F7BC1"/>
    <w:rsid w:val="67717495"/>
    <w:rsid w:val="67803303"/>
    <w:rsid w:val="678216A2"/>
    <w:rsid w:val="67852F40"/>
    <w:rsid w:val="67955879"/>
    <w:rsid w:val="67A41618"/>
    <w:rsid w:val="67AE332B"/>
    <w:rsid w:val="67B721B2"/>
    <w:rsid w:val="67BF46A4"/>
    <w:rsid w:val="680227E3"/>
    <w:rsid w:val="68342313"/>
    <w:rsid w:val="68385505"/>
    <w:rsid w:val="685079F2"/>
    <w:rsid w:val="68580655"/>
    <w:rsid w:val="68653364"/>
    <w:rsid w:val="6870599E"/>
    <w:rsid w:val="687C07E7"/>
    <w:rsid w:val="68866F70"/>
    <w:rsid w:val="68A613C0"/>
    <w:rsid w:val="68B604CF"/>
    <w:rsid w:val="68E03400"/>
    <w:rsid w:val="68E72104"/>
    <w:rsid w:val="68EA39A3"/>
    <w:rsid w:val="68ED36B7"/>
    <w:rsid w:val="68F92D79"/>
    <w:rsid w:val="690B27CC"/>
    <w:rsid w:val="69304835"/>
    <w:rsid w:val="693766A8"/>
    <w:rsid w:val="6938218B"/>
    <w:rsid w:val="69382960"/>
    <w:rsid w:val="693C3AD3"/>
    <w:rsid w:val="69780FAF"/>
    <w:rsid w:val="697F6758"/>
    <w:rsid w:val="69823BDB"/>
    <w:rsid w:val="698E432E"/>
    <w:rsid w:val="699F29DF"/>
    <w:rsid w:val="69AA611C"/>
    <w:rsid w:val="69BB0E9B"/>
    <w:rsid w:val="69C9180A"/>
    <w:rsid w:val="69DC3A7E"/>
    <w:rsid w:val="69E41524"/>
    <w:rsid w:val="69EA352F"/>
    <w:rsid w:val="69ED49C8"/>
    <w:rsid w:val="6A0D1D68"/>
    <w:rsid w:val="6A1011E7"/>
    <w:rsid w:val="6A8614A9"/>
    <w:rsid w:val="6AD660A9"/>
    <w:rsid w:val="6B2A452A"/>
    <w:rsid w:val="6B2C02A3"/>
    <w:rsid w:val="6B680B26"/>
    <w:rsid w:val="6B8F0831"/>
    <w:rsid w:val="6B9145AA"/>
    <w:rsid w:val="6BAF4A30"/>
    <w:rsid w:val="6BCD1928"/>
    <w:rsid w:val="6BD10E4A"/>
    <w:rsid w:val="6BD279A1"/>
    <w:rsid w:val="6BFD2BC8"/>
    <w:rsid w:val="6BFE1F71"/>
    <w:rsid w:val="6C054650"/>
    <w:rsid w:val="6C25535F"/>
    <w:rsid w:val="6C257A09"/>
    <w:rsid w:val="6C5D448C"/>
    <w:rsid w:val="6C813A4E"/>
    <w:rsid w:val="6C861C34"/>
    <w:rsid w:val="6C9360FF"/>
    <w:rsid w:val="6C970F26"/>
    <w:rsid w:val="6CA500D6"/>
    <w:rsid w:val="6CAE4CE7"/>
    <w:rsid w:val="6CBA1C8C"/>
    <w:rsid w:val="6CBE13CE"/>
    <w:rsid w:val="6CC14A1B"/>
    <w:rsid w:val="6CD244C1"/>
    <w:rsid w:val="6CD544EA"/>
    <w:rsid w:val="6CE93F71"/>
    <w:rsid w:val="6CEB7CE9"/>
    <w:rsid w:val="6CFC3CA5"/>
    <w:rsid w:val="6D554EF7"/>
    <w:rsid w:val="6D5556A1"/>
    <w:rsid w:val="6D877A12"/>
    <w:rsid w:val="6D977978"/>
    <w:rsid w:val="6D9E6B0A"/>
    <w:rsid w:val="6DA32372"/>
    <w:rsid w:val="6DA43A84"/>
    <w:rsid w:val="6DAA3701"/>
    <w:rsid w:val="6DAB2AD4"/>
    <w:rsid w:val="6DAF51BB"/>
    <w:rsid w:val="6DB32B65"/>
    <w:rsid w:val="6DE22E9A"/>
    <w:rsid w:val="6DE54739"/>
    <w:rsid w:val="6DE94229"/>
    <w:rsid w:val="6E0635D9"/>
    <w:rsid w:val="6E4B6C92"/>
    <w:rsid w:val="6E5D2C3A"/>
    <w:rsid w:val="6E704000"/>
    <w:rsid w:val="6E8C1058"/>
    <w:rsid w:val="6E9028F6"/>
    <w:rsid w:val="6E9A3775"/>
    <w:rsid w:val="6EDC4031"/>
    <w:rsid w:val="6EE964AB"/>
    <w:rsid w:val="6EEA46FD"/>
    <w:rsid w:val="6F03527B"/>
    <w:rsid w:val="6F067523"/>
    <w:rsid w:val="6F2B6AC3"/>
    <w:rsid w:val="6F411E43"/>
    <w:rsid w:val="6F4B4A6F"/>
    <w:rsid w:val="6F5035FE"/>
    <w:rsid w:val="6F6D70DC"/>
    <w:rsid w:val="6F6F7ED8"/>
    <w:rsid w:val="6F78727A"/>
    <w:rsid w:val="6F7E6BF3"/>
    <w:rsid w:val="6F806E0F"/>
    <w:rsid w:val="6F863CF9"/>
    <w:rsid w:val="6F87652A"/>
    <w:rsid w:val="6F9212E5"/>
    <w:rsid w:val="6FAB2D99"/>
    <w:rsid w:val="6FE0340A"/>
    <w:rsid w:val="6FE94CC0"/>
    <w:rsid w:val="6FF701BB"/>
    <w:rsid w:val="6FFB46E7"/>
    <w:rsid w:val="7007308C"/>
    <w:rsid w:val="703B2D36"/>
    <w:rsid w:val="703B7634"/>
    <w:rsid w:val="705362D1"/>
    <w:rsid w:val="707D35B5"/>
    <w:rsid w:val="707D50FC"/>
    <w:rsid w:val="70932B72"/>
    <w:rsid w:val="709661BE"/>
    <w:rsid w:val="70A66401"/>
    <w:rsid w:val="70C349EF"/>
    <w:rsid w:val="70E65DDC"/>
    <w:rsid w:val="70FF5B11"/>
    <w:rsid w:val="712E4649"/>
    <w:rsid w:val="71474F56"/>
    <w:rsid w:val="715E7633"/>
    <w:rsid w:val="715F1BDC"/>
    <w:rsid w:val="716C647C"/>
    <w:rsid w:val="71775FF0"/>
    <w:rsid w:val="719426FE"/>
    <w:rsid w:val="719C15B2"/>
    <w:rsid w:val="719E6751"/>
    <w:rsid w:val="71A5490B"/>
    <w:rsid w:val="71C034F3"/>
    <w:rsid w:val="71DE7E1D"/>
    <w:rsid w:val="71E764C4"/>
    <w:rsid w:val="724B4D0F"/>
    <w:rsid w:val="72516841"/>
    <w:rsid w:val="725F5047"/>
    <w:rsid w:val="727147ED"/>
    <w:rsid w:val="7289422C"/>
    <w:rsid w:val="72C00209"/>
    <w:rsid w:val="72D336FA"/>
    <w:rsid w:val="72D33F8C"/>
    <w:rsid w:val="72D46EF4"/>
    <w:rsid w:val="72D80D10"/>
    <w:rsid w:val="72DC7DE4"/>
    <w:rsid w:val="72EF7CA5"/>
    <w:rsid w:val="73005B71"/>
    <w:rsid w:val="73025D8D"/>
    <w:rsid w:val="73090EC9"/>
    <w:rsid w:val="732301DD"/>
    <w:rsid w:val="732B7092"/>
    <w:rsid w:val="73373C88"/>
    <w:rsid w:val="733F0D8F"/>
    <w:rsid w:val="7343262D"/>
    <w:rsid w:val="734B7734"/>
    <w:rsid w:val="734E4B2E"/>
    <w:rsid w:val="73584555"/>
    <w:rsid w:val="736B03F8"/>
    <w:rsid w:val="73866267"/>
    <w:rsid w:val="739F35DC"/>
    <w:rsid w:val="73C419DA"/>
    <w:rsid w:val="73D11C07"/>
    <w:rsid w:val="73F83B3E"/>
    <w:rsid w:val="73FC0A2E"/>
    <w:rsid w:val="73FC0ABA"/>
    <w:rsid w:val="740D6797"/>
    <w:rsid w:val="741727C5"/>
    <w:rsid w:val="741B7106"/>
    <w:rsid w:val="741D2E7E"/>
    <w:rsid w:val="742F4960"/>
    <w:rsid w:val="7443665D"/>
    <w:rsid w:val="74620891"/>
    <w:rsid w:val="7465032F"/>
    <w:rsid w:val="74681C20"/>
    <w:rsid w:val="746E0B2C"/>
    <w:rsid w:val="7476433D"/>
    <w:rsid w:val="747F58E7"/>
    <w:rsid w:val="748710D1"/>
    <w:rsid w:val="74C4154C"/>
    <w:rsid w:val="74D6302D"/>
    <w:rsid w:val="74EE65C9"/>
    <w:rsid w:val="74F811F5"/>
    <w:rsid w:val="750202C6"/>
    <w:rsid w:val="750E0EA6"/>
    <w:rsid w:val="7521500B"/>
    <w:rsid w:val="752E4C17"/>
    <w:rsid w:val="753A180E"/>
    <w:rsid w:val="753A29EB"/>
    <w:rsid w:val="753E3F1E"/>
    <w:rsid w:val="75536E8E"/>
    <w:rsid w:val="758C0537"/>
    <w:rsid w:val="75A1135A"/>
    <w:rsid w:val="75A4312B"/>
    <w:rsid w:val="75E11C8A"/>
    <w:rsid w:val="76261D92"/>
    <w:rsid w:val="76325C2F"/>
    <w:rsid w:val="763C54EF"/>
    <w:rsid w:val="765265A3"/>
    <w:rsid w:val="76543AA9"/>
    <w:rsid w:val="767B5F29"/>
    <w:rsid w:val="76801003"/>
    <w:rsid w:val="768F16E6"/>
    <w:rsid w:val="76A02F78"/>
    <w:rsid w:val="76B2742A"/>
    <w:rsid w:val="76B33626"/>
    <w:rsid w:val="76BA0E58"/>
    <w:rsid w:val="76BC4B00"/>
    <w:rsid w:val="76E926A5"/>
    <w:rsid w:val="76EA1012"/>
    <w:rsid w:val="77004391"/>
    <w:rsid w:val="770A5210"/>
    <w:rsid w:val="77334767"/>
    <w:rsid w:val="776E1471"/>
    <w:rsid w:val="77AB07A1"/>
    <w:rsid w:val="77D31AA6"/>
    <w:rsid w:val="77EB5041"/>
    <w:rsid w:val="782039AB"/>
    <w:rsid w:val="783562BD"/>
    <w:rsid w:val="78470381"/>
    <w:rsid w:val="78951CBC"/>
    <w:rsid w:val="78C00309"/>
    <w:rsid w:val="78D14237"/>
    <w:rsid w:val="78D15FE5"/>
    <w:rsid w:val="78D77AC4"/>
    <w:rsid w:val="78D87374"/>
    <w:rsid w:val="78EE2AED"/>
    <w:rsid w:val="78F82B40"/>
    <w:rsid w:val="79056970"/>
    <w:rsid w:val="790D39B3"/>
    <w:rsid w:val="79117FAE"/>
    <w:rsid w:val="7913278B"/>
    <w:rsid w:val="79336CA0"/>
    <w:rsid w:val="794118E8"/>
    <w:rsid w:val="79440EAD"/>
    <w:rsid w:val="7949798C"/>
    <w:rsid w:val="794F33AE"/>
    <w:rsid w:val="796C3F60"/>
    <w:rsid w:val="79CC022D"/>
    <w:rsid w:val="79CC7ED8"/>
    <w:rsid w:val="79D00993"/>
    <w:rsid w:val="79EE447D"/>
    <w:rsid w:val="79F44681"/>
    <w:rsid w:val="7A1B0F60"/>
    <w:rsid w:val="7A3A5E0C"/>
    <w:rsid w:val="7A40582E"/>
    <w:rsid w:val="7A4F1ACF"/>
    <w:rsid w:val="7A55494E"/>
    <w:rsid w:val="7A56120A"/>
    <w:rsid w:val="7A7E219D"/>
    <w:rsid w:val="7A8552D9"/>
    <w:rsid w:val="7A8A10BD"/>
    <w:rsid w:val="7AAA2F92"/>
    <w:rsid w:val="7AC6633E"/>
    <w:rsid w:val="7AC80FAD"/>
    <w:rsid w:val="7AF54AD4"/>
    <w:rsid w:val="7B18439F"/>
    <w:rsid w:val="7B252618"/>
    <w:rsid w:val="7B2A7C2F"/>
    <w:rsid w:val="7B2C1BF9"/>
    <w:rsid w:val="7B2C39A7"/>
    <w:rsid w:val="7B347884"/>
    <w:rsid w:val="7B3B1E3C"/>
    <w:rsid w:val="7B542DBF"/>
    <w:rsid w:val="7B6618B7"/>
    <w:rsid w:val="7B663376"/>
    <w:rsid w:val="7B6E2211"/>
    <w:rsid w:val="7BBF00EF"/>
    <w:rsid w:val="7BDC53CD"/>
    <w:rsid w:val="7BE67083"/>
    <w:rsid w:val="7C0D37D8"/>
    <w:rsid w:val="7C176A1E"/>
    <w:rsid w:val="7C2F3586"/>
    <w:rsid w:val="7C371865"/>
    <w:rsid w:val="7C464F3C"/>
    <w:rsid w:val="7C4A67DB"/>
    <w:rsid w:val="7C570EF7"/>
    <w:rsid w:val="7C7C270C"/>
    <w:rsid w:val="7C8E5772"/>
    <w:rsid w:val="7C95557C"/>
    <w:rsid w:val="7C961804"/>
    <w:rsid w:val="7CB4634A"/>
    <w:rsid w:val="7CC3658D"/>
    <w:rsid w:val="7CC748CB"/>
    <w:rsid w:val="7CCA29F4"/>
    <w:rsid w:val="7CE3278B"/>
    <w:rsid w:val="7CF906B8"/>
    <w:rsid w:val="7CFC1DB1"/>
    <w:rsid w:val="7D33163F"/>
    <w:rsid w:val="7D367990"/>
    <w:rsid w:val="7D407BDD"/>
    <w:rsid w:val="7D4C20DE"/>
    <w:rsid w:val="7D621902"/>
    <w:rsid w:val="7D657644"/>
    <w:rsid w:val="7D6C452F"/>
    <w:rsid w:val="7D7004C3"/>
    <w:rsid w:val="7D7B252F"/>
    <w:rsid w:val="7D7F1DDB"/>
    <w:rsid w:val="7D823D52"/>
    <w:rsid w:val="7D877EB1"/>
    <w:rsid w:val="7D8D6A0C"/>
    <w:rsid w:val="7D985324"/>
    <w:rsid w:val="7DCD5E62"/>
    <w:rsid w:val="7DDF3FAA"/>
    <w:rsid w:val="7DE13CC6"/>
    <w:rsid w:val="7DE844FD"/>
    <w:rsid w:val="7DF03AFA"/>
    <w:rsid w:val="7E461224"/>
    <w:rsid w:val="7E633B84"/>
    <w:rsid w:val="7E70565D"/>
    <w:rsid w:val="7E745D91"/>
    <w:rsid w:val="7E8E63EC"/>
    <w:rsid w:val="7E8F2BCB"/>
    <w:rsid w:val="7E8F4979"/>
    <w:rsid w:val="7E924469"/>
    <w:rsid w:val="7EA926A4"/>
    <w:rsid w:val="7EBE525E"/>
    <w:rsid w:val="7EBF4B32"/>
    <w:rsid w:val="7ED358B4"/>
    <w:rsid w:val="7ED607F9"/>
    <w:rsid w:val="7EEF5417"/>
    <w:rsid w:val="7EF40C80"/>
    <w:rsid w:val="7EF649F8"/>
    <w:rsid w:val="7EFB48EC"/>
    <w:rsid w:val="7F144E7E"/>
    <w:rsid w:val="7F340697"/>
    <w:rsid w:val="7F5068C3"/>
    <w:rsid w:val="7F5B19EB"/>
    <w:rsid w:val="7F6F6558"/>
    <w:rsid w:val="7F7B6CAB"/>
    <w:rsid w:val="7F8B126C"/>
    <w:rsid w:val="7F925EDF"/>
    <w:rsid w:val="7FAB1346"/>
    <w:rsid w:val="7FAB4BC7"/>
    <w:rsid w:val="7FAF376D"/>
    <w:rsid w:val="7FCA19E0"/>
    <w:rsid w:val="7FD1229D"/>
    <w:rsid w:val="7FD665D7"/>
    <w:rsid w:val="7FD839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99" w:semiHidden="0" w:name="index heading"/>
    <w:lsdException w:qFormat="1"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pPr>
    <w:rPr>
      <w:rFonts w:ascii="Times New Roman" w:hAnsi="Times New Roman" w:eastAsia="宋体" w:cs="Times New Roman"/>
      <w:kern w:val="2"/>
      <w:sz w:val="24"/>
      <w:szCs w:val="24"/>
      <w:lang w:val="en-US" w:eastAsia="zh-CN" w:bidi="ar-SA"/>
    </w:rPr>
  </w:style>
  <w:style w:type="paragraph" w:styleId="2">
    <w:name w:val="heading 1"/>
    <w:basedOn w:val="1"/>
    <w:next w:val="1"/>
    <w:link w:val="67"/>
    <w:autoRedefine/>
    <w:qFormat/>
    <w:uiPriority w:val="0"/>
    <w:pPr>
      <w:keepNext/>
      <w:keepLines/>
      <w:spacing w:line="240" w:lineRule="auto"/>
      <w:outlineLvl w:val="0"/>
    </w:pPr>
    <w:rPr>
      <w:b/>
      <w:kern w:val="44"/>
      <w:sz w:val="32"/>
      <w:szCs w:val="32"/>
    </w:rPr>
  </w:style>
  <w:style w:type="paragraph" w:styleId="3">
    <w:name w:val="heading 2"/>
    <w:basedOn w:val="1"/>
    <w:next w:val="1"/>
    <w:autoRedefine/>
    <w:qFormat/>
    <w:uiPriority w:val="0"/>
    <w:pPr>
      <w:keepNext/>
      <w:keepLines/>
      <w:outlineLvl w:val="1"/>
    </w:pPr>
    <w:rPr>
      <w:b/>
      <w:bCs/>
      <w:sz w:val="28"/>
      <w:szCs w:val="28"/>
    </w:rPr>
  </w:style>
  <w:style w:type="paragraph" w:styleId="4">
    <w:name w:val="heading 3"/>
    <w:basedOn w:val="1"/>
    <w:next w:val="1"/>
    <w:autoRedefine/>
    <w:unhideWhenUsed/>
    <w:qFormat/>
    <w:uiPriority w:val="0"/>
    <w:pPr>
      <w:keepNext/>
      <w:keepLines/>
      <w:outlineLvl w:val="2"/>
    </w:pPr>
    <w:rPr>
      <w:b/>
    </w:rPr>
  </w:style>
  <w:style w:type="paragraph" w:styleId="5">
    <w:name w:val="heading 4"/>
    <w:basedOn w:val="1"/>
    <w:next w:val="1"/>
    <w:autoRedefine/>
    <w:unhideWhenUsed/>
    <w:qFormat/>
    <w:uiPriority w:val="0"/>
    <w:pPr>
      <w:keepNext/>
      <w:keepLines/>
      <w:numPr>
        <w:ilvl w:val="3"/>
        <w:numId w:val="1"/>
      </w:numPr>
      <w:ind w:left="0" w:firstLine="0"/>
      <w:outlineLvl w:val="3"/>
    </w:pPr>
    <w:rPr>
      <w:b/>
      <w:bCs/>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6">
    <w:name w:val="Note Heading"/>
    <w:basedOn w:val="1"/>
    <w:next w:val="1"/>
    <w:autoRedefine/>
    <w:qFormat/>
    <w:uiPriority w:val="0"/>
    <w:pPr>
      <w:jc w:val="center"/>
    </w:pPr>
    <w:rPr>
      <w:kern w:val="0"/>
    </w:rPr>
  </w:style>
  <w:style w:type="paragraph" w:styleId="7">
    <w:name w:val="Normal Indent"/>
    <w:basedOn w:val="1"/>
    <w:next w:val="8"/>
    <w:link w:val="51"/>
    <w:autoRedefine/>
    <w:qFormat/>
    <w:uiPriority w:val="0"/>
    <w:pPr>
      <w:ind w:firstLine="420" w:firstLineChars="200"/>
    </w:pPr>
  </w:style>
  <w:style w:type="paragraph" w:styleId="8">
    <w:name w:val="Body Text First Indent 2"/>
    <w:basedOn w:val="9"/>
    <w:next w:val="1"/>
    <w:autoRedefine/>
    <w:qFormat/>
    <w:uiPriority w:val="0"/>
    <w:pPr>
      <w:ind w:firstLine="420"/>
    </w:pPr>
  </w:style>
  <w:style w:type="paragraph" w:styleId="9">
    <w:name w:val="Body Text Indent"/>
    <w:basedOn w:val="1"/>
    <w:next w:val="10"/>
    <w:autoRedefine/>
    <w:qFormat/>
    <w:uiPriority w:val="0"/>
    <w:pPr>
      <w:ind w:left="420" w:leftChars="200"/>
    </w:pPr>
  </w:style>
  <w:style w:type="paragraph" w:styleId="10">
    <w:name w:val="toc 3"/>
    <w:basedOn w:val="1"/>
    <w:next w:val="1"/>
    <w:autoRedefine/>
    <w:unhideWhenUsed/>
    <w:qFormat/>
    <w:uiPriority w:val="39"/>
    <w:pPr>
      <w:spacing w:line="240" w:lineRule="auto"/>
      <w:ind w:left="840" w:leftChars="400"/>
    </w:pPr>
    <w:rPr>
      <w:sz w:val="21"/>
    </w:rPr>
  </w:style>
  <w:style w:type="paragraph" w:styleId="11">
    <w:name w:val="caption"/>
    <w:basedOn w:val="1"/>
    <w:next w:val="1"/>
    <w:autoRedefine/>
    <w:unhideWhenUsed/>
    <w:qFormat/>
    <w:uiPriority w:val="0"/>
    <w:pPr>
      <w:widowControl/>
      <w:adjustRightInd w:val="0"/>
      <w:snapToGrid w:val="0"/>
      <w:jc w:val="center"/>
    </w:pPr>
    <w:rPr>
      <w:rFonts w:cs="Arial"/>
    </w:rPr>
  </w:style>
  <w:style w:type="paragraph" w:styleId="12">
    <w:name w:val="annotation text"/>
    <w:basedOn w:val="1"/>
    <w:link w:val="52"/>
    <w:autoRedefine/>
    <w:qFormat/>
    <w:uiPriority w:val="0"/>
  </w:style>
  <w:style w:type="paragraph" w:styleId="13">
    <w:name w:val="Body Text"/>
    <w:basedOn w:val="1"/>
    <w:next w:val="14"/>
    <w:autoRedefine/>
    <w:qFormat/>
    <w:uiPriority w:val="0"/>
    <w:pPr>
      <w:adjustRightInd w:val="0"/>
      <w:spacing w:line="312" w:lineRule="atLeast"/>
      <w:textAlignment w:val="baseline"/>
    </w:pPr>
    <w:rPr>
      <w:kern w:val="0"/>
      <w:szCs w:val="20"/>
    </w:rPr>
  </w:style>
  <w:style w:type="paragraph" w:customStyle="1" w:styleId="14">
    <w:name w:val="xl27"/>
    <w:basedOn w:val="1"/>
    <w:next w:val="15"/>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5">
    <w:name w:val="Body Text Indent 2"/>
    <w:basedOn w:val="1"/>
    <w:next w:val="1"/>
    <w:autoRedefine/>
    <w:qFormat/>
    <w:uiPriority w:val="0"/>
    <w:pPr>
      <w:spacing w:after="120" w:line="480" w:lineRule="auto"/>
      <w:ind w:left="420" w:leftChars="200" w:firstLine="510"/>
    </w:pPr>
    <w:rPr>
      <w:sz w:val="28"/>
      <w:szCs w:val="20"/>
    </w:rPr>
  </w:style>
  <w:style w:type="paragraph" w:styleId="16">
    <w:name w:val="Plain Text"/>
    <w:basedOn w:val="1"/>
    <w:autoRedefine/>
    <w:qFormat/>
    <w:uiPriority w:val="0"/>
    <w:pPr>
      <w:ind w:firstLine="562"/>
    </w:pPr>
    <w:rPr>
      <w:rFonts w:ascii="宋体" w:hAnsi="Courier New"/>
      <w:sz w:val="28"/>
      <w:szCs w:val="20"/>
    </w:rPr>
  </w:style>
  <w:style w:type="paragraph" w:styleId="17">
    <w:name w:val="Balloon Text"/>
    <w:basedOn w:val="1"/>
    <w:link w:val="54"/>
    <w:autoRedefine/>
    <w:qFormat/>
    <w:uiPriority w:val="0"/>
    <w:pPr>
      <w:spacing w:line="240" w:lineRule="auto"/>
    </w:pPr>
    <w:rPr>
      <w:sz w:val="18"/>
      <w:szCs w:val="18"/>
    </w:rPr>
  </w:style>
  <w:style w:type="paragraph" w:styleId="18">
    <w:name w:val="footer"/>
    <w:basedOn w:val="1"/>
    <w:autoRedefine/>
    <w:qFormat/>
    <w:uiPriority w:val="99"/>
    <w:pPr>
      <w:tabs>
        <w:tab w:val="center" w:pos="4153"/>
        <w:tab w:val="right" w:pos="8306"/>
      </w:tabs>
      <w:snapToGrid w:val="0"/>
    </w:pPr>
    <w:rPr>
      <w:kern w:val="0"/>
      <w:sz w:val="18"/>
      <w:szCs w:val="20"/>
    </w:rPr>
  </w:style>
  <w:style w:type="paragraph" w:styleId="19">
    <w:name w:val="envelope return"/>
    <w:basedOn w:val="1"/>
    <w:autoRedefine/>
    <w:qFormat/>
    <w:uiPriority w:val="0"/>
    <w:pPr>
      <w:snapToGrid w:val="0"/>
    </w:pPr>
    <w:rPr>
      <w:rFonts w:ascii="Arial" w:hAnsi="Arial"/>
    </w:rPr>
  </w:style>
  <w:style w:type="paragraph" w:styleId="2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21">
    <w:name w:val="toc 1"/>
    <w:basedOn w:val="1"/>
    <w:next w:val="1"/>
    <w:autoRedefine/>
    <w:qFormat/>
    <w:uiPriority w:val="0"/>
  </w:style>
  <w:style w:type="paragraph" w:styleId="22">
    <w:name w:val="index heading"/>
    <w:basedOn w:val="1"/>
    <w:next w:val="23"/>
    <w:autoRedefine/>
    <w:qFormat/>
    <w:uiPriority w:val="99"/>
    <w:rPr>
      <w:szCs w:val="20"/>
    </w:rPr>
  </w:style>
  <w:style w:type="paragraph" w:styleId="23">
    <w:name w:val="index 1"/>
    <w:basedOn w:val="1"/>
    <w:next w:val="1"/>
    <w:autoRedefine/>
    <w:unhideWhenUsed/>
    <w:qFormat/>
    <w:uiPriority w:val="0"/>
  </w:style>
  <w:style w:type="paragraph" w:styleId="24">
    <w:name w:val="table of figures"/>
    <w:basedOn w:val="1"/>
    <w:next w:val="1"/>
    <w:autoRedefine/>
    <w:qFormat/>
    <w:uiPriority w:val="0"/>
    <w:pPr>
      <w:ind w:left="200" w:leftChars="200" w:hanging="200" w:hangingChars="200"/>
    </w:pPr>
  </w:style>
  <w:style w:type="paragraph" w:styleId="25">
    <w:name w:val="toc 2"/>
    <w:basedOn w:val="1"/>
    <w:next w:val="1"/>
    <w:autoRedefine/>
    <w:qFormat/>
    <w:uiPriority w:val="0"/>
    <w:pPr>
      <w:ind w:left="420" w:leftChars="200"/>
    </w:pPr>
  </w:style>
  <w:style w:type="paragraph" w:styleId="26">
    <w:name w:val="Body Text 2"/>
    <w:basedOn w:val="1"/>
    <w:autoRedefine/>
    <w:qFormat/>
    <w:uiPriority w:val="0"/>
    <w:pPr>
      <w:spacing w:line="480" w:lineRule="auto"/>
    </w:pPr>
  </w:style>
  <w:style w:type="paragraph" w:styleId="27">
    <w:name w:val="Normal (Web)"/>
    <w:basedOn w:val="1"/>
    <w:autoRedefine/>
    <w:qFormat/>
    <w:uiPriority w:val="0"/>
    <w:pPr>
      <w:widowControl/>
      <w:spacing w:before="100" w:beforeAutospacing="1" w:after="100" w:afterAutospacing="1"/>
    </w:pPr>
    <w:rPr>
      <w:rFonts w:ascii="宋体" w:hAnsi="宋体"/>
      <w:kern w:val="0"/>
      <w:szCs w:val="20"/>
    </w:rPr>
  </w:style>
  <w:style w:type="paragraph" w:styleId="28">
    <w:name w:val="Title"/>
    <w:basedOn w:val="1"/>
    <w:autoRedefine/>
    <w:qFormat/>
    <w:uiPriority w:val="10"/>
    <w:pPr>
      <w:spacing w:before="240" w:after="60"/>
      <w:jc w:val="center"/>
      <w:outlineLvl w:val="0"/>
    </w:pPr>
    <w:rPr>
      <w:rFonts w:ascii="Arial" w:hAnsi="Arial"/>
      <w:b/>
      <w:sz w:val="32"/>
    </w:rPr>
  </w:style>
  <w:style w:type="paragraph" w:styleId="29">
    <w:name w:val="annotation subject"/>
    <w:basedOn w:val="12"/>
    <w:next w:val="12"/>
    <w:link w:val="53"/>
    <w:autoRedefine/>
    <w:qFormat/>
    <w:uiPriority w:val="0"/>
    <w:rPr>
      <w:b/>
      <w:bCs/>
    </w:rPr>
  </w:style>
  <w:style w:type="paragraph" w:styleId="30">
    <w:name w:val="Body Text First Indent"/>
    <w:basedOn w:val="13"/>
    <w:next w:val="1"/>
    <w:autoRedefine/>
    <w:qFormat/>
    <w:uiPriority w:val="0"/>
    <w:pPr>
      <w:ind w:firstLine="420" w:firstLineChars="100"/>
    </w:pPr>
  </w:style>
  <w:style w:type="table" w:styleId="32">
    <w:name w:val="Table Grid"/>
    <w:basedOn w:val="3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page number"/>
    <w:basedOn w:val="33"/>
    <w:autoRedefine/>
    <w:qFormat/>
    <w:uiPriority w:val="0"/>
  </w:style>
  <w:style w:type="character" w:styleId="35">
    <w:name w:val="Emphasis"/>
    <w:basedOn w:val="33"/>
    <w:autoRedefine/>
    <w:qFormat/>
    <w:uiPriority w:val="0"/>
    <w:rPr>
      <w:i/>
    </w:rPr>
  </w:style>
  <w:style w:type="character" w:styleId="36">
    <w:name w:val="Hyperlink"/>
    <w:autoRedefine/>
    <w:qFormat/>
    <w:uiPriority w:val="99"/>
    <w:rPr>
      <w:color w:val="3366CC"/>
      <w:u w:val="single"/>
    </w:rPr>
  </w:style>
  <w:style w:type="character" w:styleId="37">
    <w:name w:val="annotation reference"/>
    <w:basedOn w:val="33"/>
    <w:autoRedefine/>
    <w:qFormat/>
    <w:uiPriority w:val="0"/>
    <w:rPr>
      <w:sz w:val="21"/>
      <w:szCs w:val="21"/>
    </w:rPr>
  </w:style>
  <w:style w:type="paragraph" w:customStyle="1" w:styleId="38">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正本"/>
    <w:basedOn w:val="1"/>
    <w:autoRedefine/>
    <w:qFormat/>
    <w:uiPriority w:val="0"/>
    <w:pPr>
      <w:adjustRightInd w:val="0"/>
      <w:snapToGrid w:val="0"/>
      <w:ind w:firstLine="200" w:firstLineChars="200"/>
    </w:pPr>
    <w:rPr>
      <w:rFonts w:ascii="宋体"/>
    </w:rPr>
  </w:style>
  <w:style w:type="paragraph" w:customStyle="1" w:styleId="40">
    <w:name w:val="_Style 1"/>
    <w:basedOn w:val="1"/>
    <w:autoRedefine/>
    <w:qFormat/>
    <w:uiPriority w:val="99"/>
    <w:pPr>
      <w:ind w:firstLine="420" w:firstLineChars="200"/>
    </w:pPr>
    <w:rPr>
      <w:rFonts w:ascii="Calibri" w:hAnsi="Calibri" w:cs="宋体"/>
      <w:sz w:val="21"/>
      <w:szCs w:val="21"/>
    </w:rPr>
  </w:style>
  <w:style w:type="paragraph" w:customStyle="1" w:styleId="41">
    <w:name w:val="Default1"/>
    <w:next w:val="42"/>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2">
    <w:name w:val="正文样式1"/>
    <w:basedOn w:val="1"/>
    <w:next w:val="1"/>
    <w:autoRedefine/>
    <w:qFormat/>
    <w:uiPriority w:val="0"/>
    <w:pPr>
      <w:ind w:firstLine="150" w:firstLineChars="150"/>
      <w:textAlignment w:val="baseline"/>
    </w:pPr>
    <w:rPr>
      <w:rFonts w:ascii="Calibri" w:hAnsi="Calibri"/>
      <w:szCs w:val="22"/>
    </w:rPr>
  </w:style>
  <w:style w:type="paragraph" w:customStyle="1" w:styleId="43">
    <w:name w:val="Default"/>
    <w:basedOn w:val="44"/>
    <w:next w:val="45"/>
    <w:autoRedefine/>
    <w:qFormat/>
    <w:uiPriority w:val="0"/>
    <w:pPr>
      <w:autoSpaceDE w:val="0"/>
      <w:autoSpaceDN w:val="0"/>
      <w:spacing w:line="360" w:lineRule="exact"/>
      <w:jc w:val="center"/>
    </w:pPr>
    <w:rPr>
      <w:rFonts w:ascii="隶书" w:hAnsi="Calibri" w:eastAsia="隶书" w:cs="隶书"/>
      <w:color w:val="000000"/>
      <w:szCs w:val="24"/>
    </w:rPr>
  </w:style>
  <w:style w:type="paragraph" w:customStyle="1" w:styleId="44">
    <w:name w:val="纯文本1"/>
    <w:basedOn w:val="1"/>
    <w:autoRedefine/>
    <w:qFormat/>
    <w:uiPriority w:val="0"/>
    <w:pPr>
      <w:adjustRightInd w:val="0"/>
      <w:textAlignment w:val="baseline"/>
    </w:pPr>
    <w:rPr>
      <w:rFonts w:ascii="宋体" w:hAnsi="Courier New"/>
      <w:szCs w:val="20"/>
    </w:rPr>
  </w:style>
  <w:style w:type="paragraph" w:customStyle="1" w:styleId="45">
    <w:name w:val="样式35"/>
    <w:basedOn w:val="46"/>
    <w:next w:val="47"/>
    <w:autoRedefine/>
    <w:unhideWhenUsed/>
    <w:qFormat/>
    <w:uiPriority w:val="0"/>
    <w:pPr>
      <w:tabs>
        <w:tab w:val="left" w:pos="0"/>
        <w:tab w:val="left" w:pos="180"/>
        <w:tab w:val="left" w:pos="360"/>
        <w:tab w:val="left" w:pos="540"/>
        <w:tab w:val="left" w:pos="567"/>
      </w:tabs>
      <w:spacing w:beforeLines="0" w:afterLines="0" w:line="312" w:lineRule="auto"/>
      <w:ind w:firstLine="567"/>
    </w:pPr>
    <w:rPr>
      <w:rFonts w:hint="eastAsia"/>
      <w:sz w:val="28"/>
      <w:szCs w:val="24"/>
    </w:rPr>
  </w:style>
  <w:style w:type="paragraph" w:customStyle="1" w:styleId="46">
    <w:name w:val="表 内容"/>
    <w:basedOn w:val="1"/>
    <w:autoRedefine/>
    <w:qFormat/>
    <w:uiPriority w:val="0"/>
    <w:pPr>
      <w:spacing w:line="276" w:lineRule="auto"/>
      <w:ind w:firstLine="0"/>
      <w:jc w:val="center"/>
    </w:pPr>
    <w:rPr>
      <w:rFonts w:ascii="仿宋" w:hAnsi="仿宋" w:eastAsia="仿宋"/>
      <w:kern w:val="0"/>
    </w:rPr>
  </w:style>
  <w:style w:type="paragraph" w:customStyle="1" w:styleId="47">
    <w:name w:val="font6"/>
    <w:basedOn w:val="1"/>
    <w:next w:val="25"/>
    <w:autoRedefine/>
    <w:unhideWhenUsed/>
    <w:qFormat/>
    <w:uiPriority w:val="0"/>
    <w:pPr>
      <w:widowControl/>
      <w:spacing w:before="100" w:beforeLines="0" w:beforeAutospacing="1" w:after="100" w:afterLines="0" w:afterAutospacing="1"/>
      <w:jc w:val="left"/>
    </w:pPr>
    <w:rPr>
      <w:rFonts w:hint="eastAsia" w:ascii="宋体" w:hAnsi="宋体" w:eastAsia="宋体" w:cs="宋体"/>
      <w:kern w:val="0"/>
      <w:sz w:val="20"/>
      <w:szCs w:val="20"/>
    </w:rPr>
  </w:style>
  <w:style w:type="paragraph" w:customStyle="1" w:styleId="48">
    <w:name w:val="表文字"/>
    <w:basedOn w:val="13"/>
    <w:next w:val="1"/>
    <w:autoRedefine/>
    <w:qFormat/>
    <w:uiPriority w:val="0"/>
    <w:pPr>
      <w:spacing w:line="240" w:lineRule="auto"/>
      <w:jc w:val="center"/>
    </w:pPr>
    <w:rPr>
      <w:sz w:val="21"/>
      <w:szCs w:val="21"/>
    </w:rPr>
  </w:style>
  <w:style w:type="paragraph" w:customStyle="1" w:styleId="49">
    <w:name w:val="表头"/>
    <w:basedOn w:val="48"/>
    <w:next w:val="1"/>
    <w:link w:val="62"/>
    <w:autoRedefine/>
    <w:qFormat/>
    <w:uiPriority w:val="0"/>
    <w:rPr>
      <w:b/>
    </w:rPr>
  </w:style>
  <w:style w:type="character" w:customStyle="1" w:styleId="50">
    <w:name w:val="正文缩进 Char1"/>
    <w:link w:val="7"/>
    <w:autoRedefine/>
    <w:qFormat/>
    <w:locked/>
    <w:uiPriority w:val="99"/>
  </w:style>
  <w:style w:type="character" w:customStyle="1" w:styleId="51">
    <w:name w:val="正文缩进 Char"/>
    <w:link w:val="7"/>
    <w:autoRedefine/>
    <w:qFormat/>
    <w:uiPriority w:val="0"/>
    <w:rPr>
      <w:rFonts w:ascii="Times New Roman" w:hAnsi="Times New Roman" w:eastAsia="宋体"/>
    </w:rPr>
  </w:style>
  <w:style w:type="character" w:customStyle="1" w:styleId="52">
    <w:name w:val="批注文字 Char"/>
    <w:basedOn w:val="33"/>
    <w:link w:val="12"/>
    <w:autoRedefine/>
    <w:qFormat/>
    <w:uiPriority w:val="0"/>
    <w:rPr>
      <w:rFonts w:ascii="Times New Roman" w:hAnsi="Times New Roman"/>
      <w:kern w:val="2"/>
      <w:sz w:val="24"/>
      <w:szCs w:val="24"/>
    </w:rPr>
  </w:style>
  <w:style w:type="character" w:customStyle="1" w:styleId="53">
    <w:name w:val="批注主题 Char"/>
    <w:basedOn w:val="52"/>
    <w:link w:val="29"/>
    <w:autoRedefine/>
    <w:qFormat/>
    <w:uiPriority w:val="0"/>
  </w:style>
  <w:style w:type="character" w:customStyle="1" w:styleId="54">
    <w:name w:val="批注框文本 Char"/>
    <w:basedOn w:val="33"/>
    <w:link w:val="17"/>
    <w:autoRedefine/>
    <w:qFormat/>
    <w:uiPriority w:val="0"/>
    <w:rPr>
      <w:rFonts w:ascii="Times New Roman" w:hAnsi="Times New Roman"/>
      <w:kern w:val="2"/>
      <w:sz w:val="18"/>
      <w:szCs w:val="18"/>
    </w:rPr>
  </w:style>
  <w:style w:type="table" w:customStyle="1" w:styleId="55">
    <w:name w:val="Table Normal"/>
    <w:autoRedefine/>
    <w:semiHidden/>
    <w:unhideWhenUsed/>
    <w:qFormat/>
    <w:uiPriority w:val="0"/>
    <w:tblPr>
      <w:tblCellMar>
        <w:top w:w="0" w:type="dxa"/>
        <w:left w:w="0" w:type="dxa"/>
        <w:bottom w:w="0" w:type="dxa"/>
        <w:right w:w="0" w:type="dxa"/>
      </w:tblCellMar>
    </w:tblPr>
  </w:style>
  <w:style w:type="paragraph" w:styleId="56">
    <w:name w:val="List Paragraph"/>
    <w:basedOn w:val="1"/>
    <w:autoRedefine/>
    <w:qFormat/>
    <w:uiPriority w:val="1"/>
    <w:pPr>
      <w:ind w:left="220" w:firstLine="424"/>
    </w:pPr>
    <w:rPr>
      <w:rFonts w:ascii="宋体" w:hAnsi="宋体" w:cs="宋体"/>
      <w:lang w:val="zh-CN" w:bidi="zh-CN"/>
    </w:rPr>
  </w:style>
  <w:style w:type="paragraph" w:customStyle="1" w:styleId="57">
    <w:name w:val="Table Paragraph"/>
    <w:basedOn w:val="1"/>
    <w:autoRedefine/>
    <w:qFormat/>
    <w:uiPriority w:val="1"/>
    <w:rPr>
      <w:rFonts w:ascii="宋体" w:hAnsi="宋体" w:cs="宋体"/>
      <w:lang w:val="zh-CN" w:bidi="zh-CN"/>
    </w:rPr>
  </w:style>
  <w:style w:type="paragraph" w:customStyle="1" w:styleId="58">
    <w:name w:val="正文首行缩进 2 + Times New Roman"/>
    <w:basedOn w:val="1"/>
    <w:autoRedefine/>
    <w:qFormat/>
    <w:uiPriority w:val="0"/>
    <w:pPr>
      <w:widowControl/>
      <w:tabs>
        <w:tab w:val="left" w:pos="0"/>
        <w:tab w:val="left" w:pos="870"/>
        <w:tab w:val="left" w:pos="3150"/>
      </w:tabs>
      <w:autoSpaceDE w:val="0"/>
      <w:autoSpaceDN w:val="0"/>
      <w:ind w:firstLine="480" w:firstLineChars="200"/>
    </w:pPr>
    <w:rPr>
      <w:kern w:val="0"/>
    </w:rPr>
  </w:style>
  <w:style w:type="paragraph" w:customStyle="1" w:styleId="59">
    <w:name w:val="报告书正文"/>
    <w:basedOn w:val="1"/>
    <w:autoRedefine/>
    <w:qFormat/>
    <w:uiPriority w:val="0"/>
    <w:pPr>
      <w:spacing w:line="480" w:lineRule="exact"/>
      <w:ind w:firstLine="200" w:firstLineChars="200"/>
    </w:pPr>
  </w:style>
  <w:style w:type="paragraph" w:customStyle="1" w:styleId="60">
    <w:name w:val="表格文字1"/>
    <w:basedOn w:val="1"/>
    <w:autoRedefine/>
    <w:qFormat/>
    <w:uiPriority w:val="0"/>
    <w:pPr>
      <w:tabs>
        <w:tab w:val="left" w:pos="277"/>
        <w:tab w:val="left" w:pos="600"/>
        <w:tab w:val="left" w:pos="780"/>
        <w:tab w:val="left" w:pos="2517"/>
      </w:tabs>
      <w:adjustRightInd w:val="0"/>
      <w:spacing w:before="60"/>
    </w:pPr>
    <w:rPr>
      <w:rFonts w:cs="宋体"/>
      <w:kern w:val="0"/>
      <w:szCs w:val="21"/>
    </w:rPr>
  </w:style>
  <w:style w:type="paragraph" w:customStyle="1" w:styleId="61">
    <w:name w:val="正文 首行缩进:  2 字符"/>
    <w:basedOn w:val="1"/>
    <w:autoRedefine/>
    <w:qFormat/>
    <w:uiPriority w:val="0"/>
    <w:pPr>
      <w:ind w:firstLine="1040" w:firstLineChars="200"/>
    </w:pPr>
    <w:rPr>
      <w:rFonts w:cs="宋体"/>
      <w:szCs w:val="20"/>
    </w:rPr>
  </w:style>
  <w:style w:type="character" w:customStyle="1" w:styleId="62">
    <w:name w:val="表头 Char"/>
    <w:link w:val="49"/>
    <w:autoRedefine/>
    <w:qFormat/>
    <w:uiPriority w:val="0"/>
    <w:rPr>
      <w:b/>
    </w:rPr>
  </w:style>
  <w:style w:type="paragraph" w:customStyle="1" w:styleId="63">
    <w:name w:val="表格文字"/>
    <w:basedOn w:val="1"/>
    <w:next w:val="1"/>
    <w:autoRedefine/>
    <w:qFormat/>
    <w:uiPriority w:val="0"/>
    <w:pPr>
      <w:jc w:val="center"/>
    </w:pPr>
  </w:style>
  <w:style w:type="paragraph" w:customStyle="1" w:styleId="64">
    <w:name w:val="正文1"/>
    <w:basedOn w:val="1"/>
    <w:autoRedefine/>
    <w:qFormat/>
    <w:uiPriority w:val="0"/>
    <w:pPr>
      <w:widowControl/>
      <w:jc w:val="both"/>
    </w:pPr>
    <w:rPr>
      <w:rFonts w:hint="eastAsia" w:ascii="宋体" w:hAnsi="宋体"/>
      <w:sz w:val="21"/>
      <w:szCs w:val="21"/>
    </w:rPr>
  </w:style>
  <w:style w:type="paragraph" w:customStyle="1" w:styleId="65">
    <w:name w:val="我的正文"/>
    <w:basedOn w:val="1"/>
    <w:autoRedefine/>
    <w:qFormat/>
    <w:uiPriority w:val="0"/>
    <w:pPr>
      <w:spacing w:line="520" w:lineRule="exact"/>
      <w:ind w:firstLine="200" w:firstLineChars="200"/>
    </w:pPr>
    <w:rPr>
      <w:rFonts w:ascii="Calibri" w:hAnsi="Calibri"/>
      <w:color w:val="000000"/>
      <w:szCs w:val="20"/>
    </w:rPr>
  </w:style>
  <w:style w:type="paragraph" w:customStyle="1" w:styleId="66">
    <w:name w:val="表格题注"/>
    <w:autoRedefine/>
    <w:qFormat/>
    <w:uiPriority w:val="0"/>
    <w:pPr>
      <w:jc w:val="center"/>
    </w:pPr>
    <w:rPr>
      <w:rFonts w:ascii="Times New Roman" w:hAnsi="Times New Roman" w:eastAsia="宋体" w:cs="Times New Roman"/>
      <w:b/>
      <w:sz w:val="21"/>
      <w:szCs w:val="24"/>
      <w:lang w:val="en-US" w:eastAsia="zh-CN" w:bidi="ar-SA"/>
    </w:rPr>
  </w:style>
  <w:style w:type="character" w:customStyle="1" w:styleId="67">
    <w:name w:val="标题 1 Char"/>
    <w:link w:val="2"/>
    <w:autoRedefine/>
    <w:qFormat/>
    <w:uiPriority w:val="0"/>
    <w:rPr>
      <w:rFonts w:ascii="Times New Roman" w:hAnsi="Times New Roman" w:eastAsia="宋体"/>
      <w:b/>
      <w:kern w:val="44"/>
      <w:sz w:val="32"/>
      <w:szCs w:val="32"/>
    </w:rPr>
  </w:style>
  <w:style w:type="paragraph" w:customStyle="1" w:styleId="68">
    <w:name w:val="Table Text"/>
    <w:basedOn w:val="1"/>
    <w:autoRedefine/>
    <w:semiHidden/>
    <w:qFormat/>
    <w:uiPriority w:val="0"/>
    <w:rPr>
      <w:rFonts w:ascii="宋体" w:hAnsi="宋体" w:eastAsia="宋体" w:cs="宋体"/>
      <w:sz w:val="24"/>
      <w:szCs w:val="24"/>
      <w:lang w:val="en-US" w:eastAsia="en-US" w:bidi="ar-SA"/>
    </w:rPr>
  </w:style>
  <w:style w:type="paragraph" w:customStyle="1" w:styleId="69">
    <w:name w:val="表标题"/>
    <w:next w:val="70"/>
    <w:autoRedefine/>
    <w:qFormat/>
    <w:uiPriority w:val="0"/>
    <w:pPr>
      <w:tabs>
        <w:tab w:val="left" w:pos="0"/>
      </w:tabs>
      <w:jc w:val="center"/>
    </w:pPr>
    <w:rPr>
      <w:rFonts w:ascii="Times New Roman" w:hAnsi="Times New Roman" w:eastAsia="宋体" w:cs="Times New Roman"/>
      <w:b/>
      <w:sz w:val="24"/>
      <w:lang w:val="en-US" w:eastAsia="zh-CN" w:bidi="ar-SA"/>
    </w:rPr>
  </w:style>
  <w:style w:type="paragraph" w:customStyle="1" w:styleId="70">
    <w:name w:val="表格"/>
    <w:next w:val="1"/>
    <w:autoRedefine/>
    <w:qFormat/>
    <w:uiPriority w:val="99"/>
    <w:pPr>
      <w:adjustRightInd w:val="0"/>
      <w:snapToGrid w:val="0"/>
      <w:jc w:val="center"/>
    </w:pPr>
    <w:rPr>
      <w:rFonts w:ascii="Calibri" w:hAnsi="Calibri" w:eastAsia="宋体" w:cs="Times New Roman"/>
      <w:sz w:val="21"/>
      <w:szCs w:val="24"/>
      <w:lang w:val="en-US" w:eastAsia="zh-CN" w:bidi="ar-SA"/>
    </w:rPr>
  </w:style>
  <w:style w:type="character" w:customStyle="1" w:styleId="71">
    <w:name w:val="font11"/>
    <w:basedOn w:val="33"/>
    <w:autoRedefine/>
    <w:qFormat/>
    <w:uiPriority w:val="0"/>
    <w:rPr>
      <w:rFonts w:hint="eastAsia" w:ascii="宋体" w:hAnsi="宋体" w:eastAsia="宋体" w:cs="宋体"/>
      <w:color w:val="000000"/>
      <w:sz w:val="20"/>
      <w:szCs w:val="20"/>
      <w:u w:val="none"/>
    </w:rPr>
  </w:style>
  <w:style w:type="character" w:customStyle="1" w:styleId="72">
    <w:name w:val="font41"/>
    <w:basedOn w:val="33"/>
    <w:autoRedefine/>
    <w:qFormat/>
    <w:uiPriority w:val="0"/>
    <w:rPr>
      <w:rFonts w:hint="default" w:ascii="Times New Roman" w:hAnsi="Times New Roman" w:cs="Times New Roman"/>
      <w:b/>
      <w:bCs/>
      <w:color w:val="000000"/>
      <w:sz w:val="20"/>
      <w:szCs w:val="20"/>
      <w:u w:val="none"/>
    </w:rPr>
  </w:style>
  <w:style w:type="character" w:customStyle="1" w:styleId="73">
    <w:name w:val="font31"/>
    <w:basedOn w:val="33"/>
    <w:autoRedefine/>
    <w:qFormat/>
    <w:uiPriority w:val="0"/>
    <w:rPr>
      <w:rFonts w:hint="default" w:ascii="Times New Roman" w:hAnsi="Times New Roman" w:cs="Times New Roman"/>
      <w:color w:val="000000"/>
      <w:sz w:val="20"/>
      <w:szCs w:val="20"/>
      <w:u w:val="none"/>
    </w:rPr>
  </w:style>
  <w:style w:type="character" w:customStyle="1" w:styleId="74">
    <w:name w:val="font51"/>
    <w:basedOn w:val="33"/>
    <w:autoRedefine/>
    <w:qFormat/>
    <w:uiPriority w:val="0"/>
    <w:rPr>
      <w:rFonts w:hint="default" w:ascii="Times New Roman" w:hAnsi="Times New Roman" w:cs="Times New Roman"/>
      <w:color w:val="000000"/>
      <w:sz w:val="13"/>
      <w:szCs w:val="13"/>
      <w:u w:val="none"/>
    </w:rPr>
  </w:style>
  <w:style w:type="character" w:customStyle="1" w:styleId="75">
    <w:name w:val="NormalCharacter"/>
    <w:autoRedefine/>
    <w:qFormat/>
    <w:uiPriority w:val="0"/>
  </w:style>
  <w:style w:type="character" w:customStyle="1" w:styleId="76">
    <w:name w:val="font21"/>
    <w:basedOn w:val="33"/>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53</Pages>
  <Words>28924</Words>
  <Characters>33698</Characters>
  <Lines>292</Lines>
  <Paragraphs>82</Paragraphs>
  <TotalTime>13</TotalTime>
  <ScaleCrop>false</ScaleCrop>
  <LinksUpToDate>false</LinksUpToDate>
  <CharactersWithSpaces>33871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2021-03-03T02:06:00Z</dcterms:created>
  <dc:creator>小袁</dc:creator>
  <cp:lastModifiedBy>涨三斤</cp:lastModifiedBy>
  <cp:lastPrinted>2023-12-28T01:04:00Z</cp:lastPrinted>
  <dcterms:modified xsi:type="dcterms:W3CDTF">2024-03-01T01:33:00Z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04F9BE4A79A7486282E5BE4A1855C546_13</vt:lpwstr>
  </property>
</Properties>
</file>