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6"/>
        <w:ind w:firstLine="0" w:firstLineChars="0"/>
        <w:rPr>
          <w:color w:val="000000" w:themeColor="text1"/>
          <w:highlight w:val="none"/>
          <w:lang w:eastAsia="en-US"/>
          <w14:textFill>
            <w14:solidFill>
              <w14:schemeClr w14:val="tx1"/>
            </w14:solidFill>
          </w14:textFill>
        </w:rPr>
      </w:pPr>
      <w:bookmarkStart w:id="0" w:name="_Toc16023"/>
    </w:p>
    <w:p>
      <w:pPr>
        <w:adjustRightInd w:val="0"/>
        <w:snapToGrid w:val="0"/>
        <w:jc w:val="both"/>
        <w:rPr>
          <w:b/>
          <w:bCs/>
          <w:color w:val="000000" w:themeColor="text1"/>
          <w:sz w:val="56"/>
          <w:szCs w:val="56"/>
          <w:highlight w:val="none"/>
          <w:lang w:eastAsia="en-US"/>
          <w14:textFill>
            <w14:solidFill>
              <w14:schemeClr w14:val="tx1"/>
            </w14:solidFill>
          </w14:textFill>
        </w:rPr>
      </w:pPr>
    </w:p>
    <w:p>
      <w:pPr>
        <w:jc w:val="center"/>
        <w:rPr>
          <w:b/>
          <w:bCs/>
          <w:color w:val="000000" w:themeColor="text1"/>
          <w:sz w:val="56"/>
          <w:szCs w:val="56"/>
          <w:highlight w:val="none"/>
          <w14:textFill>
            <w14:solidFill>
              <w14:schemeClr w14:val="tx1"/>
            </w14:solidFill>
          </w14:textFill>
        </w:rPr>
      </w:pPr>
      <w:bookmarkStart w:id="1" w:name="_Toc23038"/>
      <w:r>
        <w:rPr>
          <w:rFonts w:hint="eastAsia"/>
          <w:b/>
          <w:bCs/>
          <w:color w:val="000000" w:themeColor="text1"/>
          <w:sz w:val="56"/>
          <w:szCs w:val="56"/>
          <w:highlight w:val="none"/>
          <w14:textFill>
            <w14:solidFill>
              <w14:schemeClr w14:val="tx1"/>
            </w14:solidFill>
          </w14:textFill>
        </w:rPr>
        <w:t>建设项目环境影响报告表</w:t>
      </w:r>
      <w:bookmarkEnd w:id="0"/>
      <w:bookmarkEnd w:id="1"/>
    </w:p>
    <w:p>
      <w:pPr>
        <w:adjustRightInd w:val="0"/>
        <w:snapToGrid w:val="0"/>
        <w:jc w:val="center"/>
        <w:rPr>
          <w:b/>
          <w:bCs/>
          <w:color w:val="000000" w:themeColor="text1"/>
          <w:sz w:val="72"/>
          <w:szCs w:val="72"/>
          <w:highlight w:val="none"/>
          <w14:textFill>
            <w14:solidFill>
              <w14:schemeClr w14:val="tx1"/>
            </w14:solidFill>
          </w14:textFill>
        </w:rPr>
      </w:pPr>
      <w:r>
        <w:rPr>
          <w:rFonts w:hint="eastAsia"/>
          <w:b/>
          <w:bCs/>
          <w:color w:val="000000" w:themeColor="text1"/>
          <w:sz w:val="56"/>
          <w:szCs w:val="56"/>
          <w:highlight w:val="none"/>
          <w14:textFill>
            <w14:solidFill>
              <w14:schemeClr w14:val="tx1"/>
            </w14:solidFill>
          </w14:textFill>
        </w:rPr>
        <w:t>（</w:t>
      </w:r>
      <w:r>
        <w:rPr>
          <w:rFonts w:hint="eastAsia"/>
          <w:b/>
          <w:bCs/>
          <w:color w:val="000000" w:themeColor="text1"/>
          <w:sz w:val="56"/>
          <w:szCs w:val="56"/>
          <w:highlight w:val="none"/>
          <w:lang w:val="en-US"/>
          <w14:textFill>
            <w14:solidFill>
              <w14:schemeClr w14:val="tx1"/>
            </w14:solidFill>
          </w14:textFill>
        </w:rPr>
        <w:t>污染影响类</w:t>
      </w:r>
      <w:r>
        <w:rPr>
          <w:rFonts w:hint="eastAsia"/>
          <w:b/>
          <w:bCs/>
          <w:color w:val="000000" w:themeColor="text1"/>
          <w:sz w:val="56"/>
          <w:szCs w:val="56"/>
          <w:highlight w:val="none"/>
          <w14:textFill>
            <w14:solidFill>
              <w14:schemeClr w14:val="tx1"/>
            </w14:solidFill>
          </w14:textFill>
        </w:rPr>
        <w:t>）</w:t>
      </w:r>
    </w:p>
    <w:p>
      <w:pPr>
        <w:pStyle w:val="2"/>
        <w:rPr>
          <w:color w:val="000000" w:themeColor="text1"/>
          <w:sz w:val="48"/>
          <w:highlight w:val="none"/>
          <w14:textFill>
            <w14:solidFill>
              <w14:schemeClr w14:val="tx1"/>
            </w14:solidFill>
          </w14:textFill>
        </w:rPr>
      </w:pPr>
    </w:p>
    <w:p>
      <w:pPr>
        <w:pStyle w:val="2"/>
        <w:rPr>
          <w:color w:val="000000" w:themeColor="text1"/>
          <w:sz w:val="48"/>
          <w:highlight w:val="none"/>
          <w14:textFill>
            <w14:solidFill>
              <w14:schemeClr w14:val="tx1"/>
            </w14:solidFill>
          </w14:textFill>
        </w:rPr>
      </w:pPr>
    </w:p>
    <w:p>
      <w:pPr>
        <w:pStyle w:val="2"/>
        <w:rPr>
          <w:color w:val="000000" w:themeColor="text1"/>
          <w:sz w:val="48"/>
          <w:highlight w:val="none"/>
          <w14:textFill>
            <w14:solidFill>
              <w14:schemeClr w14:val="tx1"/>
            </w14:solidFill>
          </w14:textFill>
        </w:rPr>
      </w:pPr>
    </w:p>
    <w:p>
      <w:pPr>
        <w:pStyle w:val="2"/>
        <w:jc w:val="both"/>
        <w:rPr>
          <w:color w:val="000000" w:themeColor="text1"/>
          <w:sz w:val="48"/>
          <w:highlight w:val="none"/>
          <w14:textFill>
            <w14:solidFill>
              <w14:schemeClr w14:val="tx1"/>
            </w14:solidFill>
          </w14:textFill>
        </w:rPr>
      </w:pPr>
    </w:p>
    <w:p>
      <w:pPr>
        <w:pStyle w:val="37"/>
        <w:spacing w:line="360" w:lineRule="auto"/>
        <w:jc w:val="both"/>
        <w:rPr>
          <w:bCs/>
          <w:color w:val="000000" w:themeColor="text1"/>
          <w:spacing w:val="8"/>
          <w:sz w:val="32"/>
          <w:szCs w:val="32"/>
          <w:highlight w:val="none"/>
          <w14:textFill>
            <w14:solidFill>
              <w14:schemeClr w14:val="tx1"/>
            </w14:solidFill>
          </w14:textFill>
        </w:rPr>
      </w:pPr>
    </w:p>
    <w:p>
      <w:pPr>
        <w:pStyle w:val="37"/>
        <w:spacing w:line="360" w:lineRule="auto"/>
        <w:jc w:val="both"/>
        <w:rPr>
          <w:bCs/>
          <w:color w:val="000000" w:themeColor="text1"/>
          <w:spacing w:val="8"/>
          <w:sz w:val="32"/>
          <w:szCs w:val="32"/>
          <w:highlight w:val="none"/>
          <w14:textFill>
            <w14:solidFill>
              <w14:schemeClr w14:val="tx1"/>
            </w14:solidFill>
          </w14:textFill>
        </w:rPr>
      </w:pPr>
    </w:p>
    <w:p>
      <w:pPr>
        <w:pStyle w:val="37"/>
        <w:widowControl w:val="0"/>
        <w:spacing w:line="360" w:lineRule="auto"/>
        <w:ind w:firstLine="672" w:firstLineChars="200"/>
        <w:jc w:val="both"/>
        <w:rPr>
          <w:bCs/>
          <w:color w:val="000000" w:themeColor="text1"/>
          <w:spacing w:val="8"/>
          <w:sz w:val="32"/>
          <w:szCs w:val="32"/>
          <w:highlight w:val="none"/>
          <w14:textFill>
            <w14:solidFill>
              <w14:schemeClr w14:val="tx1"/>
            </w14:solidFill>
          </w14:textFill>
        </w:rPr>
      </w:pPr>
      <w:r>
        <w:rPr>
          <w:rFonts w:hint="eastAsia"/>
          <w:bCs/>
          <w:color w:val="000000" w:themeColor="text1"/>
          <w:spacing w:val="8"/>
          <w:sz w:val="32"/>
          <w:szCs w:val="32"/>
          <w:highlight w:val="none"/>
          <w14:textFill>
            <w14:solidFill>
              <w14:schemeClr w14:val="tx1"/>
            </w14:solidFill>
          </w14:textFill>
        </w:rPr>
        <w:t>项目名称：</w:t>
      </w:r>
      <w:r>
        <w:rPr>
          <w:rFonts w:hint="eastAsia"/>
          <w:bCs/>
          <w:color w:val="000000" w:themeColor="text1"/>
          <w:spacing w:val="8"/>
          <w:sz w:val="32"/>
          <w:szCs w:val="32"/>
          <w:highlight w:val="none"/>
          <w:u w:val="single"/>
          <w:lang w:val="en-US" w:eastAsia="zh-CN"/>
          <w14:textFill>
            <w14:solidFill>
              <w14:schemeClr w14:val="tx1"/>
            </w14:solidFill>
          </w14:textFill>
        </w:rPr>
        <w:t>临湘市忠防镇木形片区集中供水工程（一期）项目</w:t>
      </w:r>
    </w:p>
    <w:p>
      <w:pPr>
        <w:pStyle w:val="37"/>
        <w:widowControl w:val="0"/>
        <w:spacing w:line="360" w:lineRule="auto"/>
        <w:ind w:firstLine="672" w:firstLineChars="200"/>
        <w:jc w:val="both"/>
        <w:rPr>
          <w:bCs/>
          <w:color w:val="000000" w:themeColor="text1"/>
          <w:spacing w:val="8"/>
          <w:sz w:val="32"/>
          <w:szCs w:val="32"/>
          <w:highlight w:val="none"/>
          <w14:textFill>
            <w14:solidFill>
              <w14:schemeClr w14:val="tx1"/>
            </w14:solidFill>
          </w14:textFill>
        </w:rPr>
      </w:pPr>
      <w:r>
        <w:rPr>
          <w:rFonts w:hint="eastAsia"/>
          <w:bCs/>
          <w:color w:val="000000" w:themeColor="text1"/>
          <w:spacing w:val="8"/>
          <w:sz w:val="32"/>
          <w:szCs w:val="32"/>
          <w:highlight w:val="none"/>
          <w14:textFill>
            <w14:solidFill>
              <w14:schemeClr w14:val="tx1"/>
            </w14:solidFill>
          </w14:textFill>
        </w:rPr>
        <w:t>建设单位：</w:t>
      </w:r>
      <w:r>
        <w:rPr>
          <w:rFonts w:hint="eastAsia"/>
          <w:bCs/>
          <w:color w:val="000000" w:themeColor="text1"/>
          <w:spacing w:val="8"/>
          <w:sz w:val="32"/>
          <w:szCs w:val="32"/>
          <w:highlight w:val="none"/>
          <w:u w:val="single"/>
          <w14:textFill>
            <w14:solidFill>
              <w14:schemeClr w14:val="tx1"/>
            </w14:solidFill>
          </w14:textFill>
        </w:rPr>
        <w:t xml:space="preserve">      </w:t>
      </w:r>
      <w:r>
        <w:rPr>
          <w:rFonts w:hint="eastAsia"/>
          <w:bCs/>
          <w:color w:val="000000" w:themeColor="text1"/>
          <w:spacing w:val="8"/>
          <w:sz w:val="32"/>
          <w:szCs w:val="32"/>
          <w:highlight w:val="none"/>
          <w:u w:val="single"/>
          <w:lang w:val="en-US" w:eastAsia="zh-CN"/>
          <w14:textFill>
            <w14:solidFill>
              <w14:schemeClr w14:val="tx1"/>
            </w14:solidFill>
          </w14:textFill>
        </w:rPr>
        <w:t xml:space="preserve">      临湘市忠防镇人民政府        </w:t>
      </w:r>
      <w:r>
        <w:rPr>
          <w:rFonts w:hint="eastAsia"/>
          <w:bCs/>
          <w:color w:val="000000" w:themeColor="text1"/>
          <w:spacing w:val="8"/>
          <w:sz w:val="32"/>
          <w:szCs w:val="32"/>
          <w:highlight w:val="none"/>
          <w:u w:val="single"/>
          <w14:textFill>
            <w14:solidFill>
              <w14:schemeClr w14:val="tx1"/>
            </w14:solidFill>
          </w14:textFill>
        </w:rPr>
        <w:t xml:space="preserve"> </w:t>
      </w:r>
      <w:r>
        <w:rPr>
          <w:rFonts w:hint="eastAsia"/>
          <w:bCs/>
          <w:color w:val="000000" w:themeColor="text1"/>
          <w:spacing w:val="8"/>
          <w:sz w:val="32"/>
          <w:szCs w:val="32"/>
          <w:highlight w:val="none"/>
          <w:u w:val="single"/>
          <w:lang w:val="en-US" w:eastAsia="zh-CN"/>
          <w14:textFill>
            <w14:solidFill>
              <w14:schemeClr w14:val="tx1"/>
            </w14:solidFill>
          </w14:textFill>
        </w:rPr>
        <w:t xml:space="preserve"> </w:t>
      </w:r>
      <w:r>
        <w:rPr>
          <w:rFonts w:hint="eastAsia"/>
          <w:bCs/>
          <w:color w:val="000000" w:themeColor="text1"/>
          <w:spacing w:val="8"/>
          <w:sz w:val="32"/>
          <w:szCs w:val="32"/>
          <w:highlight w:val="none"/>
          <w:u w:val="single"/>
          <w14:textFill>
            <w14:solidFill>
              <w14:schemeClr w14:val="tx1"/>
            </w14:solidFill>
          </w14:textFill>
        </w:rPr>
        <w:t xml:space="preserve"> </w:t>
      </w:r>
    </w:p>
    <w:p>
      <w:pPr>
        <w:pStyle w:val="37"/>
        <w:widowControl w:val="0"/>
        <w:spacing w:line="360" w:lineRule="auto"/>
        <w:ind w:firstLine="672" w:firstLineChars="200"/>
        <w:jc w:val="both"/>
        <w:rPr>
          <w:bCs/>
          <w:color w:val="000000" w:themeColor="text1"/>
          <w:spacing w:val="8"/>
          <w:sz w:val="32"/>
          <w:szCs w:val="32"/>
          <w:highlight w:val="none"/>
          <w14:textFill>
            <w14:solidFill>
              <w14:schemeClr w14:val="tx1"/>
            </w14:solidFill>
          </w14:textFill>
        </w:rPr>
      </w:pPr>
      <w:r>
        <w:rPr>
          <w:rFonts w:hint="eastAsia"/>
          <w:bCs/>
          <w:color w:val="000000" w:themeColor="text1"/>
          <w:spacing w:val="8"/>
          <w:sz w:val="32"/>
          <w:szCs w:val="32"/>
          <w:highlight w:val="none"/>
          <w14:textFill>
            <w14:solidFill>
              <w14:schemeClr w14:val="tx1"/>
            </w14:solidFill>
          </w14:textFill>
        </w:rPr>
        <w:t>编制日期：</w:t>
      </w:r>
      <w:r>
        <w:rPr>
          <w:rFonts w:hint="eastAsia"/>
          <w:bCs/>
          <w:color w:val="000000" w:themeColor="text1"/>
          <w:spacing w:val="8"/>
          <w:sz w:val="32"/>
          <w:szCs w:val="32"/>
          <w:highlight w:val="none"/>
          <w:u w:val="single"/>
          <w14:textFill>
            <w14:solidFill>
              <w14:schemeClr w14:val="tx1"/>
            </w14:solidFill>
          </w14:textFill>
        </w:rPr>
        <w:t xml:space="preserve">     </w:t>
      </w:r>
      <w:r>
        <w:rPr>
          <w:bCs/>
          <w:color w:val="000000" w:themeColor="text1"/>
          <w:spacing w:val="8"/>
          <w:sz w:val="32"/>
          <w:szCs w:val="32"/>
          <w:highlight w:val="none"/>
          <w:u w:val="single"/>
          <w14:textFill>
            <w14:solidFill>
              <w14:schemeClr w14:val="tx1"/>
            </w14:solidFill>
          </w14:textFill>
        </w:rPr>
        <w:t xml:space="preserve">  </w:t>
      </w:r>
      <w:r>
        <w:rPr>
          <w:rFonts w:hint="eastAsia"/>
          <w:bCs/>
          <w:color w:val="000000" w:themeColor="text1"/>
          <w:spacing w:val="8"/>
          <w:sz w:val="32"/>
          <w:szCs w:val="32"/>
          <w:highlight w:val="none"/>
          <w:u w:val="single"/>
          <w14:textFill>
            <w14:solidFill>
              <w14:schemeClr w14:val="tx1"/>
            </w14:solidFill>
          </w14:textFill>
        </w:rPr>
        <w:t xml:space="preserve">       二〇</w:t>
      </w:r>
      <w:r>
        <w:rPr>
          <w:rFonts w:hint="eastAsia"/>
          <w:bCs/>
          <w:color w:val="000000" w:themeColor="text1"/>
          <w:spacing w:val="8"/>
          <w:sz w:val="32"/>
          <w:szCs w:val="32"/>
          <w:highlight w:val="none"/>
          <w:u w:val="single"/>
          <w:lang w:val="en-US" w:eastAsia="zh-CN"/>
          <w14:textFill>
            <w14:solidFill>
              <w14:schemeClr w14:val="tx1"/>
            </w14:solidFill>
          </w14:textFill>
        </w:rPr>
        <w:t>二四</w:t>
      </w:r>
      <w:r>
        <w:rPr>
          <w:rFonts w:hint="eastAsia"/>
          <w:bCs/>
          <w:color w:val="000000" w:themeColor="text1"/>
          <w:spacing w:val="8"/>
          <w:sz w:val="32"/>
          <w:szCs w:val="32"/>
          <w:highlight w:val="none"/>
          <w:u w:val="single"/>
          <w14:textFill>
            <w14:solidFill>
              <w14:schemeClr w14:val="tx1"/>
            </w14:solidFill>
          </w14:textFill>
        </w:rPr>
        <w:t>年</w:t>
      </w:r>
      <w:r>
        <w:rPr>
          <w:rFonts w:hint="eastAsia"/>
          <w:bCs/>
          <w:color w:val="000000" w:themeColor="text1"/>
          <w:spacing w:val="8"/>
          <w:sz w:val="32"/>
          <w:szCs w:val="32"/>
          <w:highlight w:val="none"/>
          <w:u w:val="single"/>
          <w:lang w:val="en-US" w:eastAsia="zh-CN"/>
          <w14:textFill>
            <w14:solidFill>
              <w14:schemeClr w14:val="tx1"/>
            </w14:solidFill>
          </w14:textFill>
        </w:rPr>
        <w:t>一</w:t>
      </w:r>
      <w:r>
        <w:rPr>
          <w:rFonts w:hint="eastAsia"/>
          <w:bCs/>
          <w:color w:val="000000" w:themeColor="text1"/>
          <w:spacing w:val="8"/>
          <w:sz w:val="32"/>
          <w:szCs w:val="32"/>
          <w:highlight w:val="none"/>
          <w:u w:val="single"/>
          <w14:textFill>
            <w14:solidFill>
              <w14:schemeClr w14:val="tx1"/>
            </w14:solidFill>
          </w14:textFill>
        </w:rPr>
        <w:t xml:space="preserve">月 </w:t>
      </w:r>
      <w:r>
        <w:rPr>
          <w:bCs/>
          <w:color w:val="000000" w:themeColor="text1"/>
          <w:spacing w:val="8"/>
          <w:sz w:val="32"/>
          <w:szCs w:val="32"/>
          <w:highlight w:val="none"/>
          <w:u w:val="single"/>
          <w14:textFill>
            <w14:solidFill>
              <w14:schemeClr w14:val="tx1"/>
            </w14:solidFill>
          </w14:textFill>
        </w:rPr>
        <w:t xml:space="preserve"> </w:t>
      </w:r>
      <w:r>
        <w:rPr>
          <w:rFonts w:hint="eastAsia"/>
          <w:bCs/>
          <w:color w:val="000000" w:themeColor="text1"/>
          <w:spacing w:val="8"/>
          <w:sz w:val="32"/>
          <w:szCs w:val="32"/>
          <w:highlight w:val="none"/>
          <w:u w:val="single"/>
          <w14:textFill>
            <w14:solidFill>
              <w14:schemeClr w14:val="tx1"/>
            </w14:solidFill>
          </w14:textFill>
        </w:rPr>
        <w:t xml:space="preserve">        </w:t>
      </w:r>
      <w:r>
        <w:rPr>
          <w:bCs/>
          <w:color w:val="000000" w:themeColor="text1"/>
          <w:spacing w:val="8"/>
          <w:sz w:val="32"/>
          <w:szCs w:val="32"/>
          <w:highlight w:val="none"/>
          <w:u w:val="single"/>
          <w14:textFill>
            <w14:solidFill>
              <w14:schemeClr w14:val="tx1"/>
            </w14:solidFill>
          </w14:textFill>
        </w:rPr>
        <w:t xml:space="preserve"> </w:t>
      </w:r>
      <w:r>
        <w:rPr>
          <w:rFonts w:hint="eastAsia"/>
          <w:bCs/>
          <w:color w:val="000000" w:themeColor="text1"/>
          <w:spacing w:val="8"/>
          <w:sz w:val="32"/>
          <w:szCs w:val="32"/>
          <w:highlight w:val="none"/>
          <w:u w:val="single"/>
          <w14:textFill>
            <w14:solidFill>
              <w14:schemeClr w14:val="tx1"/>
            </w14:solidFill>
          </w14:textFill>
        </w:rPr>
        <w:t xml:space="preserve">   </w:t>
      </w:r>
    </w:p>
    <w:p>
      <w:pPr>
        <w:pStyle w:val="37"/>
        <w:spacing w:line="360" w:lineRule="auto"/>
        <w:jc w:val="both"/>
        <w:rPr>
          <w:bCs/>
          <w:color w:val="000000" w:themeColor="text1"/>
          <w:spacing w:val="8"/>
          <w:sz w:val="32"/>
          <w:szCs w:val="32"/>
          <w:highlight w:val="none"/>
          <w14:textFill>
            <w14:solidFill>
              <w14:schemeClr w14:val="tx1"/>
            </w14:solidFill>
          </w14:textFill>
        </w:rPr>
      </w:pPr>
    </w:p>
    <w:p>
      <w:pPr>
        <w:pStyle w:val="37"/>
        <w:spacing w:line="360" w:lineRule="auto"/>
        <w:jc w:val="both"/>
        <w:rPr>
          <w:bCs/>
          <w:color w:val="000000" w:themeColor="text1"/>
          <w:spacing w:val="8"/>
          <w:sz w:val="32"/>
          <w:szCs w:val="32"/>
          <w:highlight w:val="none"/>
          <w14:textFill>
            <w14:solidFill>
              <w14:schemeClr w14:val="tx1"/>
            </w14:solidFill>
          </w14:textFill>
        </w:rPr>
      </w:pPr>
    </w:p>
    <w:p>
      <w:pPr>
        <w:pStyle w:val="37"/>
        <w:spacing w:line="360" w:lineRule="auto"/>
        <w:jc w:val="both"/>
        <w:rPr>
          <w:bCs/>
          <w:color w:val="000000" w:themeColor="text1"/>
          <w:spacing w:val="8"/>
          <w:sz w:val="32"/>
          <w:szCs w:val="32"/>
          <w:highlight w:val="none"/>
          <w14:textFill>
            <w14:solidFill>
              <w14:schemeClr w14:val="tx1"/>
            </w14:solidFill>
          </w14:textFill>
        </w:rPr>
      </w:pPr>
    </w:p>
    <w:p>
      <w:pPr>
        <w:autoSpaceDE/>
        <w:autoSpaceDN/>
        <w:jc w:val="center"/>
        <w:rPr>
          <w:rFonts w:hint="eastAsia"/>
          <w:bCs/>
          <w:color w:val="000000" w:themeColor="text1"/>
          <w:kern w:val="2"/>
          <w:sz w:val="32"/>
          <w:szCs w:val="32"/>
          <w:highlight w:val="none"/>
          <w:lang w:val="en-US" w:bidi="ar-SA"/>
          <w14:textFill>
            <w14:solidFill>
              <w14:schemeClr w14:val="tx1"/>
            </w14:solidFill>
          </w14:textFill>
        </w:rPr>
        <w:sectPr>
          <w:pgSz w:w="11906" w:h="16838"/>
          <w:pgMar w:top="1440" w:right="1080" w:bottom="1440" w:left="1080" w:header="851" w:footer="992" w:gutter="0"/>
          <w:cols w:space="720" w:num="1"/>
          <w:docGrid w:type="lines" w:linePitch="312" w:charSpace="0"/>
        </w:sectPr>
      </w:pPr>
      <w:r>
        <w:rPr>
          <w:rFonts w:hint="eastAsia"/>
          <w:bCs/>
          <w:color w:val="000000" w:themeColor="text1"/>
          <w:kern w:val="2"/>
          <w:sz w:val="32"/>
          <w:szCs w:val="32"/>
          <w:highlight w:val="none"/>
          <w:lang w:val="en-US" w:bidi="ar-SA"/>
          <w14:textFill>
            <w14:solidFill>
              <w14:schemeClr w14:val="tx1"/>
            </w14:solidFill>
          </w14:textFill>
        </w:rPr>
        <w:t>中华人民共和国生态环境部制</w:t>
      </w:r>
    </w:p>
    <w:p>
      <w:pPr>
        <w:pStyle w:val="2"/>
        <w:jc w:val="center"/>
        <w:rPr>
          <w:color w:val="000000" w:themeColor="text1"/>
          <w:highlight w:val="none"/>
          <w:lang w:val="en-US"/>
          <w14:textFill>
            <w14:solidFill>
              <w14:schemeClr w14:val="tx1"/>
            </w14:solidFill>
          </w14:textFill>
        </w:rPr>
        <w:sectPr>
          <w:pgSz w:w="16838" w:h="11906" w:orient="landscape"/>
          <w:pgMar w:top="1440" w:right="1080" w:bottom="1440" w:left="1080" w:header="851" w:footer="992" w:gutter="0"/>
          <w:cols w:space="720" w:num="1"/>
          <w:docGrid w:type="lines" w:linePitch="312" w:charSpace="0"/>
        </w:sectPr>
      </w:pPr>
      <w:r>
        <w:rPr>
          <w:sz w:val="21"/>
        </w:rPr>
        <mc:AlternateContent>
          <mc:Choice Requires="wps">
            <w:drawing>
              <wp:anchor distT="0" distB="0" distL="114300" distR="114300" simplePos="0" relativeHeight="251752448" behindDoc="0" locked="0" layoutInCell="1" allowOverlap="1">
                <wp:simplePos x="0" y="0"/>
                <wp:positionH relativeFrom="column">
                  <wp:posOffset>1910080</wp:posOffset>
                </wp:positionH>
                <wp:positionV relativeFrom="paragraph">
                  <wp:posOffset>97790</wp:posOffset>
                </wp:positionV>
                <wp:extent cx="2458720" cy="7247255"/>
                <wp:effectExtent l="0" t="2394585" r="0" b="0"/>
                <wp:wrapNone/>
                <wp:docPr id="169" name="文本框 169"/>
                <wp:cNvGraphicFramePr/>
                <a:graphic xmlns:a="http://schemas.openxmlformats.org/drawingml/2006/main">
                  <a:graphicData uri="http://schemas.microsoft.com/office/word/2010/wordprocessingShape">
                    <wps:wsp>
                      <wps:cNvSpPr txBox="1"/>
                      <wps:spPr>
                        <a:xfrm rot="18840000">
                          <a:off x="6913245" y="2825115"/>
                          <a:ext cx="2458720" cy="7247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color w:val="FF0000"/>
                                <w:sz w:val="40"/>
                                <w:szCs w:val="48"/>
                                <w:lang w:val="en-US" w:eastAsia="zh-CN"/>
                              </w:rPr>
                            </w:pPr>
                            <w:r>
                              <w:rPr>
                                <w:rFonts w:hint="default" w:ascii="Times New Roman" w:hAnsi="Times New Roman" w:cs="Times New Roman"/>
                                <w:color w:val="FF0000"/>
                                <w:sz w:val="40"/>
                                <w:szCs w:val="48"/>
                                <w:lang w:val="en-US" w:eastAsia="zh-CN"/>
                              </w:rPr>
                              <w:t>仅限</w:t>
                            </w:r>
                            <w:r>
                              <w:rPr>
                                <w:rFonts w:hint="eastAsia" w:ascii="Times New Roman" w:hAnsi="Times New Roman" w:cs="Times New Roman"/>
                                <w:color w:val="FF0000"/>
                                <w:sz w:val="40"/>
                                <w:szCs w:val="48"/>
                                <w:lang w:val="en-US" w:eastAsia="zh-CN"/>
                              </w:rPr>
                              <w:t>临湘市忠防镇木形片区集中供水工程（一期）项目环评使用</w:t>
                            </w:r>
                          </w:p>
                          <w:p>
                            <w:pPr>
                              <w:rPr>
                                <w:sz w:val="36"/>
                                <w:szCs w:val="36"/>
                              </w:rPr>
                            </w:pP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0.4pt;margin-top:7.7pt;height:570.65pt;width:193.6pt;rotation:-3014656f;z-index:251752448;mso-width-relative:page;mso-height-relative:page;" filled="f" stroked="f" coordsize="21600,21600" o:gfxdata="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ftJ7QtoA&#10;AAALAQAADwAAAAAAAAABACAAAAAiAAAAZHJzL2Rvd25yZXYueG1sUEsBAhQAFAAAAAgAh07iQAzs&#10;D5dWAgAAiAQAAA4AAAAAAAAAAQAgAAAAKQEAAGRycy9lMm9Eb2MueG1sUEsFBgAAAAAGAAYAWQEA&#10;APEFAAAAAA==&#10;">
                <v:fill on="f" focussize="0,0"/>
                <v:stroke on="f" weight="0.5pt"/>
                <v:imagedata o:title=""/>
                <o:lock v:ext="edit" aspectratio="f"/>
                <v:textbox style="layout-flow:vertical-ideographic;">
                  <w:txbxContent>
                    <w:p>
                      <w:pPr>
                        <w:rPr>
                          <w:rFonts w:hint="default" w:ascii="Times New Roman" w:hAnsi="Times New Roman" w:eastAsia="宋体" w:cs="Times New Roman"/>
                          <w:color w:val="FF0000"/>
                          <w:sz w:val="40"/>
                          <w:szCs w:val="48"/>
                          <w:lang w:val="en-US" w:eastAsia="zh-CN"/>
                        </w:rPr>
                      </w:pPr>
                      <w:r>
                        <w:rPr>
                          <w:rFonts w:hint="default" w:ascii="Times New Roman" w:hAnsi="Times New Roman" w:cs="Times New Roman"/>
                          <w:color w:val="FF0000"/>
                          <w:sz w:val="40"/>
                          <w:szCs w:val="48"/>
                          <w:lang w:val="en-US" w:eastAsia="zh-CN"/>
                        </w:rPr>
                        <w:t>仅限</w:t>
                      </w:r>
                      <w:r>
                        <w:rPr>
                          <w:rFonts w:hint="eastAsia" w:ascii="Times New Roman" w:hAnsi="Times New Roman" w:cs="Times New Roman"/>
                          <w:color w:val="FF0000"/>
                          <w:sz w:val="40"/>
                          <w:szCs w:val="48"/>
                          <w:lang w:val="en-US" w:eastAsia="zh-CN"/>
                        </w:rPr>
                        <w:t>临湘市忠防镇木形片区集中供水工程（一期）项目环评使用</w:t>
                      </w:r>
                    </w:p>
                    <w:p>
                      <w:pPr>
                        <w:rPr>
                          <w:sz w:val="36"/>
                          <w:szCs w:val="36"/>
                        </w:rPr>
                      </w:pPr>
                    </w:p>
                  </w:txbxContent>
                </v:textbox>
              </v:shape>
            </w:pict>
          </mc:Fallback>
        </mc:AlternateContent>
      </w:r>
      <w:r>
        <w:rPr>
          <w:rFonts w:hint="eastAsia" w:eastAsia="宋体"/>
          <w:highlight w:val="none"/>
          <w:lang w:eastAsia="zh-CN"/>
        </w:rPr>
        <w:drawing>
          <wp:anchor distT="0" distB="0" distL="114300" distR="114300" simplePos="0" relativeHeight="251725824" behindDoc="0" locked="0" layoutInCell="1" allowOverlap="1">
            <wp:simplePos x="0" y="0"/>
            <wp:positionH relativeFrom="page">
              <wp:posOffset>703580</wp:posOffset>
            </wp:positionH>
            <wp:positionV relativeFrom="page">
              <wp:posOffset>413385</wp:posOffset>
            </wp:positionV>
            <wp:extent cx="9536430" cy="6746875"/>
            <wp:effectExtent l="0" t="0" r="7620" b="15875"/>
            <wp:wrapNone/>
            <wp:docPr id="133" name="图片 5" descr="98bf952893c6cd6154c85c2271467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 descr="98bf952893c6cd6154c85c2271467d9"/>
                    <pic:cNvPicPr>
                      <a:picLocks noChangeAspect="1"/>
                    </pic:cNvPicPr>
                  </pic:nvPicPr>
                  <pic:blipFill>
                    <a:blip r:embed="rId9"/>
                    <a:srcRect l="3354" t="4549" r="2550" b="1331"/>
                    <a:stretch>
                      <a:fillRect/>
                    </a:stretch>
                  </pic:blipFill>
                  <pic:spPr>
                    <a:xfrm>
                      <a:off x="0" y="0"/>
                      <a:ext cx="9536430" cy="6746875"/>
                    </a:xfrm>
                    <a:prstGeom prst="rect">
                      <a:avLst/>
                    </a:prstGeom>
                    <a:noFill/>
                    <a:ln>
                      <a:noFill/>
                    </a:ln>
                  </pic:spPr>
                </pic:pic>
              </a:graphicData>
            </a:graphic>
          </wp:anchor>
        </w:drawing>
      </w:r>
    </w:p>
    <w:p>
      <w:pPr>
        <w:pStyle w:val="7"/>
        <w:rPr>
          <w:rFonts w:hint="eastAsia" w:eastAsia="宋体"/>
          <w:color w:val="000000" w:themeColor="text1"/>
          <w:highlight w:val="none"/>
          <w:lang w:eastAsia="zh-CN"/>
          <w14:textFill>
            <w14:solidFill>
              <w14:schemeClr w14:val="tx1"/>
            </w14:solidFill>
          </w14:textFill>
        </w:rPr>
        <w:sectPr>
          <w:pgSz w:w="11906" w:h="16838"/>
          <w:pgMar w:top="1440" w:right="1080" w:bottom="1440" w:left="1080" w:header="851" w:footer="992" w:gutter="0"/>
          <w:cols w:space="720" w:num="1"/>
          <w:docGrid w:type="lines" w:linePitch="312" w:charSpace="0"/>
        </w:sectPr>
      </w:pPr>
      <w:r>
        <w:rPr>
          <w:sz w:val="21"/>
        </w:rPr>
        <mc:AlternateContent>
          <mc:Choice Requires="wps">
            <w:drawing>
              <wp:anchor distT="0" distB="0" distL="114300" distR="114300" simplePos="0" relativeHeight="251753472" behindDoc="0" locked="0" layoutInCell="1" allowOverlap="1">
                <wp:simplePos x="0" y="0"/>
                <wp:positionH relativeFrom="column">
                  <wp:posOffset>1338580</wp:posOffset>
                </wp:positionH>
                <wp:positionV relativeFrom="paragraph">
                  <wp:posOffset>833120</wp:posOffset>
                </wp:positionV>
                <wp:extent cx="2458720" cy="7247255"/>
                <wp:effectExtent l="0" t="2394585" r="0" b="0"/>
                <wp:wrapNone/>
                <wp:docPr id="170" name="文本框 170"/>
                <wp:cNvGraphicFramePr/>
                <a:graphic xmlns:a="http://schemas.openxmlformats.org/drawingml/2006/main">
                  <a:graphicData uri="http://schemas.microsoft.com/office/word/2010/wordprocessingShape">
                    <wps:wsp>
                      <wps:cNvSpPr txBox="1"/>
                      <wps:spPr>
                        <a:xfrm rot="18840000">
                          <a:off x="0" y="0"/>
                          <a:ext cx="2458720" cy="7247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color w:val="FF0000"/>
                                <w:sz w:val="40"/>
                                <w:szCs w:val="48"/>
                                <w:lang w:val="en-US" w:eastAsia="zh-CN"/>
                              </w:rPr>
                            </w:pPr>
                            <w:r>
                              <w:rPr>
                                <w:rFonts w:hint="default" w:ascii="Times New Roman" w:hAnsi="Times New Roman" w:cs="Times New Roman"/>
                                <w:color w:val="FF0000"/>
                                <w:sz w:val="40"/>
                                <w:szCs w:val="48"/>
                                <w:lang w:val="en-US" w:eastAsia="zh-CN"/>
                              </w:rPr>
                              <w:t>仅限</w:t>
                            </w:r>
                            <w:r>
                              <w:rPr>
                                <w:rFonts w:hint="eastAsia" w:ascii="Times New Roman" w:hAnsi="Times New Roman" w:cs="Times New Roman"/>
                                <w:color w:val="FF0000"/>
                                <w:sz w:val="40"/>
                                <w:szCs w:val="48"/>
                                <w:lang w:val="en-US" w:eastAsia="zh-CN"/>
                              </w:rPr>
                              <w:t>临湘市忠防镇木形片区集中供水工程（一期）项目环评使用</w:t>
                            </w:r>
                          </w:p>
                          <w:p>
                            <w:pPr>
                              <w:rPr>
                                <w:sz w:val="36"/>
                                <w:szCs w:val="36"/>
                              </w:rPr>
                            </w:pP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5.4pt;margin-top:65.6pt;height:570.65pt;width:193.6pt;rotation:-3014656f;z-index:251753472;mso-width-relative:page;mso-height-relative:page;" filled="f" stroked="f" coordsize="21600,21600" o:gfxdata="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Rks4NsAAAAMAQAADwAAAAAA&#10;AAABACAAAAAiAAAAZHJzL2Rvd25yZXYueG1sUEsBAhQAFAAAAAgAh07iQDM1rlNJAgAAfAQAAA4A&#10;AAAAAAAAAQAgAAAAKgEAAGRycy9lMm9Eb2MueG1sUEsFBgAAAAAGAAYAWQEAAOUFAAAAAA==&#10;">
                <v:fill on="f" focussize="0,0"/>
                <v:stroke on="f" weight="0.5pt"/>
                <v:imagedata o:title=""/>
                <o:lock v:ext="edit" aspectratio="f"/>
                <v:textbox style="layout-flow:vertical-ideographic;">
                  <w:txbxContent>
                    <w:p>
                      <w:pPr>
                        <w:rPr>
                          <w:rFonts w:hint="default" w:ascii="Times New Roman" w:hAnsi="Times New Roman" w:eastAsia="宋体" w:cs="Times New Roman"/>
                          <w:color w:val="FF0000"/>
                          <w:sz w:val="40"/>
                          <w:szCs w:val="48"/>
                          <w:lang w:val="en-US" w:eastAsia="zh-CN"/>
                        </w:rPr>
                      </w:pPr>
                      <w:r>
                        <w:rPr>
                          <w:rFonts w:hint="default" w:ascii="Times New Roman" w:hAnsi="Times New Roman" w:cs="Times New Roman"/>
                          <w:color w:val="FF0000"/>
                          <w:sz w:val="40"/>
                          <w:szCs w:val="48"/>
                          <w:lang w:val="en-US" w:eastAsia="zh-CN"/>
                        </w:rPr>
                        <w:t>仅限</w:t>
                      </w:r>
                      <w:r>
                        <w:rPr>
                          <w:rFonts w:hint="eastAsia" w:ascii="Times New Roman" w:hAnsi="Times New Roman" w:cs="Times New Roman"/>
                          <w:color w:val="FF0000"/>
                          <w:sz w:val="40"/>
                          <w:szCs w:val="48"/>
                          <w:lang w:val="en-US" w:eastAsia="zh-CN"/>
                        </w:rPr>
                        <w:t>临湘市忠防镇木形片区集中供水工程（一期）项目环评使用</w:t>
                      </w:r>
                    </w:p>
                    <w:p>
                      <w:pPr>
                        <w:rPr>
                          <w:sz w:val="36"/>
                          <w:szCs w:val="36"/>
                        </w:rPr>
                      </w:pPr>
                    </w:p>
                  </w:txbxContent>
                </v:textbox>
              </v:shape>
            </w:pict>
          </mc:Fallback>
        </mc:AlternateContent>
      </w:r>
      <w:r>
        <w:rPr>
          <w:rFonts w:hint="eastAsia" w:eastAsia="宋体"/>
          <w:highlight w:val="none"/>
          <w:lang w:eastAsia="zh-CN"/>
        </w:rPr>
        <w:drawing>
          <wp:inline distT="0" distB="0" distL="114300" distR="114300">
            <wp:extent cx="5629910" cy="8453755"/>
            <wp:effectExtent l="0" t="0" r="8890" b="4445"/>
            <wp:docPr id="130" name="图片 3" descr="杨智勇工程师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 descr="杨智勇工程师证_00"/>
                    <pic:cNvPicPr>
                      <a:picLocks noChangeAspect="1"/>
                    </pic:cNvPicPr>
                  </pic:nvPicPr>
                  <pic:blipFill>
                    <a:blip r:embed="rId10"/>
                    <a:srcRect l="11459" t="4056" r="17383" b="20393"/>
                    <a:stretch>
                      <a:fillRect/>
                    </a:stretch>
                  </pic:blipFill>
                  <pic:spPr>
                    <a:xfrm>
                      <a:off x="0" y="0"/>
                      <a:ext cx="5629910" cy="8453755"/>
                    </a:xfrm>
                    <a:prstGeom prst="rect">
                      <a:avLst/>
                    </a:prstGeom>
                    <a:noFill/>
                    <a:ln>
                      <a:noFill/>
                    </a:ln>
                  </pic:spPr>
                </pic:pic>
              </a:graphicData>
            </a:graphic>
          </wp:inline>
        </w:drawing>
      </w:r>
    </w:p>
    <w:p>
      <w:pPr>
        <w:pStyle w:val="7"/>
        <w:rPr>
          <w:rFonts w:hint="eastAsia" w:eastAsia="宋体"/>
          <w:color w:val="000000" w:themeColor="text1"/>
          <w:highlight w:val="none"/>
          <w:lang w:eastAsia="zh-CN"/>
          <w14:textFill>
            <w14:solidFill>
              <w14:schemeClr w14:val="tx1"/>
            </w14:solidFill>
          </w14:textFill>
        </w:rPr>
        <w:sectPr>
          <w:pgSz w:w="11906" w:h="16838"/>
          <w:pgMar w:top="1440" w:right="1080" w:bottom="1440" w:left="1080" w:header="851" w:footer="992" w:gutter="0"/>
          <w:cols w:space="720" w:num="1"/>
          <w:docGrid w:type="lines" w:linePitch="312" w:charSpace="0"/>
        </w:sectPr>
      </w:pPr>
      <w:r>
        <w:rPr>
          <w:sz w:val="21"/>
        </w:rPr>
        <mc:AlternateContent>
          <mc:Choice Requires="wps">
            <w:drawing>
              <wp:anchor distT="0" distB="0" distL="114300" distR="114300" simplePos="0" relativeHeight="251754496" behindDoc="0" locked="0" layoutInCell="1" allowOverlap="1">
                <wp:simplePos x="0" y="0"/>
                <wp:positionH relativeFrom="column">
                  <wp:posOffset>1386205</wp:posOffset>
                </wp:positionH>
                <wp:positionV relativeFrom="paragraph">
                  <wp:posOffset>937895</wp:posOffset>
                </wp:positionV>
                <wp:extent cx="2458720" cy="7247255"/>
                <wp:effectExtent l="0" t="2394585" r="0" b="0"/>
                <wp:wrapNone/>
                <wp:docPr id="176" name="文本框 176"/>
                <wp:cNvGraphicFramePr/>
                <a:graphic xmlns:a="http://schemas.openxmlformats.org/drawingml/2006/main">
                  <a:graphicData uri="http://schemas.microsoft.com/office/word/2010/wordprocessingShape">
                    <wps:wsp>
                      <wps:cNvSpPr txBox="1"/>
                      <wps:spPr>
                        <a:xfrm rot="18840000">
                          <a:off x="0" y="0"/>
                          <a:ext cx="2458720" cy="7247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color w:val="FF0000"/>
                                <w:sz w:val="40"/>
                                <w:szCs w:val="48"/>
                                <w:lang w:val="en-US" w:eastAsia="zh-CN"/>
                              </w:rPr>
                            </w:pPr>
                            <w:r>
                              <w:rPr>
                                <w:rFonts w:hint="default" w:ascii="Times New Roman" w:hAnsi="Times New Roman" w:cs="Times New Roman"/>
                                <w:color w:val="FF0000"/>
                                <w:sz w:val="40"/>
                                <w:szCs w:val="48"/>
                                <w:lang w:val="en-US" w:eastAsia="zh-CN"/>
                              </w:rPr>
                              <w:t>仅限</w:t>
                            </w:r>
                            <w:r>
                              <w:rPr>
                                <w:rFonts w:hint="eastAsia" w:ascii="Times New Roman" w:hAnsi="Times New Roman" w:cs="Times New Roman"/>
                                <w:color w:val="FF0000"/>
                                <w:sz w:val="40"/>
                                <w:szCs w:val="48"/>
                                <w:lang w:val="en-US" w:eastAsia="zh-CN"/>
                              </w:rPr>
                              <w:t>临湘市忠防镇木形片区集中供水工程（一期）项目环评使用</w:t>
                            </w:r>
                          </w:p>
                          <w:p>
                            <w:pPr>
                              <w:rPr>
                                <w:sz w:val="36"/>
                                <w:szCs w:val="36"/>
                              </w:rPr>
                            </w:pP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9.15pt;margin-top:73.85pt;height:570.65pt;width:193.6pt;rotation:-3014656f;z-index:251754496;mso-width-relative:page;mso-height-relative:page;" filled="f" stroked="f" coordsize="21600,21600" o:gfxdata="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4K5/HcAAAADAEAAA8AAAAA&#10;AAAAAQAgAAAAIgAAAGRycy9kb3ducmV2LnhtbFBLAQIUABQAAAAIAIdO4kB5Q4BgSQIAAHwEAAAO&#10;AAAAAAAAAAEAIAAAACsBAABkcnMvZTJvRG9jLnhtbFBLBQYAAAAABgAGAFkBAADmBQAAAAA=&#10;">
                <v:fill on="f" focussize="0,0"/>
                <v:stroke on="f" weight="0.5pt"/>
                <v:imagedata o:title=""/>
                <o:lock v:ext="edit" aspectratio="f"/>
                <v:textbox style="layout-flow:vertical-ideographic;">
                  <w:txbxContent>
                    <w:p>
                      <w:pPr>
                        <w:rPr>
                          <w:rFonts w:hint="default" w:ascii="Times New Roman" w:hAnsi="Times New Roman" w:eastAsia="宋体" w:cs="Times New Roman"/>
                          <w:color w:val="FF0000"/>
                          <w:sz w:val="40"/>
                          <w:szCs w:val="48"/>
                          <w:lang w:val="en-US" w:eastAsia="zh-CN"/>
                        </w:rPr>
                      </w:pPr>
                      <w:r>
                        <w:rPr>
                          <w:rFonts w:hint="default" w:ascii="Times New Roman" w:hAnsi="Times New Roman" w:cs="Times New Roman"/>
                          <w:color w:val="FF0000"/>
                          <w:sz w:val="40"/>
                          <w:szCs w:val="48"/>
                          <w:lang w:val="en-US" w:eastAsia="zh-CN"/>
                        </w:rPr>
                        <w:t>仅限</w:t>
                      </w:r>
                      <w:r>
                        <w:rPr>
                          <w:rFonts w:hint="eastAsia" w:ascii="Times New Roman" w:hAnsi="Times New Roman" w:cs="Times New Roman"/>
                          <w:color w:val="FF0000"/>
                          <w:sz w:val="40"/>
                          <w:szCs w:val="48"/>
                          <w:lang w:val="en-US" w:eastAsia="zh-CN"/>
                        </w:rPr>
                        <w:t>临湘市忠防镇木形片区集中供水工程（一期）项目环评使用</w:t>
                      </w:r>
                    </w:p>
                    <w:p>
                      <w:pPr>
                        <w:rPr>
                          <w:sz w:val="36"/>
                          <w:szCs w:val="36"/>
                        </w:rPr>
                      </w:pPr>
                    </w:p>
                  </w:txbxContent>
                </v:textbox>
              </v:shape>
            </w:pict>
          </mc:Fallback>
        </mc:AlternateContent>
      </w:r>
      <w:r>
        <w:rPr>
          <w:rFonts w:hint="eastAsia" w:eastAsia="宋体"/>
          <w:highlight w:val="none"/>
          <w:lang w:eastAsia="zh-CN"/>
        </w:rPr>
        <w:drawing>
          <wp:anchor distT="0" distB="0" distL="114300" distR="114300" simplePos="0" relativeHeight="251724800" behindDoc="0" locked="0" layoutInCell="1" allowOverlap="1">
            <wp:simplePos x="0" y="0"/>
            <wp:positionH relativeFrom="page">
              <wp:posOffset>488315</wp:posOffset>
            </wp:positionH>
            <wp:positionV relativeFrom="page">
              <wp:posOffset>431165</wp:posOffset>
            </wp:positionV>
            <wp:extent cx="6731635" cy="9616440"/>
            <wp:effectExtent l="0" t="0" r="12065" b="3810"/>
            <wp:wrapNone/>
            <wp:docPr id="129" name="图片 4" descr="杨智勇社保参保证明(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 descr="杨智勇社保参保证明(2)_00"/>
                    <pic:cNvPicPr>
                      <a:picLocks noChangeAspect="1"/>
                    </pic:cNvPicPr>
                  </pic:nvPicPr>
                  <pic:blipFill>
                    <a:blip r:embed="rId11"/>
                    <a:stretch>
                      <a:fillRect/>
                    </a:stretch>
                  </pic:blipFill>
                  <pic:spPr>
                    <a:xfrm>
                      <a:off x="0" y="0"/>
                      <a:ext cx="6731635" cy="9616440"/>
                    </a:xfrm>
                    <a:prstGeom prst="rect">
                      <a:avLst/>
                    </a:prstGeom>
                    <a:noFill/>
                    <a:ln>
                      <a:noFill/>
                    </a:ln>
                  </pic:spPr>
                </pic:pic>
              </a:graphicData>
            </a:graphic>
          </wp:anchor>
        </w:drawing>
      </w:r>
    </w:p>
    <w:p>
      <w:pPr>
        <w:rPr>
          <w:color w:val="000000" w:themeColor="text1"/>
          <w:highlight w:val="none"/>
          <w:lang w:val="en-US"/>
          <w14:textFill>
            <w14:solidFill>
              <w14:schemeClr w14:val="tx1"/>
            </w14:solidFill>
          </w14:textFill>
        </w:rPr>
        <w:sectPr>
          <w:pgSz w:w="16838" w:h="11906" w:orient="landscape"/>
          <w:pgMar w:top="1440" w:right="1080" w:bottom="1440" w:left="1080" w:header="851" w:footer="992" w:gutter="0"/>
          <w:cols w:space="720" w:num="1"/>
          <w:docGrid w:type="lines" w:linePitch="312" w:charSpace="0"/>
        </w:sectPr>
      </w:pPr>
      <w:r>
        <w:rPr>
          <w:sz w:val="21"/>
        </w:rPr>
        <mc:AlternateContent>
          <mc:Choice Requires="wps">
            <w:drawing>
              <wp:anchor distT="0" distB="0" distL="114300" distR="114300" simplePos="0" relativeHeight="251755520" behindDoc="0" locked="0" layoutInCell="1" allowOverlap="1">
                <wp:simplePos x="0" y="0"/>
                <wp:positionH relativeFrom="column">
                  <wp:posOffset>2795905</wp:posOffset>
                </wp:positionH>
                <wp:positionV relativeFrom="paragraph">
                  <wp:posOffset>-147955</wp:posOffset>
                </wp:positionV>
                <wp:extent cx="2458720" cy="7247255"/>
                <wp:effectExtent l="0" t="2394585" r="0" b="0"/>
                <wp:wrapNone/>
                <wp:docPr id="177" name="文本框 177"/>
                <wp:cNvGraphicFramePr/>
                <a:graphic xmlns:a="http://schemas.openxmlformats.org/drawingml/2006/main">
                  <a:graphicData uri="http://schemas.microsoft.com/office/word/2010/wordprocessingShape">
                    <wps:wsp>
                      <wps:cNvSpPr txBox="1"/>
                      <wps:spPr>
                        <a:xfrm rot="18840000">
                          <a:off x="0" y="0"/>
                          <a:ext cx="2458720" cy="7247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color w:val="FF0000"/>
                                <w:sz w:val="40"/>
                                <w:szCs w:val="48"/>
                                <w:lang w:val="en-US" w:eastAsia="zh-CN"/>
                              </w:rPr>
                            </w:pPr>
                            <w:r>
                              <w:rPr>
                                <w:rFonts w:hint="default" w:ascii="Times New Roman" w:hAnsi="Times New Roman" w:cs="Times New Roman"/>
                                <w:color w:val="FF0000"/>
                                <w:sz w:val="40"/>
                                <w:szCs w:val="48"/>
                                <w:lang w:val="en-US" w:eastAsia="zh-CN"/>
                              </w:rPr>
                              <w:t>仅限</w:t>
                            </w:r>
                            <w:r>
                              <w:rPr>
                                <w:rFonts w:hint="eastAsia" w:ascii="Times New Roman" w:hAnsi="Times New Roman" w:cs="Times New Roman"/>
                                <w:color w:val="FF0000"/>
                                <w:sz w:val="40"/>
                                <w:szCs w:val="48"/>
                                <w:lang w:val="en-US" w:eastAsia="zh-CN"/>
                              </w:rPr>
                              <w:t>临湘市忠防镇木形片区集中供水工程（一期）项目环评使用</w:t>
                            </w:r>
                          </w:p>
                          <w:p>
                            <w:pPr>
                              <w:rPr>
                                <w:sz w:val="36"/>
                                <w:szCs w:val="36"/>
                              </w:rPr>
                            </w:pP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15pt;margin-top:-11.65pt;height:570.65pt;width:193.6pt;rotation:-3014656f;z-index:251755520;mso-width-relative:page;mso-height-relative:page;" filled="f" stroked="f" coordsize="21600,21600" o:gfxdata="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zdPRHcAAAADAEAAA8AAAAA&#10;AAAAAQAgAAAAIgAAAGRycy9kb3ducmV2LnhtbFBLAQIUABQAAAAIAIdO4kCaVQ1oSQIAAHwEAAAO&#10;AAAAAAAAAAEAIAAAACsBAABkcnMvZTJvRG9jLnhtbFBLBQYAAAAABgAGAFkBAADmBQAAAAA=&#10;">
                <v:fill on="f" focussize="0,0"/>
                <v:stroke on="f" weight="0.5pt"/>
                <v:imagedata o:title=""/>
                <o:lock v:ext="edit" aspectratio="f"/>
                <v:textbox style="layout-flow:vertical-ideographic;">
                  <w:txbxContent>
                    <w:p>
                      <w:pPr>
                        <w:rPr>
                          <w:rFonts w:hint="default" w:ascii="Times New Roman" w:hAnsi="Times New Roman" w:eastAsia="宋体" w:cs="Times New Roman"/>
                          <w:color w:val="FF0000"/>
                          <w:sz w:val="40"/>
                          <w:szCs w:val="48"/>
                          <w:lang w:val="en-US" w:eastAsia="zh-CN"/>
                        </w:rPr>
                      </w:pPr>
                      <w:r>
                        <w:rPr>
                          <w:rFonts w:hint="default" w:ascii="Times New Roman" w:hAnsi="Times New Roman" w:cs="Times New Roman"/>
                          <w:color w:val="FF0000"/>
                          <w:sz w:val="40"/>
                          <w:szCs w:val="48"/>
                          <w:lang w:val="en-US" w:eastAsia="zh-CN"/>
                        </w:rPr>
                        <w:t>仅限</w:t>
                      </w:r>
                      <w:r>
                        <w:rPr>
                          <w:rFonts w:hint="eastAsia" w:ascii="Times New Roman" w:hAnsi="Times New Roman" w:cs="Times New Roman"/>
                          <w:color w:val="FF0000"/>
                          <w:sz w:val="40"/>
                          <w:szCs w:val="48"/>
                          <w:lang w:val="en-US" w:eastAsia="zh-CN"/>
                        </w:rPr>
                        <w:t>临湘市忠防镇木形片区集中供水工程（一期）项目环评使用</w:t>
                      </w:r>
                    </w:p>
                    <w:p>
                      <w:pPr>
                        <w:rPr>
                          <w:sz w:val="36"/>
                          <w:szCs w:val="36"/>
                        </w:rPr>
                      </w:pPr>
                    </w:p>
                  </w:txbxContent>
                </v:textbox>
              </v:shape>
            </w:pict>
          </mc:Fallback>
        </mc:AlternateContent>
      </w:r>
      <w:r>
        <w:rPr>
          <w:rFonts w:hint="eastAsia" w:eastAsia="宋体"/>
          <w:highlight w:val="none"/>
          <w:lang w:eastAsia="zh-CN"/>
        </w:rPr>
        <w:drawing>
          <wp:inline distT="0" distB="0" distL="114300" distR="114300">
            <wp:extent cx="9554210" cy="5815965"/>
            <wp:effectExtent l="0" t="0" r="8890" b="13335"/>
            <wp:docPr id="118" name="图片 2" descr="8c4ddfacc600d9f6bc700e0c61de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descr="8c4ddfacc600d9f6bc700e0c61de23a"/>
                    <pic:cNvPicPr>
                      <a:picLocks noChangeAspect="1"/>
                    </pic:cNvPicPr>
                  </pic:nvPicPr>
                  <pic:blipFill>
                    <a:blip r:embed="rId12"/>
                    <a:stretch>
                      <a:fillRect/>
                    </a:stretch>
                  </pic:blipFill>
                  <pic:spPr>
                    <a:xfrm>
                      <a:off x="0" y="0"/>
                      <a:ext cx="9554210" cy="5815965"/>
                    </a:xfrm>
                    <a:prstGeom prst="rect">
                      <a:avLst/>
                    </a:prstGeom>
                    <a:noFill/>
                    <a:ln>
                      <a:noFill/>
                    </a:ln>
                  </pic:spPr>
                </pic:pic>
              </a:graphicData>
            </a:graphic>
          </wp:inline>
        </w:drawing>
      </w:r>
    </w:p>
    <w:p>
      <w:pPr>
        <w:jc w:val="center"/>
        <w:rPr>
          <w:color w:val="000000" w:themeColor="text1"/>
          <w:highlight w:val="none"/>
          <w:lang w:val="en-US"/>
          <w14:textFill>
            <w14:solidFill>
              <w14:schemeClr w14:val="tx1"/>
            </w14:solidFill>
          </w14:textFill>
        </w:rPr>
        <w:sectPr>
          <w:pgSz w:w="16838" w:h="11906" w:orient="landscape"/>
          <w:pgMar w:top="1440" w:right="1080" w:bottom="1440" w:left="1080" w:header="851" w:footer="992" w:gutter="0"/>
          <w:cols w:space="720" w:num="1"/>
          <w:docGrid w:type="lines" w:linePitch="312" w:charSpace="0"/>
        </w:sectPr>
      </w:pPr>
      <w:r>
        <w:rPr>
          <w:sz w:val="21"/>
        </w:rPr>
        <mc:AlternateContent>
          <mc:Choice Requires="wps">
            <w:drawing>
              <wp:anchor distT="0" distB="0" distL="114300" distR="114300" simplePos="0" relativeHeight="251756544" behindDoc="0" locked="0" layoutInCell="1" allowOverlap="1">
                <wp:simplePos x="0" y="0"/>
                <wp:positionH relativeFrom="column">
                  <wp:posOffset>3357880</wp:posOffset>
                </wp:positionH>
                <wp:positionV relativeFrom="paragraph">
                  <wp:posOffset>-100330</wp:posOffset>
                </wp:positionV>
                <wp:extent cx="2458720" cy="7247255"/>
                <wp:effectExtent l="0" t="2394585" r="0" b="0"/>
                <wp:wrapNone/>
                <wp:docPr id="178" name="文本框 178"/>
                <wp:cNvGraphicFramePr/>
                <a:graphic xmlns:a="http://schemas.openxmlformats.org/drawingml/2006/main">
                  <a:graphicData uri="http://schemas.microsoft.com/office/word/2010/wordprocessingShape">
                    <wps:wsp>
                      <wps:cNvSpPr txBox="1"/>
                      <wps:spPr>
                        <a:xfrm rot="18840000">
                          <a:off x="0" y="0"/>
                          <a:ext cx="2458720" cy="7247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color w:val="FF0000"/>
                                <w:sz w:val="40"/>
                                <w:szCs w:val="48"/>
                                <w:lang w:val="en-US" w:eastAsia="zh-CN"/>
                              </w:rPr>
                            </w:pPr>
                            <w:r>
                              <w:rPr>
                                <w:rFonts w:hint="default" w:ascii="Times New Roman" w:hAnsi="Times New Roman" w:cs="Times New Roman"/>
                                <w:color w:val="FF0000"/>
                                <w:sz w:val="40"/>
                                <w:szCs w:val="48"/>
                                <w:lang w:val="en-US" w:eastAsia="zh-CN"/>
                              </w:rPr>
                              <w:t>仅限</w:t>
                            </w:r>
                            <w:r>
                              <w:rPr>
                                <w:rFonts w:hint="eastAsia" w:ascii="Times New Roman" w:hAnsi="Times New Roman" w:cs="Times New Roman"/>
                                <w:color w:val="FF0000"/>
                                <w:sz w:val="40"/>
                                <w:szCs w:val="48"/>
                                <w:lang w:val="en-US" w:eastAsia="zh-CN"/>
                              </w:rPr>
                              <w:t>临湘市忠防镇木形片区集中供水工程（一期）项目环评使用</w:t>
                            </w:r>
                          </w:p>
                          <w:p>
                            <w:pPr>
                              <w:rPr>
                                <w:sz w:val="36"/>
                                <w:szCs w:val="36"/>
                              </w:rPr>
                            </w:pP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4pt;margin-top:-7.9pt;height:570.65pt;width:193.6pt;rotation:-3014656f;z-index:251756544;mso-width-relative:page;mso-height-relative:page;" filled="f" stroked="f" coordsize="21600,21600" o:gfxdata="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8YLcXcAAAADAEAAA8AAAAA&#10;AAAAAQAgAAAAIgAAAGRycy9kb3ducmV2LnhtbFBLAQIUABQAAAAIAIdO4kArgsYXSQIAAHwEAAAO&#10;AAAAAAAAAAEAIAAAACsBAABkcnMvZTJvRG9jLnhtbFBLBQYAAAAABgAGAFkBAADmBQAAAAA=&#10;">
                <v:fill on="f" focussize="0,0"/>
                <v:stroke on="f" weight="0.5pt"/>
                <v:imagedata o:title=""/>
                <o:lock v:ext="edit" aspectratio="f"/>
                <v:textbox style="layout-flow:vertical-ideographic;">
                  <w:txbxContent>
                    <w:p>
                      <w:pPr>
                        <w:rPr>
                          <w:rFonts w:hint="default" w:ascii="Times New Roman" w:hAnsi="Times New Roman" w:eastAsia="宋体" w:cs="Times New Roman"/>
                          <w:color w:val="FF0000"/>
                          <w:sz w:val="40"/>
                          <w:szCs w:val="48"/>
                          <w:lang w:val="en-US" w:eastAsia="zh-CN"/>
                        </w:rPr>
                      </w:pPr>
                      <w:r>
                        <w:rPr>
                          <w:rFonts w:hint="default" w:ascii="Times New Roman" w:hAnsi="Times New Roman" w:cs="Times New Roman"/>
                          <w:color w:val="FF0000"/>
                          <w:sz w:val="40"/>
                          <w:szCs w:val="48"/>
                          <w:lang w:val="en-US" w:eastAsia="zh-CN"/>
                        </w:rPr>
                        <w:t>仅限</w:t>
                      </w:r>
                      <w:r>
                        <w:rPr>
                          <w:rFonts w:hint="eastAsia" w:ascii="Times New Roman" w:hAnsi="Times New Roman" w:cs="Times New Roman"/>
                          <w:color w:val="FF0000"/>
                          <w:sz w:val="40"/>
                          <w:szCs w:val="48"/>
                          <w:lang w:val="en-US" w:eastAsia="zh-CN"/>
                        </w:rPr>
                        <w:t>临湘市忠防镇木形片区集中供水工程（一期）项目环评使用</w:t>
                      </w:r>
                    </w:p>
                    <w:p>
                      <w:pPr>
                        <w:rPr>
                          <w:sz w:val="36"/>
                          <w:szCs w:val="36"/>
                        </w:rPr>
                      </w:pPr>
                    </w:p>
                  </w:txbxContent>
                </v:textbox>
              </v:shape>
            </w:pict>
          </mc:Fallback>
        </mc:AlternateContent>
      </w:r>
      <w:r>
        <w:drawing>
          <wp:inline distT="0" distB="0" distL="114300" distR="114300">
            <wp:extent cx="9466580" cy="5677535"/>
            <wp:effectExtent l="0" t="0" r="1270" b="18415"/>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13"/>
                    <a:stretch>
                      <a:fillRect/>
                    </a:stretch>
                  </pic:blipFill>
                  <pic:spPr>
                    <a:xfrm>
                      <a:off x="0" y="0"/>
                      <a:ext cx="9466580" cy="5677535"/>
                    </a:xfrm>
                    <a:prstGeom prst="rect">
                      <a:avLst/>
                    </a:prstGeom>
                    <a:noFill/>
                    <a:ln>
                      <a:noFill/>
                    </a:ln>
                  </pic:spPr>
                </pic:pic>
              </a:graphicData>
            </a:graphic>
          </wp:inline>
        </w:drawing>
      </w:r>
    </w:p>
    <w:p>
      <w:pPr>
        <w:rPr>
          <w:rFonts w:cs="Times New Roman"/>
          <w:b/>
          <w:bCs/>
          <w:color w:val="000000" w:themeColor="text1"/>
          <w:sz w:val="32"/>
          <w:szCs w:val="32"/>
          <w:highlight w:val="none"/>
          <w:lang w:val="en-US"/>
          <w14:textFill>
            <w14:solidFill>
              <w14:schemeClr w14:val="tx1"/>
            </w14:solidFill>
          </w14:textFill>
        </w:rPr>
      </w:pPr>
    </w:p>
    <w:p>
      <w:pPr>
        <w:autoSpaceDE/>
        <w:autoSpaceDN/>
        <w:jc w:val="center"/>
        <w:rPr>
          <w:rFonts w:cs="Times New Roman"/>
          <w:b/>
          <w:bCs/>
          <w:color w:val="000000" w:themeColor="text1"/>
          <w:sz w:val="32"/>
          <w:szCs w:val="32"/>
          <w:highlight w:val="none"/>
          <w:lang w:val="en-US"/>
          <w14:textFill>
            <w14:solidFill>
              <w14:schemeClr w14:val="tx1"/>
            </w14:solidFill>
          </w14:textFill>
        </w:rPr>
      </w:pPr>
      <w:r>
        <w:rPr>
          <w:rFonts w:cs="Times New Roman"/>
          <w:b/>
          <w:bCs/>
          <w:color w:val="000000" w:themeColor="text1"/>
          <w:sz w:val="32"/>
          <w:szCs w:val="32"/>
          <w:highlight w:val="none"/>
          <w:lang w:val="en-US"/>
          <w14:textFill>
            <w14:solidFill>
              <w14:schemeClr w14:val="tx1"/>
            </w14:solidFill>
          </w14:textFill>
        </w:rPr>
        <w:t>目  录</w:t>
      </w:r>
    </w:p>
    <w:p>
      <w:pPr>
        <w:pStyle w:val="19"/>
        <w:keepNext w:val="0"/>
        <w:keepLines w:val="0"/>
        <w:pageBreakBefore w:val="0"/>
        <w:widowControl w:val="0"/>
        <w:tabs>
          <w:tab w:val="right" w:leader="dot" w:pos="9730"/>
        </w:tabs>
        <w:kinsoku/>
        <w:wordWrap/>
        <w:overflowPunct/>
        <w:topLinePunct w:val="0"/>
        <w:autoSpaceDE w:val="0"/>
        <w:autoSpaceDN w:val="0"/>
        <w:bidi w:val="0"/>
        <w:adjustRightInd/>
        <w:snapToGrid/>
        <w:spacing w:line="480" w:lineRule="auto"/>
        <w:textAlignment w:val="auto"/>
        <w:rPr>
          <w:rFonts w:asciiTheme="minorHAnsi" w:hAnsiTheme="minorHAnsi" w:eastAsiaTheme="minorEastAsia" w:cstheme="minorBidi"/>
          <w:color w:val="000000" w:themeColor="text1"/>
          <w:kern w:val="2"/>
          <w:sz w:val="21"/>
          <w:szCs w:val="22"/>
          <w:highlight w:val="none"/>
          <w:lang w:val="en-US" w:bidi="ar-SA"/>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TOC \o "1-1" \h \u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"_Toc136591183" </w:instrText>
      </w:r>
      <w:r>
        <w:rPr>
          <w:color w:val="000000" w:themeColor="text1"/>
          <w:highlight w:val="none"/>
          <w14:textFill>
            <w14:solidFill>
              <w14:schemeClr w14:val="tx1"/>
            </w14:solidFill>
          </w14:textFill>
        </w:rPr>
        <w:fldChar w:fldCharType="separate"/>
      </w:r>
      <w:r>
        <w:rPr>
          <w:rStyle w:val="31"/>
          <w:color w:val="000000" w:themeColor="text1"/>
          <w:highlight w:val="none"/>
          <w:lang w:val="en-US"/>
          <w14:textFill>
            <w14:solidFill>
              <w14:schemeClr w14:val="tx1"/>
            </w14:solidFill>
          </w14:textFill>
        </w:rPr>
        <w:t>一、建设项目基本情况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_Toc136591183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19"/>
        <w:keepNext w:val="0"/>
        <w:keepLines w:val="0"/>
        <w:pageBreakBefore w:val="0"/>
        <w:widowControl w:val="0"/>
        <w:tabs>
          <w:tab w:val="right" w:leader="dot" w:pos="9730"/>
        </w:tabs>
        <w:kinsoku/>
        <w:wordWrap/>
        <w:overflowPunct/>
        <w:topLinePunct w:val="0"/>
        <w:autoSpaceDE w:val="0"/>
        <w:autoSpaceDN w:val="0"/>
        <w:bidi w:val="0"/>
        <w:adjustRightInd/>
        <w:snapToGrid/>
        <w:spacing w:line="480" w:lineRule="auto"/>
        <w:textAlignment w:val="auto"/>
        <w:rPr>
          <w:rFonts w:asciiTheme="minorHAnsi" w:hAnsiTheme="minorHAnsi" w:eastAsiaTheme="minorEastAsia" w:cstheme="minorBidi"/>
          <w:color w:val="000000" w:themeColor="text1"/>
          <w:kern w:val="2"/>
          <w:sz w:val="21"/>
          <w:szCs w:val="22"/>
          <w:highlight w:val="none"/>
          <w:lang w:val="en-US" w:bidi="ar-SA"/>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"_Toc136591184" </w:instrText>
      </w:r>
      <w:r>
        <w:rPr>
          <w:color w:val="000000" w:themeColor="text1"/>
          <w:highlight w:val="none"/>
          <w14:textFill>
            <w14:solidFill>
              <w14:schemeClr w14:val="tx1"/>
            </w14:solidFill>
          </w14:textFill>
        </w:rPr>
        <w:fldChar w:fldCharType="separate"/>
      </w:r>
      <w:r>
        <w:rPr>
          <w:rStyle w:val="31"/>
          <w:color w:val="000000" w:themeColor="text1"/>
          <w:highlight w:val="none"/>
          <w:lang w:val="en-US"/>
          <w14:textFill>
            <w14:solidFill>
              <w14:schemeClr w14:val="tx1"/>
            </w14:solidFill>
          </w14:textFill>
        </w:rPr>
        <w:t>二、建设项目工程分析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_Toc136591184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19"/>
        <w:keepNext w:val="0"/>
        <w:keepLines w:val="0"/>
        <w:pageBreakBefore w:val="0"/>
        <w:widowControl w:val="0"/>
        <w:tabs>
          <w:tab w:val="right" w:leader="dot" w:pos="9730"/>
        </w:tabs>
        <w:kinsoku/>
        <w:wordWrap/>
        <w:overflowPunct/>
        <w:topLinePunct w:val="0"/>
        <w:autoSpaceDE w:val="0"/>
        <w:autoSpaceDN w:val="0"/>
        <w:bidi w:val="0"/>
        <w:adjustRightInd/>
        <w:snapToGrid/>
        <w:spacing w:line="480" w:lineRule="auto"/>
        <w:textAlignment w:val="auto"/>
        <w:rPr>
          <w:rFonts w:asciiTheme="minorHAnsi" w:hAnsiTheme="minorHAnsi" w:eastAsiaTheme="minorEastAsia" w:cstheme="minorBidi"/>
          <w:color w:val="000000" w:themeColor="text1"/>
          <w:kern w:val="2"/>
          <w:sz w:val="21"/>
          <w:szCs w:val="22"/>
          <w:highlight w:val="none"/>
          <w:lang w:val="en-US" w:bidi="ar-SA"/>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"_Toc136591185" </w:instrText>
      </w:r>
      <w:r>
        <w:rPr>
          <w:color w:val="000000" w:themeColor="text1"/>
          <w:highlight w:val="none"/>
          <w14:textFill>
            <w14:solidFill>
              <w14:schemeClr w14:val="tx1"/>
            </w14:solidFill>
          </w14:textFill>
        </w:rPr>
        <w:fldChar w:fldCharType="separate"/>
      </w:r>
      <w:r>
        <w:rPr>
          <w:rStyle w:val="31"/>
          <w:color w:val="000000" w:themeColor="text1"/>
          <w:highlight w:val="none"/>
          <w:lang w:val="en-US"/>
          <w14:textFill>
            <w14:solidFill>
              <w14:schemeClr w14:val="tx1"/>
            </w14:solidFill>
          </w14:textFill>
        </w:rPr>
        <w:t>三、区域环境质量现状、环境保护目标及评价标准</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_Toc136591185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19"/>
        <w:keepNext w:val="0"/>
        <w:keepLines w:val="0"/>
        <w:pageBreakBefore w:val="0"/>
        <w:widowControl w:val="0"/>
        <w:tabs>
          <w:tab w:val="right" w:leader="dot" w:pos="9730"/>
        </w:tabs>
        <w:kinsoku/>
        <w:wordWrap/>
        <w:overflowPunct/>
        <w:topLinePunct w:val="0"/>
        <w:autoSpaceDE w:val="0"/>
        <w:autoSpaceDN w:val="0"/>
        <w:bidi w:val="0"/>
        <w:adjustRightInd/>
        <w:snapToGrid/>
        <w:spacing w:line="480" w:lineRule="auto"/>
        <w:textAlignment w:val="auto"/>
        <w:rPr>
          <w:rFonts w:asciiTheme="minorHAnsi" w:hAnsiTheme="minorHAnsi" w:eastAsiaTheme="minorEastAsia" w:cstheme="minorBidi"/>
          <w:color w:val="000000" w:themeColor="text1"/>
          <w:kern w:val="2"/>
          <w:sz w:val="21"/>
          <w:szCs w:val="22"/>
          <w:highlight w:val="none"/>
          <w:lang w:val="en-US" w:bidi="ar-SA"/>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"_Toc136591186" </w:instrText>
      </w:r>
      <w:r>
        <w:rPr>
          <w:color w:val="000000" w:themeColor="text1"/>
          <w:highlight w:val="none"/>
          <w14:textFill>
            <w14:solidFill>
              <w14:schemeClr w14:val="tx1"/>
            </w14:solidFill>
          </w14:textFill>
        </w:rPr>
        <w:fldChar w:fldCharType="separate"/>
      </w:r>
      <w:r>
        <w:rPr>
          <w:rStyle w:val="31"/>
          <w:color w:val="000000" w:themeColor="text1"/>
          <w:highlight w:val="none"/>
          <w:lang w:val="en-US"/>
          <w14:textFill>
            <w14:solidFill>
              <w14:schemeClr w14:val="tx1"/>
            </w14:solidFill>
          </w14:textFill>
        </w:rPr>
        <w:t>四、主要环境影响和保护措施</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_Toc136591186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19"/>
        <w:keepNext w:val="0"/>
        <w:keepLines w:val="0"/>
        <w:pageBreakBefore w:val="0"/>
        <w:widowControl w:val="0"/>
        <w:tabs>
          <w:tab w:val="right" w:leader="dot" w:pos="9730"/>
        </w:tabs>
        <w:kinsoku/>
        <w:wordWrap/>
        <w:overflowPunct/>
        <w:topLinePunct w:val="0"/>
        <w:autoSpaceDE w:val="0"/>
        <w:autoSpaceDN w:val="0"/>
        <w:bidi w:val="0"/>
        <w:adjustRightInd/>
        <w:snapToGrid/>
        <w:spacing w:line="480" w:lineRule="auto"/>
        <w:textAlignment w:val="auto"/>
        <w:rPr>
          <w:rFonts w:asciiTheme="minorHAnsi" w:hAnsiTheme="minorHAnsi" w:eastAsiaTheme="minorEastAsia" w:cstheme="minorBidi"/>
          <w:color w:val="000000" w:themeColor="text1"/>
          <w:kern w:val="2"/>
          <w:sz w:val="21"/>
          <w:szCs w:val="22"/>
          <w:highlight w:val="none"/>
          <w:lang w:val="en-US" w:bidi="ar-SA"/>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"_Toc136591187" </w:instrText>
      </w:r>
      <w:r>
        <w:rPr>
          <w:color w:val="000000" w:themeColor="text1"/>
          <w:highlight w:val="none"/>
          <w14:textFill>
            <w14:solidFill>
              <w14:schemeClr w14:val="tx1"/>
            </w14:solidFill>
          </w14:textFill>
        </w:rPr>
        <w:fldChar w:fldCharType="separate"/>
      </w:r>
      <w:r>
        <w:rPr>
          <w:rStyle w:val="31"/>
          <w:color w:val="000000" w:themeColor="text1"/>
          <w:highlight w:val="none"/>
          <w:lang w:val="en-US"/>
          <w14:textFill>
            <w14:solidFill>
              <w14:schemeClr w14:val="tx1"/>
            </w14:solidFill>
          </w14:textFill>
        </w:rPr>
        <w:t>五、环境保护措施督查检查清单</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_Toc136591187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19"/>
        <w:keepNext w:val="0"/>
        <w:keepLines w:val="0"/>
        <w:pageBreakBefore w:val="0"/>
        <w:widowControl w:val="0"/>
        <w:tabs>
          <w:tab w:val="right" w:leader="dot" w:pos="9730"/>
        </w:tabs>
        <w:kinsoku/>
        <w:wordWrap/>
        <w:overflowPunct/>
        <w:topLinePunct w:val="0"/>
        <w:autoSpaceDE w:val="0"/>
        <w:autoSpaceDN w:val="0"/>
        <w:bidi w:val="0"/>
        <w:adjustRightInd/>
        <w:snapToGrid/>
        <w:spacing w:line="480" w:lineRule="auto"/>
        <w:textAlignment w:val="auto"/>
        <w:rPr>
          <w:rFonts w:asciiTheme="minorHAnsi" w:hAnsiTheme="minorHAnsi" w:eastAsiaTheme="minorEastAsia" w:cstheme="minorBidi"/>
          <w:color w:val="000000" w:themeColor="text1"/>
          <w:kern w:val="2"/>
          <w:sz w:val="21"/>
          <w:szCs w:val="22"/>
          <w:highlight w:val="none"/>
          <w:lang w:val="en-US" w:bidi="ar-SA"/>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"_Toc136591188" </w:instrText>
      </w:r>
      <w:r>
        <w:rPr>
          <w:color w:val="000000" w:themeColor="text1"/>
          <w:highlight w:val="none"/>
          <w14:textFill>
            <w14:solidFill>
              <w14:schemeClr w14:val="tx1"/>
            </w14:solidFill>
          </w14:textFill>
        </w:rPr>
        <w:fldChar w:fldCharType="separate"/>
      </w:r>
      <w:r>
        <w:rPr>
          <w:rStyle w:val="31"/>
          <w:color w:val="000000" w:themeColor="text1"/>
          <w:highlight w:val="none"/>
          <w:lang w:val="en-US"/>
          <w14:textFill>
            <w14:solidFill>
              <w14:schemeClr w14:val="tx1"/>
            </w14:solidFill>
          </w14:textFill>
        </w:rPr>
        <w:t>六、结论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_Toc136591188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7"/>
        <w:spacing w:line="360" w:lineRule="auto"/>
        <w:jc w:val="both"/>
        <w:rPr>
          <w:bCs/>
          <w:color w:val="000000" w:themeColor="text1"/>
          <w:spacing w:val="8"/>
          <w:sz w:val="32"/>
          <w:szCs w:val="32"/>
          <w:highlight w:val="none"/>
          <w14:textFill>
            <w14:solidFill>
              <w14:schemeClr w14:val="tx1"/>
            </w14:solidFill>
          </w14:textFill>
        </w:rPr>
        <w:sectPr>
          <w:headerReference r:id="rId5" w:type="default"/>
          <w:footerReference r:id="rId6" w:type="default"/>
          <w:pgSz w:w="11906" w:h="16838"/>
          <w:pgMar w:top="1440" w:right="1080" w:bottom="1440" w:left="1080" w:header="794" w:footer="1077" w:gutter="0"/>
          <w:cols w:space="425" w:num="1"/>
          <w:docGrid w:type="lines" w:linePitch="312" w:charSpace="0"/>
        </w:sectPr>
      </w:pPr>
      <w:r>
        <w:rPr>
          <w:color w:val="000000" w:themeColor="text1"/>
          <w:highlight w:val="none"/>
          <w14:textFill>
            <w14:solidFill>
              <w14:schemeClr w14:val="tx1"/>
            </w14:solidFill>
          </w14:textFill>
        </w:rPr>
        <w:fldChar w:fldCharType="end"/>
      </w:r>
    </w:p>
    <w:p>
      <w:pPr>
        <w:pStyle w:val="5"/>
        <w:ind w:firstLine="482"/>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附图</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1 </w:t>
      </w:r>
      <w:r>
        <w:rPr>
          <w:rFonts w:hint="eastAsia"/>
          <w:color w:val="000000" w:themeColor="text1"/>
          <w:highlight w:val="none"/>
          <w14:textFill>
            <w14:solidFill>
              <w14:schemeClr w14:val="tx1"/>
            </w14:solidFill>
          </w14:textFill>
        </w:rPr>
        <w:t>项目地理位置图</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附图</w:t>
      </w:r>
      <w:r>
        <w:rPr>
          <w:color w:val="000000" w:themeColor="text1"/>
          <w:highlight w:val="none"/>
          <w14:textFill>
            <w14:solidFill>
              <w14:schemeClr w14:val="tx1"/>
            </w14:solidFill>
          </w14:textFill>
        </w:rPr>
        <w:t xml:space="preserve">2 </w:t>
      </w:r>
      <w:r>
        <w:rPr>
          <w:rFonts w:hint="eastAsia"/>
          <w:color w:val="000000" w:themeColor="text1"/>
          <w:highlight w:val="none"/>
          <w:lang w:val="en-US" w:eastAsia="zh-CN"/>
          <w14:textFill>
            <w14:solidFill>
              <w14:schemeClr w14:val="tx1"/>
            </w14:solidFill>
          </w14:textFill>
        </w:rPr>
        <w:t>项目拟建地卫星地图</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附图3 办公楼平面布置图</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附图4 水厂平面布置图</w:t>
      </w:r>
    </w:p>
    <w:p>
      <w:pPr>
        <w:pStyle w:val="5"/>
        <w:ind w:firstLine="48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附图5 已建供水管网与新建管线走向示意图</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附图6 管理区雨污水走向示意图</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附图7 岳阳市环境管控单元图</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附图8 项目环保目标示意图</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附图9 地表水引用数据点位示意图</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附图10 项目周边环境现状照片</w:t>
      </w:r>
    </w:p>
    <w:p>
      <w:pPr>
        <w:pStyle w:val="5"/>
        <w:ind w:firstLine="48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附图11 工程师现场勘查照片</w:t>
      </w:r>
    </w:p>
    <w:p>
      <w:pPr>
        <w:pStyle w:val="5"/>
        <w:ind w:firstLine="482"/>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附件</w:t>
      </w:r>
    </w:p>
    <w:p>
      <w:pPr>
        <w:pStyle w:val="5"/>
        <w:ind w:firstLine="48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附件</w:t>
      </w:r>
      <w:r>
        <w:rPr>
          <w:color w:val="000000" w:themeColor="text1"/>
          <w:highlight w:val="none"/>
          <w14:textFill>
            <w14:solidFill>
              <w14:schemeClr w14:val="tx1"/>
            </w14:solidFill>
          </w14:textFill>
        </w:rPr>
        <w:t xml:space="preserve">1 </w:t>
      </w:r>
      <w:r>
        <w:rPr>
          <w:rFonts w:hint="eastAsia"/>
          <w:color w:val="000000" w:themeColor="text1"/>
          <w:highlight w:val="none"/>
          <w14:textFill>
            <w14:solidFill>
              <w14:schemeClr w14:val="tx1"/>
            </w14:solidFill>
          </w14:textFill>
        </w:rPr>
        <w:t>项目</w:t>
      </w:r>
      <w:r>
        <w:rPr>
          <w:rFonts w:hint="eastAsia"/>
          <w:color w:val="000000" w:themeColor="text1"/>
          <w:highlight w:val="none"/>
          <w:lang w:val="en-US" w:eastAsia="zh-CN"/>
          <w14:textFill>
            <w14:solidFill>
              <w14:schemeClr w14:val="tx1"/>
            </w14:solidFill>
          </w14:textFill>
        </w:rPr>
        <w:t>委托书</w:t>
      </w:r>
    </w:p>
    <w:p>
      <w:pPr>
        <w:pStyle w:val="5"/>
        <w:ind w:firstLine="48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附件</w:t>
      </w:r>
      <w:r>
        <w:rPr>
          <w:color w:val="000000" w:themeColor="text1"/>
          <w:highlight w:val="none"/>
          <w14:textFill>
            <w14:solidFill>
              <w14:schemeClr w14:val="tx1"/>
            </w14:solidFill>
          </w14:textFill>
        </w:rPr>
        <w:t xml:space="preserve">2 </w:t>
      </w:r>
      <w:r>
        <w:rPr>
          <w:rFonts w:hint="eastAsia"/>
          <w:color w:val="000000" w:themeColor="text1"/>
          <w:highlight w:val="none"/>
          <w:lang w:val="en-US" w:eastAsia="zh-CN"/>
          <w14:textFill>
            <w14:solidFill>
              <w14:schemeClr w14:val="tx1"/>
            </w14:solidFill>
          </w14:textFill>
        </w:rPr>
        <w:t>建设项目用地预审与选址意见书</w:t>
      </w:r>
    </w:p>
    <w:p>
      <w:pPr>
        <w:pStyle w:val="5"/>
        <w:ind w:firstLine="480"/>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附件3 土地权属意见</w:t>
      </w:r>
    </w:p>
    <w:p>
      <w:pPr>
        <w:pStyle w:val="5"/>
        <w:ind w:firstLine="48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附件</w:t>
      </w:r>
      <w:r>
        <w:rPr>
          <w:rFonts w:hint="eastAsia"/>
          <w:color w:val="000000" w:themeColor="text1"/>
          <w:highlight w:val="none"/>
          <w:lang w:val="en-US" w:eastAsia="zh-CN"/>
          <w14:textFill>
            <w14:solidFill>
              <w14:schemeClr w14:val="tx1"/>
            </w14:solidFill>
          </w14:textFill>
        </w:rPr>
        <w:t>4</w:t>
      </w:r>
      <w:r>
        <w:rPr>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用地预审与选址初审意见</w:t>
      </w:r>
    </w:p>
    <w:p>
      <w:pPr>
        <w:pStyle w:val="5"/>
        <w:ind w:firstLine="48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附件</w:t>
      </w:r>
      <w:r>
        <w:rPr>
          <w:rFonts w:hint="eastAsia"/>
          <w:color w:val="000000" w:themeColor="text1"/>
          <w:highlight w:val="none"/>
          <w:lang w:val="en-US" w:eastAsia="zh-CN"/>
          <w14:textFill>
            <w14:solidFill>
              <w14:schemeClr w14:val="tx1"/>
            </w14:solidFill>
          </w14:textFill>
        </w:rPr>
        <w:t>5</w:t>
      </w:r>
      <w:r>
        <w:rPr>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可研报告批复</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附件</w:t>
      </w:r>
      <w:r>
        <w:rPr>
          <w:rFonts w:hint="eastAsia"/>
          <w:color w:val="000000" w:themeColor="text1"/>
          <w:highlight w:val="none"/>
          <w:lang w:val="en-US" w:eastAsia="zh-CN"/>
          <w14:textFill>
            <w14:solidFill>
              <w14:schemeClr w14:val="tx1"/>
            </w14:solidFill>
          </w14:textFill>
        </w:rPr>
        <w:t>6</w:t>
      </w:r>
      <w:r>
        <w:rPr>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初步设计报告批复</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附件7 水质检测报告</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附件8 木形水库环评批复</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附件9 地表水引用数据监测报告</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附件10 承诺函</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附件11 忠防镇人民政府关于划定饮用水水源地保护区的报告</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附件12 临湘市水利局关于划定饮用水水源地保护区意见</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附件13 临湘分局关于划定饮用水水源地保护区的报告</w:t>
      </w:r>
    </w:p>
    <w:p>
      <w:pPr>
        <w:pStyle w:val="5"/>
        <w:ind w:firstLine="48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附件14 取水许可批复</w:t>
      </w:r>
    </w:p>
    <w:p>
      <w:pPr>
        <w:pStyle w:val="5"/>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附件15 专家意见及专家签到表</w:t>
      </w:r>
    </w:p>
    <w:p>
      <w:pPr>
        <w:pStyle w:val="5"/>
        <w:ind w:firstLine="48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附件16 修改清单及专家复核签字</w:t>
      </w:r>
    </w:p>
    <w:p>
      <w:pPr>
        <w:pStyle w:val="5"/>
        <w:ind w:firstLine="480"/>
        <w:rPr>
          <w:color w:val="000000" w:themeColor="text1"/>
          <w:highlight w:val="none"/>
          <w14:textFill>
            <w14:solidFill>
              <w14:schemeClr w14:val="tx1"/>
            </w14:solidFill>
          </w14:textFill>
        </w:rPr>
      </w:pPr>
    </w:p>
    <w:p>
      <w:pPr>
        <w:pStyle w:val="5"/>
        <w:ind w:firstLine="480"/>
        <w:rPr>
          <w:color w:val="000000" w:themeColor="text1"/>
          <w:highlight w:val="none"/>
          <w14:textFill>
            <w14:solidFill>
              <w14:schemeClr w14:val="tx1"/>
            </w14:solidFill>
          </w14:textFill>
        </w:rPr>
        <w:sectPr>
          <w:footerReference r:id="rId7" w:type="default"/>
          <w:pgSz w:w="11906" w:h="16838"/>
          <w:pgMar w:top="1440" w:right="1083" w:bottom="1440" w:left="1083" w:header="850" w:footer="992" w:gutter="0"/>
          <w:pgNumType w:start="1"/>
          <w:cols w:space="425" w:num="1"/>
          <w:docGrid w:type="lines" w:linePitch="312" w:charSpace="0"/>
        </w:sectPr>
      </w:pPr>
    </w:p>
    <w:p>
      <w:pPr>
        <w:pStyle w:val="3"/>
        <w:rPr>
          <w:color w:val="000000" w:themeColor="text1"/>
          <w:highlight w:val="none"/>
          <w:lang w:val="en-US"/>
          <w14:textFill>
            <w14:solidFill>
              <w14:schemeClr w14:val="tx1"/>
            </w14:solidFill>
          </w14:textFill>
        </w:rPr>
      </w:pPr>
      <w:bookmarkStart w:id="2" w:name="_Toc136591183"/>
      <w:r>
        <w:rPr>
          <w:rFonts w:hint="eastAsia"/>
          <w:color w:val="000000" w:themeColor="text1"/>
          <w:highlight w:val="none"/>
          <w:lang w:val="en-US"/>
          <w14:textFill>
            <w14:solidFill>
              <w14:schemeClr w14:val="tx1"/>
            </w14:solidFill>
          </w14:textFill>
        </w:rPr>
        <w:t>一、建设项目基本情况</w:t>
      </w:r>
      <w:bookmarkEnd w:id="2"/>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1"/>
        <w:gridCol w:w="3677"/>
        <w:gridCol w:w="1712"/>
        <w:gridCol w:w="3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pPr>
              <w:pStyle w:val="37"/>
              <w:widowControl w:val="0"/>
              <w:rPr>
                <w:color w:val="auto"/>
                <w:highlight w:val="none"/>
              </w:rPr>
            </w:pPr>
            <w:r>
              <w:rPr>
                <w:color w:val="auto"/>
                <w:highlight w:val="none"/>
              </w:rPr>
              <w:t>建设项目名称</w:t>
            </w:r>
          </w:p>
        </w:tc>
        <w:tc>
          <w:tcPr>
            <w:tcW w:w="4377" w:type="pct"/>
            <w:gridSpan w:val="3"/>
            <w:vAlign w:val="center"/>
          </w:tcPr>
          <w:p>
            <w:pPr>
              <w:pStyle w:val="37"/>
              <w:widowControl w:val="0"/>
              <w:rPr>
                <w:rFonts w:hint="eastAsia" w:eastAsia="宋体"/>
                <w:color w:val="auto"/>
                <w:highlight w:val="none"/>
                <w:lang w:eastAsia="zh-CN"/>
              </w:rPr>
            </w:pPr>
            <w:r>
              <w:rPr>
                <w:rFonts w:hint="eastAsia"/>
                <w:color w:val="auto"/>
                <w:highlight w:val="none"/>
                <w:lang w:eastAsia="zh-CN"/>
              </w:rPr>
              <w:t>临湘市忠防镇木形片区集中供水工程（一期）项目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622" w:type="pct"/>
            <w:vAlign w:val="center"/>
          </w:tcPr>
          <w:p>
            <w:pPr>
              <w:pStyle w:val="37"/>
              <w:widowControl w:val="0"/>
              <w:spacing w:line="360" w:lineRule="auto"/>
              <w:rPr>
                <w:color w:val="auto"/>
                <w:highlight w:val="none"/>
              </w:rPr>
            </w:pPr>
            <w:r>
              <w:rPr>
                <w:color w:val="auto"/>
                <w:highlight w:val="none"/>
              </w:rPr>
              <w:t>项目代码</w:t>
            </w:r>
          </w:p>
        </w:tc>
        <w:tc>
          <w:tcPr>
            <w:tcW w:w="4377" w:type="pct"/>
            <w:gridSpan w:val="3"/>
            <w:vAlign w:val="center"/>
          </w:tcPr>
          <w:p>
            <w:pPr>
              <w:pStyle w:val="37"/>
              <w:widowControl w:val="0"/>
              <w:spacing w:line="360" w:lineRule="auto"/>
              <w:rPr>
                <w:rFonts w:hint="default" w:eastAsia="宋体"/>
                <w:color w:val="auto"/>
                <w:highlight w:val="none"/>
                <w:lang w:val="en-US" w:eastAsia="zh-CN"/>
              </w:rPr>
            </w:pPr>
            <w:r>
              <w:rPr>
                <w:rFonts w:hint="eastAsia"/>
                <w:color w:val="auto"/>
                <w:highlight w:val="none"/>
                <w:lang w:val="en-US" w:eastAsia="zh-CN"/>
              </w:rPr>
              <w:t>2309-430682-04-01-121211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pPr>
              <w:pStyle w:val="37"/>
              <w:widowControl w:val="0"/>
              <w:rPr>
                <w:color w:val="auto"/>
                <w:highlight w:val="none"/>
              </w:rPr>
            </w:pPr>
            <w:r>
              <w:rPr>
                <w:color w:val="auto"/>
                <w:highlight w:val="none"/>
              </w:rPr>
              <w:t>建设单位联系人</w:t>
            </w:r>
          </w:p>
        </w:tc>
        <w:tc>
          <w:tcPr>
            <w:tcW w:w="1845" w:type="pct"/>
            <w:vAlign w:val="center"/>
          </w:tcPr>
          <w:p>
            <w:pPr>
              <w:pStyle w:val="37"/>
              <w:widowControl w:val="0"/>
              <w:rPr>
                <w:rFonts w:hint="eastAsia" w:eastAsia="宋体"/>
                <w:color w:val="auto"/>
                <w:highlight w:val="none"/>
                <w:lang w:val="en-US" w:eastAsia="zh-CN"/>
              </w:rPr>
            </w:pPr>
            <w:r>
              <w:rPr>
                <w:rFonts w:hint="eastAsia"/>
                <w:color w:val="auto"/>
                <w:highlight w:val="none"/>
                <w:lang w:val="en-US" w:eastAsia="zh-CN"/>
              </w:rPr>
              <w:t>苏楠</w:t>
            </w:r>
          </w:p>
        </w:tc>
        <w:tc>
          <w:tcPr>
            <w:tcW w:w="859" w:type="pct"/>
            <w:vAlign w:val="center"/>
          </w:tcPr>
          <w:p>
            <w:pPr>
              <w:pStyle w:val="37"/>
              <w:widowControl w:val="0"/>
              <w:rPr>
                <w:color w:val="auto"/>
                <w:highlight w:val="none"/>
              </w:rPr>
            </w:pPr>
            <w:r>
              <w:rPr>
                <w:color w:val="auto"/>
                <w:highlight w:val="none"/>
              </w:rPr>
              <w:t>联系方式</w:t>
            </w:r>
          </w:p>
        </w:tc>
        <w:tc>
          <w:tcPr>
            <w:tcW w:w="1672" w:type="pct"/>
            <w:vAlign w:val="center"/>
          </w:tcPr>
          <w:p>
            <w:pPr>
              <w:pStyle w:val="37"/>
              <w:widowControl w:val="0"/>
              <w:rPr>
                <w:rFonts w:hint="default" w:eastAsia="宋体"/>
                <w:color w:val="auto"/>
                <w:highlight w:val="none"/>
                <w:lang w:val="en-US" w:eastAsia="zh-CN"/>
              </w:rPr>
            </w:pPr>
            <w:r>
              <w:rPr>
                <w:rFonts w:hint="eastAsia"/>
                <w:color w:val="auto"/>
                <w:highlight w:val="none"/>
                <w:lang w:val="en-US" w:eastAsia="zh-CN"/>
              </w:rPr>
              <w:t>139 0730 6156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pPr>
              <w:pStyle w:val="37"/>
              <w:widowControl w:val="0"/>
              <w:spacing w:line="360" w:lineRule="auto"/>
              <w:rPr>
                <w:color w:val="auto"/>
                <w:highlight w:val="none"/>
              </w:rPr>
            </w:pPr>
            <w:r>
              <w:rPr>
                <w:rFonts w:hint="eastAsia"/>
                <w:color w:val="auto"/>
                <w:highlight w:val="none"/>
              </w:rPr>
              <w:t>建设地点</w:t>
            </w:r>
          </w:p>
        </w:tc>
        <w:tc>
          <w:tcPr>
            <w:tcW w:w="4377" w:type="pct"/>
            <w:gridSpan w:val="3"/>
            <w:vAlign w:val="center"/>
          </w:tcPr>
          <w:p>
            <w:pPr>
              <w:pStyle w:val="37"/>
              <w:widowControl w:val="0"/>
              <w:spacing w:line="360" w:lineRule="auto"/>
              <w:rPr>
                <w:rFonts w:hint="default" w:eastAsia="宋体"/>
                <w:color w:val="auto"/>
                <w:highlight w:val="none"/>
                <w:lang w:val="en-US" w:eastAsia="zh-CN"/>
              </w:rPr>
            </w:pPr>
            <w:r>
              <w:rPr>
                <w:rFonts w:hint="eastAsia" w:cs="Times New Roman"/>
                <w:color w:val="auto"/>
                <w:highlight w:val="none"/>
                <w:lang w:val="en-US" w:eastAsia="zh-CN"/>
              </w:rPr>
              <w:t>临湘市忠防镇木形村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pPr>
              <w:pStyle w:val="37"/>
              <w:widowControl w:val="0"/>
              <w:spacing w:line="360" w:lineRule="auto"/>
              <w:rPr>
                <w:color w:val="auto"/>
                <w:highlight w:val="none"/>
              </w:rPr>
            </w:pPr>
            <w:r>
              <w:rPr>
                <w:rFonts w:hint="eastAsia"/>
                <w:color w:val="auto"/>
                <w:highlight w:val="none"/>
              </w:rPr>
              <w:t>地理坐标</w:t>
            </w:r>
          </w:p>
        </w:tc>
        <w:tc>
          <w:tcPr>
            <w:tcW w:w="4377" w:type="pct"/>
            <w:gridSpan w:val="3"/>
            <w:vAlign w:val="center"/>
          </w:tcPr>
          <w:p>
            <w:pPr>
              <w:pStyle w:val="37"/>
              <w:widowControl w:val="0"/>
              <w:spacing w:line="360" w:lineRule="auto"/>
              <w:jc w:val="both"/>
              <w:rPr>
                <w:rFonts w:hint="eastAsia" w:cs="Times New Roman"/>
                <w:color w:val="auto"/>
                <w:highlight w:val="none"/>
                <w:u w:val="single"/>
              </w:rPr>
            </w:pPr>
            <w:r>
              <w:rPr>
                <w:rFonts w:hint="eastAsia" w:cs="Times New Roman"/>
                <w:color w:val="auto"/>
                <w:highlight w:val="none"/>
                <w:lang w:val="en-US" w:eastAsia="zh-CN"/>
              </w:rPr>
              <w:t>水厂：</w:t>
            </w:r>
            <w:r>
              <w:rPr>
                <w:rFonts w:hint="eastAsia" w:cs="Times New Roman"/>
                <w:color w:val="auto"/>
                <w:highlight w:val="none"/>
                <w:u w:val="single"/>
              </w:rPr>
              <w:t>（</w:t>
            </w:r>
            <w:r>
              <w:rPr>
                <w:rFonts w:cs="Times New Roman"/>
                <w:color w:val="auto"/>
                <w:highlight w:val="none"/>
                <w:u w:val="single"/>
              </w:rPr>
              <w:t>E</w:t>
            </w:r>
            <w:r>
              <w:rPr>
                <w:rFonts w:hint="eastAsia" w:cs="Times New Roman"/>
                <w:color w:val="auto"/>
                <w:highlight w:val="none"/>
                <w:u w:val="single"/>
              </w:rPr>
              <w:t>：</w:t>
            </w:r>
            <w:r>
              <w:rPr>
                <w:rFonts w:cs="Times New Roman"/>
                <w:color w:val="auto"/>
                <w:highlight w:val="none"/>
                <w:u w:val="single"/>
              </w:rPr>
              <w:t xml:space="preserve"> 113 </w:t>
            </w:r>
            <w:r>
              <w:rPr>
                <w:rFonts w:hint="eastAsia" w:cs="Times New Roman"/>
                <w:color w:val="auto"/>
                <w:highlight w:val="none"/>
                <w:u w:val="single"/>
              </w:rPr>
              <w:t>度</w:t>
            </w:r>
            <w:r>
              <w:rPr>
                <w:rFonts w:cs="Times New Roman"/>
                <w:color w:val="auto"/>
                <w:highlight w:val="none"/>
                <w:u w:val="single"/>
              </w:rPr>
              <w:t xml:space="preserve"> </w:t>
            </w:r>
            <w:r>
              <w:rPr>
                <w:rFonts w:hint="eastAsia" w:cs="Times New Roman"/>
                <w:color w:val="auto"/>
                <w:highlight w:val="none"/>
                <w:u w:val="single"/>
                <w:lang w:val="en-US" w:eastAsia="zh-CN"/>
              </w:rPr>
              <w:t>31</w:t>
            </w:r>
            <w:r>
              <w:rPr>
                <w:rFonts w:cs="Times New Roman"/>
                <w:color w:val="auto"/>
                <w:highlight w:val="none"/>
                <w:u w:val="single"/>
              </w:rPr>
              <w:t xml:space="preserve"> </w:t>
            </w:r>
            <w:r>
              <w:rPr>
                <w:rFonts w:hint="eastAsia" w:cs="Times New Roman"/>
                <w:color w:val="auto"/>
                <w:highlight w:val="none"/>
                <w:u w:val="single"/>
              </w:rPr>
              <w:t>分</w:t>
            </w:r>
            <w:r>
              <w:rPr>
                <w:rFonts w:cs="Times New Roman"/>
                <w:color w:val="auto"/>
                <w:highlight w:val="none"/>
                <w:u w:val="single"/>
              </w:rPr>
              <w:t xml:space="preserve"> </w:t>
            </w:r>
            <w:r>
              <w:rPr>
                <w:rFonts w:hint="eastAsia" w:cs="Times New Roman"/>
                <w:color w:val="auto"/>
                <w:highlight w:val="none"/>
                <w:u w:val="single"/>
                <w:lang w:val="en-US" w:eastAsia="zh-CN"/>
              </w:rPr>
              <w:t>49.624</w:t>
            </w:r>
            <w:r>
              <w:rPr>
                <w:rFonts w:cs="Times New Roman"/>
                <w:color w:val="auto"/>
                <w:highlight w:val="none"/>
                <w:u w:val="single"/>
              </w:rPr>
              <w:t xml:space="preserve"> </w:t>
            </w:r>
            <w:r>
              <w:rPr>
                <w:rFonts w:hint="eastAsia" w:cs="Times New Roman"/>
                <w:color w:val="auto"/>
                <w:highlight w:val="none"/>
                <w:u w:val="single"/>
              </w:rPr>
              <w:t>秒，</w:t>
            </w:r>
            <w:r>
              <w:rPr>
                <w:rFonts w:cs="Times New Roman"/>
                <w:color w:val="auto"/>
                <w:highlight w:val="none"/>
                <w:u w:val="single"/>
              </w:rPr>
              <w:t>N</w:t>
            </w:r>
            <w:r>
              <w:rPr>
                <w:rFonts w:hint="eastAsia" w:cs="Times New Roman"/>
                <w:color w:val="auto"/>
                <w:highlight w:val="none"/>
                <w:u w:val="single"/>
              </w:rPr>
              <w:t>：</w:t>
            </w:r>
            <w:r>
              <w:rPr>
                <w:rFonts w:cs="Times New Roman"/>
                <w:color w:val="auto"/>
                <w:highlight w:val="none"/>
                <w:u w:val="single"/>
              </w:rPr>
              <w:t xml:space="preserve"> </w:t>
            </w:r>
            <w:r>
              <w:rPr>
                <w:rFonts w:hint="eastAsia" w:cs="Times New Roman"/>
                <w:color w:val="auto"/>
                <w:highlight w:val="none"/>
                <w:u w:val="single"/>
                <w:lang w:val="en-US" w:eastAsia="zh-CN"/>
              </w:rPr>
              <w:t>29</w:t>
            </w:r>
            <w:r>
              <w:rPr>
                <w:rFonts w:cs="Times New Roman"/>
                <w:color w:val="auto"/>
                <w:highlight w:val="none"/>
                <w:u w:val="single"/>
              </w:rPr>
              <w:t xml:space="preserve"> </w:t>
            </w:r>
            <w:r>
              <w:rPr>
                <w:rFonts w:hint="eastAsia" w:cs="Times New Roman"/>
                <w:color w:val="auto"/>
                <w:highlight w:val="none"/>
                <w:u w:val="single"/>
              </w:rPr>
              <w:t>度</w:t>
            </w:r>
            <w:r>
              <w:rPr>
                <w:rFonts w:cs="Times New Roman"/>
                <w:color w:val="auto"/>
                <w:highlight w:val="none"/>
                <w:u w:val="single"/>
              </w:rPr>
              <w:t xml:space="preserve"> </w:t>
            </w:r>
            <w:r>
              <w:rPr>
                <w:rFonts w:hint="eastAsia" w:cs="Times New Roman"/>
                <w:color w:val="auto"/>
                <w:highlight w:val="none"/>
                <w:u w:val="single"/>
                <w:lang w:val="en-US" w:eastAsia="zh-CN"/>
              </w:rPr>
              <w:t>22</w:t>
            </w:r>
            <w:r>
              <w:rPr>
                <w:rFonts w:cs="Times New Roman"/>
                <w:color w:val="auto"/>
                <w:highlight w:val="none"/>
                <w:u w:val="single"/>
              </w:rPr>
              <w:t xml:space="preserve"> </w:t>
            </w:r>
            <w:r>
              <w:rPr>
                <w:rFonts w:hint="eastAsia" w:cs="Times New Roman"/>
                <w:color w:val="auto"/>
                <w:highlight w:val="none"/>
                <w:u w:val="single"/>
              </w:rPr>
              <w:t>分</w:t>
            </w:r>
            <w:r>
              <w:rPr>
                <w:rFonts w:cs="Times New Roman"/>
                <w:color w:val="auto"/>
                <w:highlight w:val="none"/>
                <w:u w:val="single"/>
              </w:rPr>
              <w:t xml:space="preserve"> </w:t>
            </w:r>
            <w:r>
              <w:rPr>
                <w:rFonts w:hint="eastAsia" w:cs="Times New Roman"/>
                <w:color w:val="auto"/>
                <w:highlight w:val="none"/>
                <w:u w:val="single"/>
                <w:lang w:val="en-US" w:eastAsia="zh-CN"/>
              </w:rPr>
              <w:t>50.518</w:t>
            </w:r>
            <w:r>
              <w:rPr>
                <w:rFonts w:cs="Times New Roman"/>
                <w:color w:val="auto"/>
                <w:highlight w:val="none"/>
                <w:u w:val="single"/>
              </w:rPr>
              <w:t xml:space="preserve"> </w:t>
            </w:r>
            <w:r>
              <w:rPr>
                <w:rFonts w:hint="eastAsia" w:cs="Times New Roman"/>
                <w:color w:val="auto"/>
                <w:highlight w:val="none"/>
                <w:u w:val="single"/>
              </w:rPr>
              <w:t>秒）</w:t>
            </w:r>
          </w:p>
          <w:p>
            <w:pPr>
              <w:pStyle w:val="37"/>
              <w:widowControl w:val="0"/>
              <w:spacing w:line="360" w:lineRule="auto"/>
              <w:jc w:val="both"/>
              <w:rPr>
                <w:rFonts w:hint="eastAsia" w:cs="Times New Roman"/>
                <w:color w:val="auto"/>
                <w:highlight w:val="none"/>
              </w:rPr>
            </w:pPr>
            <w:r>
              <w:rPr>
                <w:rFonts w:hint="eastAsia" w:cs="Times New Roman"/>
                <w:color w:val="auto"/>
                <w:highlight w:val="none"/>
                <w:lang w:val="en-US" w:eastAsia="zh-CN"/>
              </w:rPr>
              <w:t>管理区：</w:t>
            </w:r>
            <w:r>
              <w:rPr>
                <w:rFonts w:hint="eastAsia" w:cs="Times New Roman"/>
                <w:color w:val="auto"/>
                <w:highlight w:val="none"/>
                <w:u w:val="single"/>
              </w:rPr>
              <w:t>（</w:t>
            </w:r>
            <w:r>
              <w:rPr>
                <w:rFonts w:cs="Times New Roman"/>
                <w:color w:val="auto"/>
                <w:highlight w:val="none"/>
                <w:u w:val="single"/>
              </w:rPr>
              <w:t>E</w:t>
            </w:r>
            <w:r>
              <w:rPr>
                <w:rFonts w:hint="eastAsia" w:cs="Times New Roman"/>
                <w:color w:val="auto"/>
                <w:highlight w:val="none"/>
                <w:u w:val="single"/>
              </w:rPr>
              <w:t>：</w:t>
            </w:r>
            <w:r>
              <w:rPr>
                <w:rFonts w:cs="Times New Roman"/>
                <w:color w:val="auto"/>
                <w:highlight w:val="none"/>
                <w:u w:val="single"/>
              </w:rPr>
              <w:t xml:space="preserve"> 113 </w:t>
            </w:r>
            <w:r>
              <w:rPr>
                <w:rFonts w:hint="eastAsia" w:cs="Times New Roman"/>
                <w:color w:val="auto"/>
                <w:highlight w:val="none"/>
                <w:u w:val="single"/>
              </w:rPr>
              <w:t>度</w:t>
            </w:r>
            <w:r>
              <w:rPr>
                <w:rFonts w:cs="Times New Roman"/>
                <w:color w:val="auto"/>
                <w:highlight w:val="none"/>
                <w:u w:val="single"/>
              </w:rPr>
              <w:t xml:space="preserve"> </w:t>
            </w:r>
            <w:r>
              <w:rPr>
                <w:rFonts w:hint="eastAsia" w:cs="Times New Roman"/>
                <w:color w:val="auto"/>
                <w:highlight w:val="none"/>
                <w:u w:val="single"/>
                <w:lang w:val="en-US" w:eastAsia="zh-CN"/>
              </w:rPr>
              <w:t>31</w:t>
            </w:r>
            <w:r>
              <w:rPr>
                <w:rFonts w:cs="Times New Roman"/>
                <w:color w:val="auto"/>
                <w:highlight w:val="none"/>
                <w:u w:val="single"/>
              </w:rPr>
              <w:t xml:space="preserve"> </w:t>
            </w:r>
            <w:r>
              <w:rPr>
                <w:rFonts w:hint="eastAsia" w:cs="Times New Roman"/>
                <w:color w:val="auto"/>
                <w:highlight w:val="none"/>
                <w:u w:val="single"/>
              </w:rPr>
              <w:t>分</w:t>
            </w:r>
            <w:r>
              <w:rPr>
                <w:rFonts w:cs="Times New Roman"/>
                <w:color w:val="auto"/>
                <w:highlight w:val="none"/>
                <w:u w:val="single"/>
              </w:rPr>
              <w:t xml:space="preserve"> </w:t>
            </w:r>
            <w:r>
              <w:rPr>
                <w:rFonts w:hint="eastAsia" w:cs="Times New Roman"/>
                <w:color w:val="auto"/>
                <w:highlight w:val="none"/>
                <w:u w:val="single"/>
                <w:lang w:val="en-US" w:eastAsia="zh-CN"/>
              </w:rPr>
              <w:t>49.064</w:t>
            </w:r>
            <w:r>
              <w:rPr>
                <w:rFonts w:cs="Times New Roman"/>
                <w:color w:val="auto"/>
                <w:highlight w:val="none"/>
                <w:u w:val="single"/>
              </w:rPr>
              <w:t xml:space="preserve"> </w:t>
            </w:r>
            <w:r>
              <w:rPr>
                <w:rFonts w:hint="eastAsia" w:cs="Times New Roman"/>
                <w:color w:val="auto"/>
                <w:highlight w:val="none"/>
                <w:u w:val="single"/>
              </w:rPr>
              <w:t>秒，</w:t>
            </w:r>
            <w:r>
              <w:rPr>
                <w:rFonts w:cs="Times New Roman"/>
                <w:color w:val="auto"/>
                <w:highlight w:val="none"/>
                <w:u w:val="single"/>
              </w:rPr>
              <w:t>N</w:t>
            </w:r>
            <w:r>
              <w:rPr>
                <w:rFonts w:hint="eastAsia" w:cs="Times New Roman"/>
                <w:color w:val="auto"/>
                <w:highlight w:val="none"/>
                <w:u w:val="single"/>
              </w:rPr>
              <w:t>：</w:t>
            </w:r>
            <w:r>
              <w:rPr>
                <w:rFonts w:cs="Times New Roman"/>
                <w:color w:val="auto"/>
                <w:highlight w:val="none"/>
                <w:u w:val="single"/>
              </w:rPr>
              <w:t xml:space="preserve"> </w:t>
            </w:r>
            <w:r>
              <w:rPr>
                <w:rFonts w:hint="eastAsia" w:cs="Times New Roman"/>
                <w:color w:val="auto"/>
                <w:highlight w:val="none"/>
                <w:u w:val="single"/>
                <w:lang w:val="en-US" w:eastAsia="zh-CN"/>
              </w:rPr>
              <w:t>29</w:t>
            </w:r>
            <w:r>
              <w:rPr>
                <w:rFonts w:cs="Times New Roman"/>
                <w:color w:val="auto"/>
                <w:highlight w:val="none"/>
                <w:u w:val="single"/>
              </w:rPr>
              <w:t xml:space="preserve"> </w:t>
            </w:r>
            <w:r>
              <w:rPr>
                <w:rFonts w:hint="eastAsia" w:cs="Times New Roman"/>
                <w:color w:val="auto"/>
                <w:highlight w:val="none"/>
                <w:u w:val="single"/>
              </w:rPr>
              <w:t>度</w:t>
            </w:r>
            <w:r>
              <w:rPr>
                <w:rFonts w:cs="Times New Roman"/>
                <w:color w:val="auto"/>
                <w:highlight w:val="none"/>
                <w:u w:val="single"/>
              </w:rPr>
              <w:t xml:space="preserve"> </w:t>
            </w:r>
            <w:r>
              <w:rPr>
                <w:rFonts w:hint="eastAsia" w:cs="Times New Roman"/>
                <w:color w:val="auto"/>
                <w:highlight w:val="none"/>
                <w:u w:val="single"/>
                <w:lang w:val="en-US" w:eastAsia="zh-CN"/>
              </w:rPr>
              <w:t>22</w:t>
            </w:r>
            <w:r>
              <w:rPr>
                <w:rFonts w:cs="Times New Roman"/>
                <w:color w:val="auto"/>
                <w:highlight w:val="none"/>
                <w:u w:val="single"/>
              </w:rPr>
              <w:t xml:space="preserve"> </w:t>
            </w:r>
            <w:r>
              <w:rPr>
                <w:rFonts w:hint="eastAsia" w:cs="Times New Roman"/>
                <w:color w:val="auto"/>
                <w:highlight w:val="none"/>
                <w:u w:val="single"/>
              </w:rPr>
              <w:t>分</w:t>
            </w:r>
            <w:r>
              <w:rPr>
                <w:rFonts w:cs="Times New Roman"/>
                <w:color w:val="auto"/>
                <w:highlight w:val="none"/>
                <w:u w:val="single"/>
              </w:rPr>
              <w:t xml:space="preserve"> </w:t>
            </w:r>
            <w:r>
              <w:rPr>
                <w:rFonts w:hint="eastAsia" w:cs="Times New Roman"/>
                <w:color w:val="auto"/>
                <w:highlight w:val="none"/>
                <w:u w:val="single"/>
                <w:lang w:val="en-US" w:eastAsia="zh-CN"/>
              </w:rPr>
              <w:t>54.187</w:t>
            </w:r>
            <w:r>
              <w:rPr>
                <w:rFonts w:cs="Times New Roman"/>
                <w:color w:val="auto"/>
                <w:highlight w:val="none"/>
                <w:u w:val="single"/>
              </w:rPr>
              <w:t xml:space="preserve"> </w:t>
            </w:r>
            <w:r>
              <w:rPr>
                <w:rFonts w:hint="eastAsia" w:cs="Times New Roman"/>
                <w:color w:val="auto"/>
                <w:highlight w:val="none"/>
                <w:u w:val="single"/>
              </w:rPr>
              <w:t>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pPr>
              <w:pStyle w:val="2"/>
              <w:spacing w:line="240" w:lineRule="auto"/>
              <w:jc w:val="center"/>
              <w:rPr>
                <w:color w:val="auto"/>
                <w:highlight w:val="none"/>
                <w:lang w:val="en-US"/>
              </w:rPr>
            </w:pPr>
            <w:r>
              <w:rPr>
                <w:rFonts w:hint="eastAsia" w:ascii="Times New Roman" w:hAnsi="Times New Roman" w:cs="Times New Roman"/>
                <w:color w:val="auto"/>
                <w:highlight w:val="none"/>
              </w:rPr>
              <w:t>国民经济行业类别</w:t>
            </w:r>
          </w:p>
        </w:tc>
        <w:tc>
          <w:tcPr>
            <w:tcW w:w="1845" w:type="pct"/>
            <w:vAlign w:val="center"/>
          </w:tcPr>
          <w:p>
            <w:pPr>
              <w:pStyle w:val="2"/>
              <w:spacing w:line="240" w:lineRule="auto"/>
              <w:jc w:val="center"/>
              <w:rPr>
                <w:rFonts w:hint="default" w:eastAsia="宋体"/>
                <w:color w:val="auto"/>
                <w:highlight w:val="none"/>
                <w:lang w:val="en-US" w:eastAsia="zh-CN"/>
              </w:rPr>
            </w:pPr>
            <w:r>
              <w:rPr>
                <w:rFonts w:hint="eastAsia" w:ascii="Times New Roman" w:hAnsi="Times New Roman"/>
                <w:color w:val="auto"/>
                <w:highlight w:val="none"/>
                <w:lang w:val="en-US" w:eastAsia="zh-CN"/>
              </w:rPr>
              <w:t>D4610 水的生产和供应</w:t>
            </w:r>
          </w:p>
        </w:tc>
        <w:tc>
          <w:tcPr>
            <w:tcW w:w="859" w:type="pct"/>
            <w:vAlign w:val="center"/>
          </w:tcPr>
          <w:p>
            <w:pPr>
              <w:pStyle w:val="2"/>
              <w:spacing w:line="240" w:lineRule="auto"/>
              <w:jc w:val="center"/>
              <w:rPr>
                <w:color w:val="auto"/>
                <w:highlight w:val="none"/>
                <w:lang w:val="en-US"/>
              </w:rPr>
            </w:pPr>
            <w:r>
              <w:rPr>
                <w:rFonts w:hint="eastAsia" w:ascii="Times New Roman" w:hAnsi="Times New Roman" w:cs="Times New Roman"/>
                <w:color w:val="auto"/>
                <w:highlight w:val="none"/>
                <w:lang w:val="en-US"/>
              </w:rPr>
              <w:t>建设项目行业类别</w:t>
            </w:r>
          </w:p>
        </w:tc>
        <w:tc>
          <w:tcPr>
            <w:tcW w:w="1672" w:type="pct"/>
            <w:vAlign w:val="center"/>
          </w:tcPr>
          <w:p>
            <w:pPr>
              <w:pStyle w:val="2"/>
              <w:spacing w:line="240" w:lineRule="auto"/>
              <w:jc w:val="both"/>
              <w:rPr>
                <w:rFonts w:hint="default" w:eastAsia="宋体"/>
                <w:color w:val="auto"/>
                <w:highlight w:val="none"/>
                <w:lang w:val="en-US" w:eastAsia="zh-CN"/>
              </w:rPr>
            </w:pPr>
            <w:r>
              <w:rPr>
                <w:rFonts w:hint="eastAsia" w:ascii="Times New Roman" w:hAnsi="Times New Roman" w:cs="Times New Roman"/>
                <w:color w:val="auto"/>
                <w:highlight w:val="none"/>
                <w:lang w:val="en-US" w:eastAsia="zh-CN"/>
              </w:rPr>
              <w:t>四十三、水的生产和供应，94、自来水生产和供应461（不含供应工程；不含村庄供水工程）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pPr>
              <w:pStyle w:val="2"/>
              <w:jc w:val="center"/>
              <w:rPr>
                <w:rFonts w:ascii="Times New Roman" w:hAnsi="Times New Roman" w:cs="Times New Roman"/>
                <w:color w:val="auto"/>
                <w:highlight w:val="none"/>
                <w:lang w:val="en-US"/>
              </w:rPr>
            </w:pPr>
            <w:r>
              <w:rPr>
                <w:rFonts w:hint="eastAsia" w:ascii="Times New Roman" w:hAnsi="Times New Roman" w:cs="Times New Roman"/>
                <w:color w:val="auto"/>
                <w:highlight w:val="none"/>
              </w:rPr>
              <w:t>建设性质</w:t>
            </w:r>
          </w:p>
        </w:tc>
        <w:tc>
          <w:tcPr>
            <w:tcW w:w="1845" w:type="pct"/>
            <w:vAlign w:val="center"/>
          </w:tcPr>
          <w:p>
            <w:pPr>
              <w:spacing w:line="240" w:lineRule="auto"/>
              <w:jc w:val="both"/>
              <w:rPr>
                <w:rFonts w:cs="Times New Roman"/>
                <w:color w:val="auto"/>
                <w:highlight w:val="none"/>
              </w:rPr>
            </w:pPr>
            <w:r>
              <w:rPr>
                <w:rFonts w:cs="Times New Roman"/>
                <w:color w:val="auto"/>
                <w:highlight w:val="none"/>
              </w:rPr>
              <w:sym w:font="Wingdings 2" w:char="0052"/>
            </w:r>
            <w:r>
              <w:rPr>
                <w:rFonts w:hint="eastAsia" w:cs="Times New Roman"/>
                <w:color w:val="auto"/>
                <w:highlight w:val="none"/>
              </w:rPr>
              <w:t>新建（迁建）</w:t>
            </w:r>
          </w:p>
          <w:p>
            <w:pPr>
              <w:spacing w:line="240" w:lineRule="auto"/>
              <w:jc w:val="both"/>
              <w:rPr>
                <w:rFonts w:cs="Times New Roman"/>
                <w:color w:val="auto"/>
                <w:highlight w:val="none"/>
              </w:rPr>
            </w:pPr>
            <w:r>
              <w:rPr>
                <w:rFonts w:hint="eastAsia" w:cs="Times New Roman"/>
                <w:color w:val="auto"/>
                <w:highlight w:val="none"/>
              </w:rPr>
              <w:t>□改建</w:t>
            </w:r>
          </w:p>
          <w:p>
            <w:pPr>
              <w:spacing w:line="240" w:lineRule="auto"/>
              <w:jc w:val="both"/>
              <w:rPr>
                <w:rFonts w:cs="Times New Roman"/>
                <w:color w:val="auto"/>
                <w:highlight w:val="none"/>
              </w:rPr>
            </w:pPr>
            <w:r>
              <w:rPr>
                <w:rFonts w:hint="eastAsia" w:cs="Times New Roman"/>
                <w:color w:val="auto"/>
                <w:highlight w:val="none"/>
              </w:rPr>
              <w:t>□扩建</w:t>
            </w:r>
          </w:p>
          <w:p>
            <w:pPr>
              <w:pStyle w:val="2"/>
              <w:spacing w:line="240" w:lineRule="auto"/>
              <w:jc w:val="both"/>
              <w:rPr>
                <w:rFonts w:ascii="Times New Roman" w:hAnsi="Times New Roman" w:cs="Times New Roman"/>
                <w:color w:val="auto"/>
                <w:highlight w:val="none"/>
                <w:lang w:val="en-US"/>
              </w:rPr>
            </w:pPr>
            <w:r>
              <w:rPr>
                <w:rFonts w:hint="eastAsia" w:ascii="Times New Roman" w:hAnsi="Times New Roman" w:cs="Times New Roman"/>
                <w:color w:val="auto"/>
                <w:highlight w:val="none"/>
              </w:rPr>
              <w:t>□技术改造</w:t>
            </w:r>
          </w:p>
        </w:tc>
        <w:tc>
          <w:tcPr>
            <w:tcW w:w="859" w:type="pct"/>
            <w:vAlign w:val="center"/>
          </w:tcPr>
          <w:p>
            <w:pPr>
              <w:pStyle w:val="2"/>
              <w:spacing w:line="240" w:lineRule="auto"/>
              <w:jc w:val="center"/>
              <w:rPr>
                <w:rFonts w:ascii="Times New Roman" w:hAnsi="Times New Roman" w:cs="Times New Roman"/>
                <w:color w:val="auto"/>
                <w:highlight w:val="none"/>
                <w:lang w:val="en-US"/>
              </w:rPr>
            </w:pPr>
            <w:r>
              <w:rPr>
                <w:rFonts w:hint="eastAsia" w:ascii="Times New Roman" w:hAnsi="Times New Roman" w:cs="Times New Roman"/>
                <w:color w:val="auto"/>
                <w:highlight w:val="none"/>
              </w:rPr>
              <w:t>建设项</w:t>
            </w:r>
            <w:r>
              <w:rPr>
                <w:rFonts w:hint="eastAsia" w:ascii="Times New Roman" w:hAnsi="Times New Roman" w:cs="Times New Roman"/>
                <w:color w:val="auto"/>
                <w:highlight w:val="none"/>
                <w:lang w:val="en-US"/>
              </w:rPr>
              <w:t>目</w:t>
            </w:r>
          </w:p>
          <w:p>
            <w:pPr>
              <w:pStyle w:val="2"/>
              <w:spacing w:line="240" w:lineRule="auto"/>
              <w:jc w:val="center"/>
              <w:rPr>
                <w:rFonts w:ascii="Times New Roman" w:hAnsi="Times New Roman" w:cs="Times New Roman"/>
                <w:color w:val="auto"/>
                <w:highlight w:val="none"/>
                <w:lang w:val="en-US"/>
              </w:rPr>
            </w:pPr>
            <w:r>
              <w:rPr>
                <w:rFonts w:hint="eastAsia" w:ascii="Times New Roman" w:hAnsi="Times New Roman" w:cs="Times New Roman"/>
                <w:color w:val="auto"/>
                <w:highlight w:val="none"/>
              </w:rPr>
              <w:t>申报情形</w:t>
            </w:r>
          </w:p>
        </w:tc>
        <w:tc>
          <w:tcPr>
            <w:tcW w:w="1672" w:type="pct"/>
            <w:vAlign w:val="center"/>
          </w:tcPr>
          <w:p>
            <w:pPr>
              <w:spacing w:line="240" w:lineRule="auto"/>
              <w:jc w:val="both"/>
              <w:rPr>
                <w:rFonts w:cs="Times New Roman"/>
                <w:color w:val="auto"/>
                <w:highlight w:val="none"/>
              </w:rPr>
            </w:pPr>
            <w:r>
              <w:rPr>
                <w:rFonts w:cs="Times New Roman"/>
                <w:color w:val="auto"/>
                <w:highlight w:val="none"/>
              </w:rPr>
              <w:sym w:font="Wingdings 2" w:char="0052"/>
            </w:r>
            <w:r>
              <w:rPr>
                <w:rFonts w:hint="eastAsia" w:cs="Times New Roman"/>
                <w:color w:val="auto"/>
                <w:highlight w:val="none"/>
              </w:rPr>
              <w:t>首次申报项目</w:t>
            </w:r>
          </w:p>
          <w:p>
            <w:pPr>
              <w:spacing w:line="240" w:lineRule="auto"/>
              <w:jc w:val="both"/>
              <w:rPr>
                <w:rFonts w:cs="Times New Roman"/>
                <w:color w:val="auto"/>
                <w:highlight w:val="none"/>
              </w:rPr>
            </w:pPr>
            <w:r>
              <w:rPr>
                <w:rFonts w:hint="eastAsia" w:cs="Times New Roman"/>
                <w:color w:val="auto"/>
                <w:highlight w:val="none"/>
              </w:rPr>
              <w:t>□不予批准后再次申报项目</w:t>
            </w:r>
          </w:p>
          <w:p>
            <w:pPr>
              <w:spacing w:line="240" w:lineRule="auto"/>
              <w:jc w:val="both"/>
              <w:rPr>
                <w:rFonts w:cs="Times New Roman"/>
                <w:color w:val="auto"/>
                <w:highlight w:val="none"/>
              </w:rPr>
            </w:pPr>
            <w:r>
              <w:rPr>
                <w:rFonts w:hint="eastAsia" w:cs="Times New Roman"/>
                <w:color w:val="auto"/>
                <w:highlight w:val="none"/>
              </w:rPr>
              <w:t>□超五年重新审核项目</w:t>
            </w:r>
          </w:p>
          <w:p>
            <w:pPr>
              <w:spacing w:line="240" w:lineRule="auto"/>
              <w:jc w:val="both"/>
              <w:rPr>
                <w:rFonts w:cs="Times New Roman"/>
                <w:color w:val="auto"/>
                <w:highlight w:val="none"/>
                <w:lang w:val="en-US"/>
              </w:rPr>
            </w:pPr>
            <w:r>
              <w:rPr>
                <w:rFonts w:hint="eastAsia" w:cs="Times New Roman"/>
                <w:color w:val="auto"/>
                <w:highlight w:val="none"/>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pPr>
              <w:pStyle w:val="2"/>
              <w:spacing w:line="276" w:lineRule="auto"/>
              <w:jc w:val="center"/>
              <w:rPr>
                <w:rFonts w:ascii="Times New Roman" w:hAnsi="Times New Roman" w:cs="Times New Roman"/>
                <w:color w:val="auto"/>
                <w:highlight w:val="none"/>
                <w:lang w:val="en-US"/>
              </w:rPr>
            </w:pPr>
            <w:r>
              <w:rPr>
                <w:rFonts w:hint="eastAsia" w:ascii="Times New Roman" w:hAnsi="Times New Roman" w:cs="Times New Roman"/>
                <w:color w:val="auto"/>
                <w:highlight w:val="none"/>
              </w:rPr>
              <w:t>项目审批（核准</w:t>
            </w:r>
            <w:r>
              <w:rPr>
                <w:rFonts w:ascii="Times New Roman" w:hAnsi="Times New Roman" w:cs="Times New Roman"/>
                <w:color w:val="auto"/>
                <w:highlight w:val="none"/>
              </w:rPr>
              <w:t>/</w:t>
            </w:r>
            <w:r>
              <w:rPr>
                <w:rFonts w:hint="eastAsia" w:ascii="Times New Roman" w:hAnsi="Times New Roman" w:cs="Times New Roman"/>
                <w:color w:val="auto"/>
                <w:highlight w:val="none"/>
              </w:rPr>
              <w:t>备案）部门（选填）</w:t>
            </w:r>
          </w:p>
        </w:tc>
        <w:tc>
          <w:tcPr>
            <w:tcW w:w="1845" w:type="pct"/>
            <w:vAlign w:val="center"/>
          </w:tcPr>
          <w:p>
            <w:pPr>
              <w:pStyle w:val="2"/>
              <w:spacing w:line="276"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临湘市发展和改革局</w:t>
            </w:r>
          </w:p>
        </w:tc>
        <w:tc>
          <w:tcPr>
            <w:tcW w:w="859" w:type="pct"/>
            <w:vAlign w:val="center"/>
          </w:tcPr>
          <w:p>
            <w:pPr>
              <w:pStyle w:val="2"/>
              <w:spacing w:line="276" w:lineRule="auto"/>
              <w:jc w:val="center"/>
              <w:rPr>
                <w:rFonts w:ascii="Times New Roman" w:hAnsi="Times New Roman" w:cs="Times New Roman"/>
                <w:color w:val="auto"/>
                <w:highlight w:val="none"/>
                <w:lang w:val="en-US"/>
              </w:rPr>
            </w:pPr>
            <w:r>
              <w:rPr>
                <w:rFonts w:hint="eastAsia" w:ascii="Times New Roman" w:hAnsi="Times New Roman" w:cs="Times New Roman"/>
                <w:color w:val="auto"/>
                <w:highlight w:val="none"/>
              </w:rPr>
              <w:t>项目审批（核准</w:t>
            </w:r>
            <w:r>
              <w:rPr>
                <w:rFonts w:ascii="Times New Roman" w:hAnsi="Times New Roman" w:cs="Times New Roman"/>
                <w:color w:val="auto"/>
                <w:highlight w:val="none"/>
              </w:rPr>
              <w:t>/</w:t>
            </w:r>
            <w:r>
              <w:rPr>
                <w:rFonts w:hint="eastAsia" w:ascii="Times New Roman" w:hAnsi="Times New Roman" w:cs="Times New Roman"/>
                <w:color w:val="auto"/>
                <w:highlight w:val="none"/>
              </w:rPr>
              <w:t>备案）文号（选填）</w:t>
            </w:r>
          </w:p>
        </w:tc>
        <w:tc>
          <w:tcPr>
            <w:tcW w:w="1672" w:type="pct"/>
            <w:vAlign w:val="center"/>
          </w:tcPr>
          <w:p>
            <w:pPr>
              <w:pStyle w:val="2"/>
              <w:spacing w:line="276"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临发改审【2023】304号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pPr>
              <w:pStyle w:val="2"/>
              <w:spacing w:line="240" w:lineRule="auto"/>
              <w:jc w:val="center"/>
              <w:rPr>
                <w:rFonts w:ascii="Times New Roman" w:hAnsi="Times New Roman" w:cs="Times New Roman"/>
                <w:color w:val="auto"/>
                <w:highlight w:val="none"/>
                <w:lang w:val="en-US"/>
              </w:rPr>
            </w:pPr>
            <w:r>
              <w:rPr>
                <w:rFonts w:ascii="Times New Roman" w:hAnsi="Times New Roman" w:cs="Times New Roman"/>
                <w:color w:val="auto"/>
                <w:highlight w:val="none"/>
              </w:rPr>
              <w:t>总投资（万元）</w:t>
            </w:r>
          </w:p>
        </w:tc>
        <w:tc>
          <w:tcPr>
            <w:tcW w:w="1845" w:type="pct"/>
            <w:vAlign w:val="center"/>
          </w:tcPr>
          <w:p>
            <w:pPr>
              <w:pStyle w:val="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993.37</w:t>
            </w:r>
          </w:p>
        </w:tc>
        <w:tc>
          <w:tcPr>
            <w:tcW w:w="859" w:type="pct"/>
            <w:vAlign w:val="center"/>
          </w:tcPr>
          <w:p>
            <w:pPr>
              <w:pStyle w:val="2"/>
              <w:spacing w:line="240" w:lineRule="auto"/>
              <w:jc w:val="center"/>
              <w:rPr>
                <w:rFonts w:ascii="Times New Roman" w:hAnsi="Times New Roman" w:cs="Times New Roman"/>
                <w:color w:val="auto"/>
                <w:highlight w:val="none"/>
              </w:rPr>
            </w:pPr>
            <w:r>
              <w:rPr>
                <w:rFonts w:hint="eastAsia" w:ascii="Times New Roman" w:hAnsi="Times New Roman" w:cs="Times New Roman"/>
                <w:color w:val="auto"/>
                <w:highlight w:val="none"/>
              </w:rPr>
              <w:t>环保投资</w:t>
            </w:r>
          </w:p>
          <w:p>
            <w:pPr>
              <w:pStyle w:val="2"/>
              <w:spacing w:line="240" w:lineRule="auto"/>
              <w:jc w:val="center"/>
              <w:rPr>
                <w:rFonts w:ascii="Times New Roman" w:hAnsi="Times New Roman" w:cs="Times New Roman"/>
                <w:color w:val="auto"/>
                <w:highlight w:val="none"/>
                <w:lang w:val="en-US"/>
              </w:rPr>
            </w:pPr>
            <w:r>
              <w:rPr>
                <w:rFonts w:hint="eastAsia" w:ascii="Times New Roman" w:hAnsi="Times New Roman" w:cs="Times New Roman"/>
                <w:color w:val="auto"/>
                <w:highlight w:val="none"/>
              </w:rPr>
              <w:t>（万元）</w:t>
            </w:r>
          </w:p>
        </w:tc>
        <w:tc>
          <w:tcPr>
            <w:tcW w:w="1672" w:type="pct"/>
            <w:vAlign w:val="center"/>
          </w:tcPr>
          <w:p>
            <w:pPr>
              <w:pStyle w:val="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pPr>
              <w:pStyle w:val="2"/>
              <w:spacing w:line="240" w:lineRule="auto"/>
              <w:jc w:val="center"/>
              <w:rPr>
                <w:rFonts w:ascii="Times New Roman" w:hAnsi="Times New Roman" w:cs="Times New Roman"/>
                <w:color w:val="auto"/>
                <w:highlight w:val="none"/>
                <w:lang w:val="en-US"/>
              </w:rPr>
            </w:pPr>
            <w:r>
              <w:rPr>
                <w:rFonts w:hint="eastAsia" w:ascii="Times New Roman" w:hAnsi="Times New Roman" w:cs="Times New Roman"/>
                <w:color w:val="auto"/>
                <w:highlight w:val="none"/>
              </w:rPr>
              <w:t>环保投资占比（</w:t>
            </w:r>
            <w:r>
              <w:rPr>
                <w:rFonts w:ascii="Times New Roman" w:hAnsi="Times New Roman" w:cs="Times New Roman"/>
                <w:color w:val="auto"/>
                <w:highlight w:val="none"/>
              </w:rPr>
              <w:t>%</w:t>
            </w:r>
            <w:r>
              <w:rPr>
                <w:rFonts w:hint="eastAsia" w:ascii="Times New Roman" w:hAnsi="Times New Roman" w:cs="Times New Roman"/>
                <w:color w:val="auto"/>
                <w:highlight w:val="none"/>
              </w:rPr>
              <w:t>）</w:t>
            </w:r>
          </w:p>
        </w:tc>
        <w:tc>
          <w:tcPr>
            <w:tcW w:w="1845" w:type="pct"/>
            <w:vAlign w:val="center"/>
          </w:tcPr>
          <w:p>
            <w:pPr>
              <w:pStyle w:val="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10.72</w:t>
            </w:r>
          </w:p>
        </w:tc>
        <w:tc>
          <w:tcPr>
            <w:tcW w:w="859" w:type="pct"/>
            <w:vAlign w:val="center"/>
          </w:tcPr>
          <w:p>
            <w:pPr>
              <w:pStyle w:val="2"/>
              <w:spacing w:line="240" w:lineRule="auto"/>
              <w:jc w:val="center"/>
              <w:rPr>
                <w:rFonts w:ascii="Times New Roman" w:hAnsi="Times New Roman" w:cs="Times New Roman"/>
                <w:color w:val="auto"/>
                <w:highlight w:val="none"/>
                <w:lang w:val="en-US"/>
              </w:rPr>
            </w:pPr>
            <w:r>
              <w:rPr>
                <w:rFonts w:hint="eastAsia" w:ascii="Times New Roman" w:hAnsi="Times New Roman" w:cs="Times New Roman"/>
                <w:color w:val="auto"/>
                <w:highlight w:val="none"/>
              </w:rPr>
              <w:t>施工工期</w:t>
            </w:r>
          </w:p>
        </w:tc>
        <w:tc>
          <w:tcPr>
            <w:tcW w:w="1672" w:type="pct"/>
            <w:vAlign w:val="center"/>
          </w:tcPr>
          <w:p>
            <w:pPr>
              <w:pStyle w:val="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8个月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pPr>
              <w:pStyle w:val="2"/>
              <w:spacing w:line="240" w:lineRule="auto"/>
              <w:jc w:val="center"/>
              <w:rPr>
                <w:rFonts w:ascii="Times New Roman" w:hAnsi="Times New Roman" w:cs="Times New Roman"/>
                <w:color w:val="auto"/>
                <w:highlight w:val="none"/>
                <w:lang w:val="en-US"/>
              </w:rPr>
            </w:pPr>
            <w:r>
              <w:rPr>
                <w:rFonts w:ascii="Times New Roman" w:hAnsi="Times New Roman" w:cs="Times New Roman"/>
                <w:color w:val="auto"/>
                <w:highlight w:val="none"/>
              </w:rPr>
              <w:t>是否开工建设</w:t>
            </w:r>
          </w:p>
        </w:tc>
        <w:tc>
          <w:tcPr>
            <w:tcW w:w="1845" w:type="pct"/>
            <w:vAlign w:val="center"/>
          </w:tcPr>
          <w:p>
            <w:pPr>
              <w:spacing w:line="240" w:lineRule="auto"/>
              <w:jc w:val="both"/>
              <w:rPr>
                <w:rFonts w:cs="Times New Roman"/>
                <w:color w:val="auto"/>
                <w:highlight w:val="none"/>
              </w:rPr>
            </w:pPr>
            <w:r>
              <w:rPr>
                <w:rFonts w:hint="eastAsia" w:cs="Times New Roman"/>
                <w:color w:val="auto"/>
                <w:highlight w:val="none"/>
              </w:rPr>
              <w:sym w:font="Wingdings 2" w:char="0052"/>
            </w:r>
            <w:r>
              <w:rPr>
                <w:rFonts w:cs="Times New Roman"/>
                <w:color w:val="auto"/>
                <w:highlight w:val="none"/>
              </w:rPr>
              <w:t>否</w:t>
            </w:r>
          </w:p>
          <w:p>
            <w:pPr>
              <w:tabs>
                <w:tab w:val="left" w:pos="197"/>
              </w:tabs>
              <w:spacing w:line="240" w:lineRule="auto"/>
              <w:jc w:val="both"/>
              <w:rPr>
                <w:rFonts w:hint="default" w:eastAsia="宋体" w:cs="Times New Roman"/>
                <w:color w:val="auto"/>
                <w:highlight w:val="none"/>
                <w:lang w:val="en-US" w:eastAsia="zh-CN"/>
              </w:rPr>
            </w:pPr>
            <w:r>
              <w:rPr>
                <w:rFonts w:hint="eastAsia" w:cs="Times New Roman"/>
                <w:color w:val="auto"/>
                <w:highlight w:val="none"/>
                <w:lang w:eastAsia="zh-CN"/>
              </w:rPr>
              <w:t>□</w:t>
            </w:r>
            <w:r>
              <w:rPr>
                <w:rFonts w:cs="Times New Roman"/>
                <w:color w:val="auto"/>
                <w:highlight w:val="none"/>
              </w:rPr>
              <w:t>是</w:t>
            </w:r>
          </w:p>
        </w:tc>
        <w:tc>
          <w:tcPr>
            <w:tcW w:w="859" w:type="pct"/>
            <w:vAlign w:val="center"/>
          </w:tcPr>
          <w:p>
            <w:pPr>
              <w:pStyle w:val="2"/>
              <w:spacing w:line="240" w:lineRule="auto"/>
              <w:jc w:val="center"/>
              <w:rPr>
                <w:rFonts w:ascii="Times New Roman" w:hAnsi="Times New Roman" w:cs="Times New Roman"/>
                <w:color w:val="auto"/>
                <w:highlight w:val="none"/>
              </w:rPr>
            </w:pPr>
            <w:r>
              <w:rPr>
                <w:rFonts w:ascii="Times New Roman" w:hAnsi="Times New Roman" w:cs="Times New Roman"/>
                <w:color w:val="auto"/>
                <w:highlight w:val="none"/>
              </w:rPr>
              <w:t>用地（用海）</w:t>
            </w:r>
          </w:p>
          <w:p>
            <w:pPr>
              <w:pStyle w:val="2"/>
              <w:spacing w:line="240" w:lineRule="auto"/>
              <w:jc w:val="center"/>
              <w:rPr>
                <w:rFonts w:ascii="Times New Roman" w:hAnsi="Times New Roman" w:cs="Times New Roman"/>
                <w:color w:val="auto"/>
                <w:highlight w:val="none"/>
                <w:lang w:val="en-US"/>
              </w:rPr>
            </w:pPr>
            <w:r>
              <w:rPr>
                <w:rFonts w:ascii="Times New Roman" w:hAnsi="Times New Roman" w:cs="Times New Roman"/>
                <w:color w:val="auto"/>
                <w:highlight w:val="none"/>
              </w:rPr>
              <w:t>面积</w:t>
            </w:r>
            <w:r>
              <w:rPr>
                <w:rFonts w:hint="eastAsia" w:ascii="Times New Roman" w:hAnsi="Times New Roman" w:cs="Times New Roman"/>
                <w:color w:val="auto"/>
                <w:highlight w:val="none"/>
              </w:rPr>
              <w:t>（</w:t>
            </w:r>
            <w:r>
              <w:rPr>
                <w:rFonts w:hint="eastAsia" w:ascii="Times New Roman" w:hAnsi="Times New Roman" w:cs="Times New Roman"/>
                <w:color w:val="auto"/>
                <w:highlight w:val="none"/>
                <w:lang w:val="en-US"/>
              </w:rPr>
              <w:t>m</w:t>
            </w:r>
            <w:r>
              <w:rPr>
                <w:rFonts w:hint="eastAsia" w:ascii="Times New Roman" w:hAnsi="Times New Roman" w:cs="Times New Roman"/>
                <w:color w:val="auto"/>
                <w:highlight w:val="none"/>
                <w:vertAlign w:val="superscript"/>
                <w:lang w:val="en-US"/>
              </w:rPr>
              <w:t>2</w:t>
            </w:r>
            <w:r>
              <w:rPr>
                <w:rFonts w:hint="eastAsia" w:ascii="Times New Roman" w:hAnsi="Times New Roman" w:cs="Times New Roman"/>
                <w:color w:val="auto"/>
                <w:highlight w:val="none"/>
              </w:rPr>
              <w:t>）</w:t>
            </w:r>
          </w:p>
        </w:tc>
        <w:tc>
          <w:tcPr>
            <w:tcW w:w="1672" w:type="pct"/>
            <w:vAlign w:val="center"/>
          </w:tcPr>
          <w:p>
            <w:pPr>
              <w:pStyle w:val="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1875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pPr>
              <w:pStyle w:val="37"/>
              <w:widowControl w:val="0"/>
              <w:spacing w:line="360" w:lineRule="auto"/>
              <w:rPr>
                <w:b w:val="0"/>
                <w:bCs w:val="0"/>
                <w:color w:val="auto"/>
                <w:highlight w:val="none"/>
              </w:rPr>
            </w:pPr>
            <w:r>
              <w:rPr>
                <w:rFonts w:hint="eastAsia"/>
                <w:b w:val="0"/>
                <w:bCs w:val="0"/>
                <w:color w:val="auto"/>
                <w:highlight w:val="none"/>
              </w:rPr>
              <w:t>专项评价设置情况</w:t>
            </w:r>
          </w:p>
        </w:tc>
        <w:tc>
          <w:tcPr>
            <w:tcW w:w="4377" w:type="pct"/>
            <w:gridSpan w:val="3"/>
            <w:vAlign w:val="center"/>
          </w:tcPr>
          <w:p>
            <w:pPr>
              <w:pStyle w:val="5"/>
              <w:widowControl w:val="0"/>
              <w:ind w:firstLine="482"/>
              <w:rPr>
                <w:rFonts w:hint="eastAsia" w:eastAsia="宋体"/>
                <w:b w:val="0"/>
                <w:bCs w:val="0"/>
                <w:color w:val="auto"/>
                <w:highlight w:val="none"/>
                <w:lang w:val="en-US" w:eastAsia="zh-CN"/>
              </w:rPr>
            </w:pPr>
            <w:r>
              <w:rPr>
                <w:rFonts w:hint="eastAsia"/>
                <w:b w:val="0"/>
                <w:bCs w:val="0"/>
                <w:color w:val="auto"/>
                <w:highlight w:val="no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pPr>
              <w:pStyle w:val="2"/>
              <w:jc w:val="center"/>
              <w:rPr>
                <w:color w:val="auto"/>
                <w:highlight w:val="none"/>
                <w:lang w:val="en-US"/>
              </w:rPr>
            </w:pPr>
            <w:r>
              <w:rPr>
                <w:rFonts w:hint="eastAsia" w:ascii="Times New Roman" w:hAnsi="Times New Roman" w:cs="Times New Roman"/>
                <w:color w:val="auto"/>
                <w:highlight w:val="none"/>
              </w:rPr>
              <w:t>规划情况</w:t>
            </w:r>
          </w:p>
        </w:tc>
        <w:tc>
          <w:tcPr>
            <w:tcW w:w="4377" w:type="pct"/>
            <w:gridSpan w:val="3"/>
            <w:vAlign w:val="center"/>
          </w:tcPr>
          <w:p>
            <w:pPr>
              <w:numPr>
                <w:ilvl w:val="0"/>
                <w:numId w:val="0"/>
              </w:numPr>
              <w:snapToGrid w:val="0"/>
              <w:jc w:val="both"/>
              <w:rPr>
                <w:rFonts w:hint="eastAsia" w:eastAsia="宋体" w:cs="Times New Roman"/>
                <w:color w:val="auto"/>
                <w:sz w:val="22"/>
                <w:szCs w:val="22"/>
                <w:highlight w:val="none"/>
                <w:lang w:val="en-US" w:eastAsia="zh-CN"/>
              </w:rPr>
            </w:pPr>
            <w:r>
              <w:rPr>
                <w:rFonts w:hint="eastAsia" w:cs="Times New Roman"/>
                <w:b w:val="0"/>
                <w:bCs w:val="0"/>
                <w:color w:val="auto"/>
                <w:highlight w:val="none"/>
                <w:u w:val="single"/>
                <w:lang w:val="en-US"/>
              </w:rPr>
              <w:t>《</w:t>
            </w:r>
            <w:r>
              <w:rPr>
                <w:rFonts w:hint="eastAsia" w:cs="Times New Roman"/>
                <w:b w:val="0"/>
                <w:bCs w:val="0"/>
                <w:color w:val="auto"/>
                <w:highlight w:val="none"/>
                <w:u w:val="single"/>
                <w:lang w:val="en-US" w:eastAsia="zh-CN"/>
              </w:rPr>
              <w:t>临湘市“十四五”水利发展规划</w:t>
            </w:r>
            <w:r>
              <w:rPr>
                <w:rFonts w:hint="eastAsia" w:cs="Times New Roman"/>
                <w:b w:val="0"/>
                <w:bCs w:val="0"/>
                <w:color w:val="auto"/>
                <w:highlight w:val="none"/>
                <w:u w:val="single"/>
                <w:lang w:val="en-US"/>
              </w:rPr>
              <w:t>》</w:t>
            </w:r>
            <w:r>
              <w:rPr>
                <w:rFonts w:hint="eastAsia" w:cs="Times New Roman"/>
                <w:b w:val="0"/>
                <w:bCs w:val="0"/>
                <w:color w:val="auto"/>
                <w:highlight w:val="none"/>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pPr>
              <w:pStyle w:val="2"/>
              <w:jc w:val="center"/>
              <w:rPr>
                <w:color w:val="auto"/>
                <w:highlight w:val="none"/>
                <w:lang w:val="en-US"/>
              </w:rPr>
            </w:pPr>
            <w:r>
              <w:rPr>
                <w:rFonts w:hint="eastAsia" w:ascii="Times New Roman" w:hAnsi="Times New Roman" w:cs="Times New Roman"/>
                <w:color w:val="auto"/>
                <w:highlight w:val="none"/>
              </w:rPr>
              <w:t>规划环境影响评价情况</w:t>
            </w:r>
          </w:p>
        </w:tc>
        <w:tc>
          <w:tcPr>
            <w:tcW w:w="4377" w:type="pct"/>
            <w:gridSpan w:val="3"/>
            <w:vAlign w:val="center"/>
          </w:tcPr>
          <w:p>
            <w:pPr>
              <w:pStyle w:val="5"/>
              <w:widowControl w:val="0"/>
              <w:ind w:firstLine="0" w:firstLineChars="0"/>
              <w:rPr>
                <w:rFonts w:hint="eastAsia" w:eastAsia="宋体"/>
                <w:color w:val="auto"/>
                <w:highlight w:val="none"/>
                <w:lang w:val="en-US" w:eastAsia="zh-CN"/>
              </w:rPr>
            </w:pPr>
            <w:r>
              <w:rPr>
                <w:rFonts w:hint="eastAsia"/>
                <w:color w:val="auto"/>
                <w:highlight w:val="no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pct"/>
          </w:tcPr>
          <w:p>
            <w:pPr>
              <w:pStyle w:val="37"/>
              <w:widowControl w:val="0"/>
              <w:spacing w:line="360" w:lineRule="auto"/>
              <w:rPr>
                <w:color w:val="auto"/>
                <w:highlight w:val="none"/>
              </w:rPr>
            </w:pPr>
            <w:r>
              <w:rPr>
                <w:rFonts w:hint="eastAsia" w:cs="Times New Roman"/>
                <w:color w:val="auto"/>
                <w:highlight w:val="none"/>
              </w:rPr>
              <w:t>规划及规划环境</w:t>
            </w:r>
            <w:r>
              <w:rPr>
                <w:rFonts w:hint="eastAsia" w:cs="Times New Roman"/>
                <w:color w:val="auto"/>
                <w:spacing w:val="-2"/>
                <w:highlight w:val="none"/>
              </w:rPr>
              <w:t>影响评价符合性分析</w:t>
            </w:r>
          </w:p>
        </w:tc>
        <w:tc>
          <w:tcPr>
            <w:tcW w:w="4377" w:type="pct"/>
            <w:gridSpan w:val="3"/>
          </w:tcPr>
          <w:p>
            <w:pPr>
              <w:pStyle w:val="5"/>
              <w:widowControl w:val="0"/>
              <w:ind w:left="0" w:leftChars="0" w:firstLine="0" w:firstLineChars="0"/>
              <w:rPr>
                <w:rFonts w:cs="Times New Roman"/>
                <w:color w:val="auto"/>
                <w:highlight w:val="none"/>
                <w:u w:val="single"/>
                <w:lang w:bidi="ar"/>
              </w:rPr>
            </w:pPr>
            <w:r>
              <w:rPr>
                <w:b/>
                <w:bCs/>
                <w:color w:val="auto"/>
                <w:highlight w:val="none"/>
                <w:u w:val="single"/>
              </w:rPr>
              <w:t>1</w:t>
            </w:r>
            <w:r>
              <w:rPr>
                <w:rFonts w:hint="eastAsia"/>
                <w:b/>
                <w:bCs/>
                <w:color w:val="auto"/>
                <w:highlight w:val="none"/>
                <w:u w:val="single"/>
              </w:rPr>
              <w:t>、本项目与</w:t>
            </w:r>
            <w:r>
              <w:rPr>
                <w:rFonts w:hint="eastAsia" w:cs="Times New Roman"/>
                <w:b/>
                <w:bCs/>
                <w:color w:val="auto"/>
                <w:highlight w:val="none"/>
                <w:u w:val="single"/>
                <w:lang w:bidi="ar"/>
              </w:rPr>
              <w:t>《临湘市“十四五”水利</w:t>
            </w:r>
            <w:r>
              <w:rPr>
                <w:rFonts w:hint="eastAsia" w:cs="Times New Roman"/>
                <w:b/>
                <w:bCs/>
                <w:color w:val="auto"/>
                <w:highlight w:val="none"/>
                <w:u w:val="single"/>
                <w:lang w:val="en-US" w:eastAsia="zh-CN" w:bidi="ar"/>
              </w:rPr>
              <w:t>发展</w:t>
            </w:r>
            <w:r>
              <w:rPr>
                <w:rFonts w:hint="eastAsia" w:cs="Times New Roman"/>
                <w:b/>
                <w:bCs/>
                <w:color w:val="auto"/>
                <w:highlight w:val="none"/>
                <w:u w:val="single"/>
                <w:lang w:bidi="ar"/>
              </w:rPr>
              <w:t>规划》的</w:t>
            </w:r>
            <w:r>
              <w:rPr>
                <w:rFonts w:hint="eastAsia" w:cs="Times New Roman"/>
                <w:b/>
                <w:bCs/>
                <w:color w:val="auto"/>
                <w:highlight w:val="none"/>
                <w:u w:val="single"/>
                <w:lang w:val="en-US" w:eastAsia="zh-CN" w:bidi="ar"/>
              </w:rPr>
              <w:t>符合性</w:t>
            </w:r>
            <w:r>
              <w:rPr>
                <w:rFonts w:hint="eastAsia" w:cs="Times New Roman"/>
                <w:b/>
                <w:bCs/>
                <w:color w:val="auto"/>
                <w:highlight w:val="none"/>
                <w:u w:val="single"/>
                <w:lang w:bidi="ar"/>
              </w:rPr>
              <w:t>分析</w:t>
            </w:r>
          </w:p>
          <w:p>
            <w:pPr>
              <w:pStyle w:val="5"/>
              <w:widowControl w:val="0"/>
              <w:ind w:firstLine="480"/>
              <w:rPr>
                <w:rFonts w:hint="eastAsia" w:eastAsia="宋体"/>
                <w:color w:val="auto"/>
                <w:highlight w:val="none"/>
                <w:lang w:val="en-US" w:eastAsia="zh-CN"/>
              </w:rPr>
            </w:pPr>
            <w:r>
              <w:rPr>
                <w:rFonts w:hint="eastAsia" w:cs="Times New Roman"/>
                <w:color w:val="auto"/>
                <w:highlight w:val="none"/>
                <w:u w:val="single"/>
                <w:lang w:val="en-US" w:eastAsia="zh-CN" w:bidi="ar"/>
              </w:rPr>
              <w:t>根据《临湘市“十四五”水利发展规划》，专栏1 水利发展重点项目：19、木形水库建设项目。根据《湖南省临湘市忠防镇木形水库新建工程项目环境影响报告书》：木形水库工程任务是：为防洪、农业灌溉为主，结合村镇供水。本项目以木形水库为供水水源，属于木形水库任务范畴，本项目建设有利于木形水库项目实施，与《临湘市“十四五”水利发展规划》是相符的</w:t>
            </w:r>
            <w:r>
              <w:rPr>
                <w:rFonts w:hint="default" w:ascii="Times New Roman" w:hAnsi="Times New Roman" w:cs="Times New Roman"/>
                <w:color w:val="auto"/>
                <w:highlight w:val="none"/>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21" w:hRule="atLeast"/>
        </w:trPr>
        <w:tc>
          <w:tcPr>
            <w:tcW w:w="622" w:type="pct"/>
            <w:vAlign w:val="center"/>
          </w:tcPr>
          <w:p>
            <w:pPr>
              <w:pStyle w:val="37"/>
              <w:widowControl w:val="0"/>
              <w:spacing w:line="360" w:lineRule="auto"/>
              <w:jc w:val="center"/>
              <w:rPr>
                <w:color w:val="auto"/>
                <w:highlight w:val="none"/>
              </w:rPr>
            </w:pPr>
            <w:r>
              <w:rPr>
                <w:rFonts w:hint="eastAsia" w:cs="Times New Roman"/>
                <w:color w:val="auto"/>
                <w:highlight w:val="none"/>
              </w:rPr>
              <w:t>其他符合性分析</w:t>
            </w:r>
          </w:p>
        </w:tc>
        <w:tc>
          <w:tcPr>
            <w:tcW w:w="4377" w:type="pct"/>
            <w:gridSpan w:val="3"/>
          </w:tcPr>
          <w:p>
            <w:pPr>
              <w:pStyle w:val="5"/>
              <w:widowControl w:val="0"/>
              <w:ind w:left="0" w:leftChars="0" w:firstLine="0" w:firstLineChars="0"/>
              <w:rPr>
                <w:b/>
                <w:bCs/>
                <w:color w:val="auto"/>
                <w:highlight w:val="none"/>
              </w:rPr>
            </w:pPr>
            <w:r>
              <w:rPr>
                <w:b/>
                <w:bCs/>
                <w:color w:val="auto"/>
                <w:highlight w:val="none"/>
              </w:rPr>
              <w:t>1</w:t>
            </w:r>
            <w:r>
              <w:rPr>
                <w:rFonts w:hint="eastAsia"/>
                <w:b/>
                <w:bCs/>
                <w:color w:val="auto"/>
                <w:highlight w:val="none"/>
              </w:rPr>
              <w:t>、产业政策符合性分析</w:t>
            </w:r>
          </w:p>
          <w:p>
            <w:pPr>
              <w:pStyle w:val="5"/>
              <w:widowControl w:val="0"/>
              <w:ind w:firstLine="480"/>
              <w:rPr>
                <w:color w:val="auto"/>
                <w:highlight w:val="none"/>
              </w:rPr>
            </w:pPr>
            <w:r>
              <w:rPr>
                <w:rFonts w:hint="eastAsia"/>
                <w:color w:val="auto"/>
                <w:highlight w:val="none"/>
              </w:rPr>
              <w:t>本项目属于</w:t>
            </w:r>
            <w:r>
              <w:rPr>
                <w:rFonts w:hint="eastAsia"/>
                <w:color w:val="auto"/>
                <w:highlight w:val="none"/>
                <w:lang w:bidi="zh-CN"/>
              </w:rPr>
              <w:t>“D4610 水的生产和供应”，</w:t>
            </w:r>
            <w:r>
              <w:rPr>
                <w:rFonts w:hint="eastAsia" w:cs="Times New Roman"/>
                <w:color w:val="auto"/>
                <w:spacing w:val="8"/>
                <w:highlight w:val="none"/>
              </w:rPr>
              <w:t>不属《产业结构调整指导目录</w:t>
            </w:r>
            <w:r>
              <w:rPr>
                <w:rFonts w:cs="Times New Roman"/>
                <w:color w:val="auto"/>
                <w:spacing w:val="8"/>
                <w:highlight w:val="none"/>
              </w:rPr>
              <w:t>(</w:t>
            </w:r>
            <w:r>
              <w:rPr>
                <w:rFonts w:hint="eastAsia" w:cs="Times New Roman"/>
                <w:color w:val="auto"/>
                <w:spacing w:val="8"/>
                <w:highlight w:val="none"/>
                <w:lang w:val="en-US" w:eastAsia="zh-CN"/>
              </w:rPr>
              <w:t>2024年版</w:t>
            </w:r>
            <w:r>
              <w:rPr>
                <w:rFonts w:cs="Times New Roman"/>
                <w:color w:val="auto"/>
                <w:spacing w:val="8"/>
                <w:highlight w:val="none"/>
              </w:rPr>
              <w:t>)</w:t>
            </w:r>
            <w:r>
              <w:rPr>
                <w:rFonts w:hint="eastAsia" w:cs="Times New Roman"/>
                <w:color w:val="auto"/>
                <w:spacing w:val="8"/>
                <w:highlight w:val="none"/>
              </w:rPr>
              <w:t>》中限制类、淘汰类和《市场准入负面清单（</w:t>
            </w:r>
            <w:r>
              <w:rPr>
                <w:rFonts w:cs="Times New Roman"/>
                <w:color w:val="auto"/>
                <w:spacing w:val="8"/>
                <w:highlight w:val="none"/>
              </w:rPr>
              <w:t>2022</w:t>
            </w:r>
            <w:r>
              <w:rPr>
                <w:rFonts w:hint="eastAsia" w:cs="Times New Roman"/>
                <w:color w:val="auto"/>
                <w:spacing w:val="8"/>
                <w:highlight w:val="none"/>
              </w:rPr>
              <w:t>年版）》中的禁止准入类项目，属于</w:t>
            </w:r>
            <w:r>
              <w:rPr>
                <w:rFonts w:hint="eastAsia" w:cs="Times New Roman"/>
                <w:color w:val="auto"/>
                <w:spacing w:val="8"/>
                <w:highlight w:val="none"/>
                <w:lang w:eastAsia="zh-CN"/>
              </w:rPr>
              <w:t>“</w:t>
            </w:r>
            <w:r>
              <w:rPr>
                <w:rFonts w:hint="eastAsia" w:cs="Times New Roman"/>
                <w:color w:val="auto"/>
                <w:spacing w:val="8"/>
                <w:highlight w:val="none"/>
                <w:lang w:val="en-US" w:eastAsia="zh-CN"/>
              </w:rPr>
              <w:t>二十二、城镇基础设施 2、市政基础设施、城镇供排水工程及相关设备生产</w:t>
            </w:r>
            <w:r>
              <w:rPr>
                <w:rFonts w:hint="eastAsia" w:cs="Times New Roman"/>
                <w:color w:val="auto"/>
                <w:spacing w:val="8"/>
                <w:highlight w:val="none"/>
                <w:lang w:eastAsia="zh-CN"/>
              </w:rPr>
              <w:t>”</w:t>
            </w:r>
            <w:r>
              <w:rPr>
                <w:rFonts w:hint="eastAsia" w:cs="Times New Roman"/>
                <w:color w:val="auto"/>
                <w:spacing w:val="8"/>
                <w:highlight w:val="none"/>
                <w:lang w:val="en-US" w:eastAsia="zh-CN"/>
              </w:rPr>
              <w:t>中的城镇供水工程</w:t>
            </w:r>
            <w:r>
              <w:rPr>
                <w:rFonts w:hint="eastAsia"/>
                <w:color w:val="auto"/>
                <w:highlight w:val="none"/>
              </w:rPr>
              <w:t>，</w:t>
            </w:r>
            <w:r>
              <w:rPr>
                <w:rFonts w:hint="eastAsia"/>
                <w:color w:val="auto"/>
                <w:highlight w:val="none"/>
                <w:lang w:val="en-US" w:eastAsia="zh-CN"/>
              </w:rPr>
              <w:t>为鼓励类项目，</w:t>
            </w:r>
            <w:r>
              <w:rPr>
                <w:rFonts w:hint="eastAsia"/>
                <w:color w:val="auto"/>
                <w:highlight w:val="none"/>
              </w:rPr>
              <w:t>符合国家产业政策</w:t>
            </w:r>
            <w:r>
              <w:rPr>
                <w:rFonts w:hint="eastAsia"/>
                <w:color w:val="auto"/>
                <w:highlight w:val="none"/>
                <w:lang w:val="en-US" w:eastAsia="zh-CN"/>
              </w:rPr>
              <w:t>要求</w:t>
            </w:r>
            <w:r>
              <w:rPr>
                <w:rFonts w:hint="eastAsia"/>
                <w:color w:val="auto"/>
                <w:highlight w:val="none"/>
              </w:rPr>
              <w:t>。</w:t>
            </w:r>
          </w:p>
          <w:p>
            <w:pPr>
              <w:pStyle w:val="5"/>
              <w:widowControl w:val="0"/>
              <w:ind w:left="0" w:leftChars="0" w:firstLine="0" w:firstLineChars="0"/>
              <w:rPr>
                <w:rFonts w:hint="default" w:eastAsia="宋体"/>
                <w:b/>
                <w:bCs/>
                <w:color w:val="auto"/>
                <w:highlight w:val="none"/>
                <w:lang w:val="en-US" w:eastAsia="zh-CN"/>
              </w:rPr>
            </w:pPr>
            <w:r>
              <w:rPr>
                <w:rFonts w:hint="eastAsia"/>
                <w:b/>
                <w:bCs/>
                <w:color w:val="auto"/>
                <w:highlight w:val="none"/>
                <w:lang w:val="en-US" w:eastAsia="zh-CN"/>
              </w:rPr>
              <w:t>2</w:t>
            </w:r>
            <w:r>
              <w:rPr>
                <w:rFonts w:hint="eastAsia"/>
                <w:b/>
                <w:bCs/>
                <w:color w:val="auto"/>
                <w:highlight w:val="none"/>
              </w:rPr>
              <w:t>、</w:t>
            </w:r>
            <w:r>
              <w:rPr>
                <w:rFonts w:hint="eastAsia"/>
                <w:b/>
                <w:bCs/>
                <w:color w:val="auto"/>
                <w:highlight w:val="none"/>
                <w:lang w:val="en-US" w:eastAsia="zh-CN"/>
              </w:rPr>
              <w:t>选址合理性分析</w:t>
            </w:r>
          </w:p>
          <w:p>
            <w:pPr>
              <w:pStyle w:val="5"/>
              <w:widowControl w:val="0"/>
              <w:ind w:firstLine="480"/>
              <w:rPr>
                <w:rFonts w:hint="default"/>
                <w:color w:val="auto"/>
                <w:highlight w:val="none"/>
                <w:lang w:val="en-US" w:eastAsia="zh-CN"/>
              </w:rPr>
            </w:pPr>
            <w:r>
              <w:rPr>
                <w:rFonts w:hint="eastAsia"/>
                <w:color w:val="auto"/>
                <w:highlight w:val="none"/>
                <w:lang w:val="en-US" w:eastAsia="zh-CN"/>
              </w:rPr>
              <w:t>（1）项目选址合理性分析</w:t>
            </w:r>
          </w:p>
          <w:p>
            <w:pPr>
              <w:pStyle w:val="5"/>
              <w:widowControl w:val="0"/>
              <w:ind w:firstLine="480"/>
              <w:rPr>
                <w:rFonts w:hint="eastAsia"/>
                <w:color w:val="auto"/>
                <w:highlight w:val="none"/>
                <w:lang w:val="en-US" w:eastAsia="zh-CN"/>
              </w:rPr>
            </w:pPr>
            <w:r>
              <w:rPr>
                <w:rFonts w:hint="eastAsia"/>
                <w:color w:val="auto"/>
                <w:highlight w:val="none"/>
                <w:lang w:val="en-US" w:eastAsia="zh-CN"/>
              </w:rPr>
              <w:t>根据临湘市自然资源局出具的《关于湖南省临湘市忠防镇木形片区集中供水工程（一期）项目建设用地预审与选址初审意见的报告》，项目所在地土地利用现状为农用地，未占用耕地，不涉及永久基本农田、生态保护红线以及自然保护区，因此本项目建设符合临湘市土地利用规划要求，项目选址合理。</w:t>
            </w:r>
          </w:p>
          <w:p>
            <w:pPr>
              <w:pStyle w:val="5"/>
              <w:widowControl w:val="0"/>
              <w:ind w:firstLine="480"/>
              <w:rPr>
                <w:rFonts w:hint="eastAsia" w:cs="Times New Roman"/>
                <w:color w:val="auto"/>
                <w:sz w:val="24"/>
                <w:szCs w:val="24"/>
                <w:highlight w:val="none"/>
                <w:vertAlign w:val="baseline"/>
                <w:lang w:val="en-US" w:eastAsia="zh-CN"/>
              </w:rPr>
            </w:pPr>
            <w:r>
              <w:rPr>
                <w:rFonts w:hint="eastAsia" w:cs="Times New Roman"/>
                <w:color w:val="auto"/>
                <w:sz w:val="24"/>
                <w:szCs w:val="24"/>
                <w:highlight w:val="none"/>
                <w:vertAlign w:val="baseline"/>
                <w:lang w:val="en-US" w:eastAsia="zh-CN"/>
              </w:rPr>
              <w:t>项目用水取自</w:t>
            </w:r>
            <w:r>
              <w:rPr>
                <w:rFonts w:hint="eastAsia" w:ascii="Times New Roman" w:hAnsi="Times New Roman" w:cs="Times New Roman"/>
                <w:color w:val="auto"/>
                <w:sz w:val="24"/>
                <w:szCs w:val="24"/>
                <w:highlight w:val="none"/>
                <w:vertAlign w:val="baseline"/>
                <w:lang w:val="en-US" w:eastAsia="zh-CN"/>
              </w:rPr>
              <w:t>木形水库</w:t>
            </w:r>
            <w:r>
              <w:rPr>
                <w:rFonts w:hint="eastAsia" w:cs="Times New Roman"/>
                <w:color w:val="auto"/>
                <w:sz w:val="24"/>
                <w:szCs w:val="24"/>
                <w:highlight w:val="none"/>
                <w:vertAlign w:val="baseline"/>
                <w:lang w:val="en-US" w:eastAsia="zh-CN"/>
              </w:rPr>
              <w:t>。木形水库及周边无运输有毒有害物质、油类、粪便的船舶和车辆进入，水库周边无排污口，无码头及船舶停靠；水库及水库周边未曾堆放过工业废渣、城市垃圾、粪便和其他废弃物，未设置油库，未从事过种植、放养禽畜及网箱养殖活动。项目选址合理。</w:t>
            </w:r>
          </w:p>
          <w:p>
            <w:pPr>
              <w:pStyle w:val="5"/>
              <w:widowControl w:val="0"/>
              <w:ind w:firstLine="480"/>
              <w:rPr>
                <w:rFonts w:hint="default" w:cs="Times New Roman"/>
                <w:color w:val="auto"/>
                <w:sz w:val="24"/>
                <w:szCs w:val="24"/>
                <w:highlight w:val="none"/>
                <w:vertAlign w:val="baseline"/>
                <w:lang w:val="en-US" w:eastAsia="zh-CN"/>
              </w:rPr>
            </w:pPr>
            <w:r>
              <w:rPr>
                <w:rFonts w:hint="eastAsia" w:cs="Times New Roman"/>
                <w:color w:val="auto"/>
                <w:sz w:val="24"/>
                <w:szCs w:val="24"/>
                <w:highlight w:val="none"/>
                <w:vertAlign w:val="baseline"/>
                <w:lang w:val="en-US" w:eastAsia="zh-CN"/>
              </w:rPr>
              <w:t>本评价要求项目水厂及管理区建设整体地势要低于木形水库地势，且不得建设在水库集水面积内。</w:t>
            </w:r>
          </w:p>
          <w:p>
            <w:pPr>
              <w:pStyle w:val="5"/>
              <w:widowControl w:val="0"/>
              <w:ind w:firstLine="480"/>
              <w:rPr>
                <w:rFonts w:hint="default" w:cs="Times New Roman"/>
                <w:color w:val="auto"/>
                <w:sz w:val="24"/>
                <w:szCs w:val="24"/>
                <w:highlight w:val="none"/>
                <w:vertAlign w:val="baseline"/>
                <w:lang w:val="en-US" w:eastAsia="zh-CN"/>
              </w:rPr>
            </w:pPr>
            <w:r>
              <w:rPr>
                <w:rFonts w:hint="eastAsia" w:cs="Times New Roman"/>
                <w:color w:val="auto"/>
                <w:sz w:val="24"/>
                <w:szCs w:val="24"/>
                <w:highlight w:val="none"/>
                <w:vertAlign w:val="baseline"/>
                <w:lang w:val="en-US" w:eastAsia="zh-CN"/>
              </w:rPr>
              <w:t>项目新建供水管线350m，沿木形水库下游左侧山体布置。木形村原有供水管网长度约1800m，沿村庄道路分布。本项目新建供水管线沿左侧山体延伸至村庄主干道，与木形村原有供水管线连接，可以有效减少施工建设周期以及建设成本，项目管线设置合理。</w:t>
            </w:r>
          </w:p>
          <w:p>
            <w:pPr>
              <w:pStyle w:val="5"/>
              <w:widowControl w:val="0"/>
              <w:ind w:firstLine="480"/>
              <w:rPr>
                <w:rFonts w:hint="default" w:ascii="Times New Roman" w:hAnsi="Times New Roman" w:cs="Times New Roman"/>
                <w:color w:val="auto"/>
                <w:sz w:val="24"/>
                <w:szCs w:val="24"/>
                <w:highlight w:val="none"/>
                <w:vertAlign w:val="baseline"/>
                <w:lang w:val="en-US" w:eastAsia="zh-CN"/>
              </w:rPr>
            </w:pPr>
            <w:r>
              <w:rPr>
                <w:rFonts w:hint="eastAsia" w:ascii="Times New Roman" w:hAnsi="Times New Roman" w:cs="Times New Roman"/>
                <w:color w:val="auto"/>
                <w:sz w:val="24"/>
                <w:szCs w:val="24"/>
                <w:highlight w:val="none"/>
                <w:vertAlign w:val="baseline"/>
                <w:lang w:val="en-US" w:eastAsia="zh-CN"/>
              </w:rPr>
              <w:t>木形水库暂未划分饮用水水源保护区，临湘市水利局已出具木形水库作为千人以上饮用水水源地意见，（附件12），忠防镇人民政府、岳阳市生态环境局临湘分局已向岳阳市生态环境局申请木形水库划定饮用水水源地保护区（附件 11、附件 13），饮用水水源地名录申报及保护区划定工作正在有序推进；</w:t>
            </w:r>
            <w:r>
              <w:rPr>
                <w:rFonts w:hint="eastAsia" w:cs="Times New Roman"/>
                <w:color w:val="auto"/>
                <w:sz w:val="24"/>
                <w:szCs w:val="24"/>
                <w:highlight w:val="none"/>
                <w:vertAlign w:val="baseline"/>
                <w:lang w:val="en-US" w:eastAsia="zh-CN"/>
              </w:rPr>
              <w:t>本评价要求在木形水库划分为饮用水水源保护区之前，禁止向村民供水；同时要求建设单位按饮用水水源保护区要求采取相应保护措施：禁止一切破坏水环境生态平衡的活动以及破坏水源林、护岸林、与水源保护相关植被的活动；禁止向水域倾倒工业废渣、城市垃圾、粪便及其它废弃物；禁止使用剧毒和高残留农药，不得滥用化肥，不得使用炸药、毒品捕杀鱼类等。</w:t>
            </w:r>
          </w:p>
          <w:p>
            <w:pPr>
              <w:pStyle w:val="5"/>
              <w:widowControl w:val="0"/>
              <w:ind w:firstLine="480"/>
              <w:rPr>
                <w:rFonts w:hint="default"/>
                <w:color w:val="auto"/>
                <w:highlight w:val="none"/>
                <w:u w:val="single"/>
                <w:lang w:val="en-US" w:eastAsia="zh-CN"/>
              </w:rPr>
            </w:pPr>
            <w:r>
              <w:rPr>
                <w:rFonts w:hint="eastAsia"/>
                <w:color w:val="auto"/>
                <w:highlight w:val="none"/>
                <w:u w:val="single"/>
                <w:lang w:val="en-US" w:eastAsia="zh-CN"/>
              </w:rPr>
              <w:t>本项目管理区位于木形水库大坝左坝肩，整体地势略低于木形水库大坝地势。当水库水位超正常蓄水位 130.19m，水库便会开始泄洪，涨洪时，基本不会对管理区造成影响。本项目管理区选址合理。</w:t>
            </w:r>
          </w:p>
          <w:p>
            <w:pPr>
              <w:pStyle w:val="5"/>
              <w:widowControl w:val="0"/>
              <w:numPr>
                <w:ilvl w:val="0"/>
                <w:numId w:val="3"/>
              </w:numPr>
              <w:ind w:firstLine="480"/>
              <w:rPr>
                <w:rFonts w:hint="eastAsia"/>
                <w:color w:val="auto"/>
                <w:highlight w:val="none"/>
                <w:u w:val="single"/>
                <w:lang w:val="en-US" w:eastAsia="zh-CN"/>
              </w:rPr>
            </w:pPr>
            <w:r>
              <w:rPr>
                <w:rFonts w:hint="eastAsia"/>
                <w:color w:val="auto"/>
                <w:highlight w:val="none"/>
                <w:u w:val="single"/>
                <w:lang w:val="en-US" w:eastAsia="zh-CN"/>
              </w:rPr>
              <w:t>取水口设置合理性分析</w:t>
            </w:r>
          </w:p>
          <w:p>
            <w:pPr>
              <w:pStyle w:val="5"/>
              <w:widowControl w:val="0"/>
              <w:ind w:firstLine="480"/>
              <w:rPr>
                <w:rFonts w:hint="eastAsia"/>
                <w:color w:val="auto"/>
                <w:highlight w:val="none"/>
                <w:u w:val="single"/>
                <w:vertAlign w:val="baseline"/>
                <w:lang w:val="en-US" w:bidi="zh-CN"/>
              </w:rPr>
            </w:pPr>
            <w:r>
              <w:rPr>
                <w:rFonts w:hint="eastAsia"/>
                <w:color w:val="auto"/>
                <w:highlight w:val="none"/>
                <w:u w:val="single"/>
                <w:lang w:val="en-US" w:eastAsia="zh-CN"/>
              </w:rPr>
              <w:t>本项目取水口设置位于木形水库左坝肩，取水方式采用浮筒泵取水，取水设施不产生污染；根据湖南省临湘市水利建设项目管理中心提供的水质检测报告，木形水库水质符合《地表水环境质量标准》（GB3838-2002）中</w:t>
            </w:r>
            <w:r>
              <w:rPr>
                <w:rFonts w:hint="default" w:ascii="Times New Roman" w:hAnsi="Times New Roman" w:cs="Times New Roman"/>
                <w:color w:val="auto"/>
                <w:highlight w:val="none"/>
                <w:u w:val="single"/>
                <w:lang w:val="en-US" w:eastAsia="zh-CN"/>
              </w:rPr>
              <w:t>Ⅱ</w:t>
            </w:r>
            <w:r>
              <w:rPr>
                <w:rFonts w:hint="eastAsia"/>
                <w:color w:val="auto"/>
                <w:highlight w:val="none"/>
                <w:u w:val="single"/>
                <w:lang w:val="en-US" w:eastAsia="zh-CN"/>
              </w:rPr>
              <w:t>类标准要求（地表水饮用水水源地，总氮指标不参与评价）；根据建设单位提供的项目水资源论证报告：木形水库正常蓄水位为129m，相应库容为85.6万m</w:t>
            </w:r>
            <w:r>
              <w:rPr>
                <w:rFonts w:hint="eastAsia"/>
                <w:color w:val="auto"/>
                <w:highlight w:val="none"/>
                <w:u w:val="single"/>
                <w:vertAlign w:val="superscript"/>
                <w:lang w:val="en-US" w:eastAsia="zh-CN"/>
              </w:rPr>
              <w:t>3</w:t>
            </w:r>
            <w:r>
              <w:rPr>
                <w:rFonts w:hint="eastAsia"/>
                <w:color w:val="auto"/>
                <w:highlight w:val="none"/>
                <w:u w:val="single"/>
                <w:lang w:val="en-US" w:eastAsia="zh-CN"/>
              </w:rPr>
              <w:t>；水库</w:t>
            </w:r>
            <w:r>
              <w:rPr>
                <w:rFonts w:hint="eastAsia"/>
                <w:color w:val="auto"/>
                <w:highlight w:val="none"/>
                <w:u w:val="single"/>
                <w:lang w:val="en-US" w:eastAsia="zh-CN"/>
              </w:rPr>
              <w:t>库容为83.3万m³，总库容为94.5万m³。本项目设计供水规模为960m</w:t>
            </w:r>
            <w:r>
              <w:rPr>
                <w:rFonts w:hint="eastAsia"/>
                <w:color w:val="auto"/>
                <w:highlight w:val="none"/>
                <w:u w:val="single"/>
                <w:vertAlign w:val="superscript"/>
                <w:lang w:val="en-US" w:eastAsia="zh-CN"/>
              </w:rPr>
              <w:t>3</w:t>
            </w:r>
            <w:r>
              <w:rPr>
                <w:rFonts w:hint="eastAsia"/>
                <w:color w:val="auto"/>
                <w:highlight w:val="none"/>
                <w:u w:val="single"/>
                <w:vertAlign w:val="baseline"/>
                <w:lang w:val="en-US" w:eastAsia="zh-CN"/>
              </w:rPr>
              <w:t>/d，</w:t>
            </w:r>
            <w:r>
              <w:rPr>
                <w:rFonts w:hint="eastAsia"/>
                <w:color w:val="auto"/>
                <w:highlight w:val="none"/>
                <w:u w:val="single"/>
                <w:vertAlign w:val="baseline"/>
                <w:lang w:val="en-US" w:bidi="zh-CN"/>
              </w:rPr>
              <w:t>月供水量为3.07万m</w:t>
            </w:r>
            <w:r>
              <w:rPr>
                <w:rFonts w:hint="eastAsia"/>
                <w:color w:val="auto"/>
                <w:highlight w:val="none"/>
                <w:u w:val="single"/>
                <w:vertAlign w:val="superscript"/>
                <w:lang w:val="en-US" w:bidi="zh-CN"/>
              </w:rPr>
              <w:t>3</w:t>
            </w:r>
            <w:r>
              <w:rPr>
                <w:rFonts w:hint="eastAsia"/>
                <w:color w:val="auto"/>
                <w:highlight w:val="none"/>
                <w:u w:val="single"/>
                <w:vertAlign w:val="baseline"/>
                <w:lang w:val="en-US" w:bidi="zh-CN"/>
              </w:rPr>
              <w:t>，年供水量为36.89万m</w:t>
            </w:r>
            <w:r>
              <w:rPr>
                <w:rFonts w:hint="eastAsia"/>
                <w:color w:val="auto"/>
                <w:highlight w:val="none"/>
                <w:u w:val="single"/>
                <w:vertAlign w:val="superscript"/>
                <w:lang w:val="en-US" w:bidi="zh-CN"/>
              </w:rPr>
              <w:t>3</w:t>
            </w:r>
            <w:r>
              <w:rPr>
                <w:rFonts w:hint="eastAsia"/>
                <w:color w:val="auto"/>
                <w:highlight w:val="none"/>
                <w:u w:val="single"/>
                <w:vertAlign w:val="baseline"/>
                <w:lang w:val="en-US" w:bidi="zh-CN"/>
              </w:rPr>
              <w:t>，木形水库库容能满足本项目水量要求。</w:t>
            </w:r>
          </w:p>
          <w:p>
            <w:pPr>
              <w:pStyle w:val="5"/>
              <w:widowControl w:val="0"/>
              <w:ind w:firstLine="480"/>
              <w:rPr>
                <w:rFonts w:hint="eastAsia"/>
                <w:color w:val="auto"/>
                <w:highlight w:val="none"/>
                <w:u w:val="single"/>
                <w:vertAlign w:val="baseline"/>
                <w:lang w:val="en-US" w:bidi="zh-CN"/>
              </w:rPr>
            </w:pPr>
            <w:r>
              <w:rPr>
                <w:rFonts w:hint="eastAsia"/>
                <w:color w:val="auto"/>
                <w:highlight w:val="none"/>
                <w:u w:val="single"/>
                <w:vertAlign w:val="baseline"/>
                <w:lang w:val="en-US" w:bidi="zh-CN"/>
              </w:rPr>
              <w:t>因此，从取水方式、水源水质、水量等方面考虑，项目取水口位置设施是合理的。</w:t>
            </w:r>
          </w:p>
          <w:p>
            <w:pPr>
              <w:pStyle w:val="5"/>
              <w:widowControl w:val="0"/>
              <w:ind w:firstLine="480"/>
              <w:rPr>
                <w:rFonts w:hint="eastAsia"/>
                <w:color w:val="auto"/>
                <w:highlight w:val="none"/>
                <w:u w:val="single"/>
                <w:vertAlign w:val="baseline"/>
                <w:lang w:val="en-US" w:bidi="zh-CN"/>
              </w:rPr>
            </w:pPr>
            <w:r>
              <w:rPr>
                <w:rFonts w:hint="eastAsia"/>
                <w:color w:val="auto"/>
                <w:highlight w:val="none"/>
                <w:u w:val="single"/>
                <w:vertAlign w:val="baseline"/>
                <w:lang w:val="en-US" w:bidi="zh-CN"/>
              </w:rPr>
              <w:t>（3）水厂选址与饮用水水源地相符性分析</w:t>
            </w:r>
          </w:p>
          <w:p>
            <w:pPr>
              <w:pStyle w:val="5"/>
              <w:widowControl w:val="0"/>
              <w:ind w:firstLine="480"/>
              <w:rPr>
                <w:rFonts w:hint="default"/>
                <w:b/>
                <w:bCs/>
                <w:color w:val="auto"/>
                <w:highlight w:val="none"/>
                <w:u w:val="single"/>
                <w:vertAlign w:val="baseline"/>
                <w:lang w:val="en-US" w:eastAsia="zh-CN" w:bidi="zh-CN"/>
              </w:rPr>
            </w:pPr>
            <w:r>
              <w:rPr>
                <w:rFonts w:hint="eastAsia"/>
                <w:color w:val="auto"/>
                <w:highlight w:val="none"/>
                <w:u w:val="single"/>
                <w:vertAlign w:val="baseline"/>
                <w:lang w:val="en-US" w:eastAsia="zh-CN" w:bidi="zh-CN"/>
              </w:rPr>
              <w:t>本工程水厂选址位于木形水库左坝肩，中心坐标</w:t>
            </w:r>
            <w:r>
              <w:rPr>
                <w:rFonts w:hint="eastAsia"/>
                <w:color w:val="auto"/>
                <w:highlight w:val="none"/>
                <w:u w:val="single"/>
                <w:lang w:val="en-US" w:eastAsia="zh-CN"/>
              </w:rPr>
              <w:t xml:space="preserve"> 113</w:t>
            </w:r>
            <w:r>
              <w:rPr>
                <w:rFonts w:hint="default" w:ascii="Times New Roman" w:hAnsi="Times New Roman" w:cs="Times New Roman"/>
                <w:color w:val="auto"/>
                <w:highlight w:val="none"/>
                <w:u w:val="single"/>
                <w:lang w:val="en-US" w:eastAsia="zh-CN"/>
              </w:rPr>
              <w:t>°</w:t>
            </w:r>
            <w:r>
              <w:rPr>
                <w:rFonts w:hint="eastAsia"/>
                <w:color w:val="auto"/>
                <w:highlight w:val="none"/>
                <w:u w:val="single"/>
                <w:lang w:val="en-US" w:eastAsia="zh-CN"/>
              </w:rPr>
              <w:t>31′49.624″,29°22′50.518″。临湘市水利局已出具木形水库作为千人以上饮用水水源地意见，（附件12），忠防镇人民政府、岳阳市生态环境局临湘分局已向岳阳市生态环境局申请木形水库划定饮用水水源地保护区（附件 11、附件 13），饮用水水源地名录申报及保护区划定工作正在有序推进。根据《饮用水水源保护区污染防治管理规定》中第十二条：一、一级保护区内禁止新建、扩建与供水设施和保护水源无关的建设项目，本项目为供水工程建设，符合《饮用水水源保护区污染防治管理规定》要求，且本评价要求水厂建设整体地势均低于木形水库两岸地势，水厂四周修建围墙及排水沟，确保厂内污染物不会进入水库中。</w:t>
            </w:r>
          </w:p>
          <w:p>
            <w:pPr>
              <w:pStyle w:val="5"/>
              <w:widowControl w:val="0"/>
              <w:ind w:left="0" w:leftChars="0" w:firstLine="0" w:firstLineChars="0"/>
              <w:rPr>
                <w:rFonts w:hint="default"/>
                <w:b/>
                <w:bCs/>
                <w:color w:val="auto"/>
                <w:highlight w:val="none"/>
                <w:u w:val="single"/>
                <w:lang w:val="en-US" w:eastAsia="zh-CN"/>
              </w:rPr>
            </w:pPr>
            <w:r>
              <w:rPr>
                <w:rFonts w:hint="eastAsia"/>
                <w:b/>
                <w:bCs/>
                <w:color w:val="auto"/>
                <w:highlight w:val="none"/>
                <w:u w:val="single"/>
                <w:lang w:val="en-US" w:eastAsia="zh-CN"/>
              </w:rPr>
              <w:t>3、与《湖南省临湘市忠防镇木形水库新建工程项目环境影响报告书》及批复符合性分析</w:t>
            </w:r>
          </w:p>
          <w:p>
            <w:pPr>
              <w:pStyle w:val="5"/>
              <w:widowControl w:val="0"/>
              <w:ind w:firstLine="480"/>
              <w:rPr>
                <w:rFonts w:hint="default"/>
                <w:color w:val="auto"/>
                <w:highlight w:val="none"/>
                <w:u w:val="single"/>
                <w:lang w:val="en-US" w:eastAsia="zh-CN"/>
              </w:rPr>
            </w:pPr>
            <w:r>
              <w:rPr>
                <w:rFonts w:hint="eastAsia"/>
                <w:color w:val="auto"/>
                <w:highlight w:val="none"/>
                <w:u w:val="single"/>
                <w:lang w:val="en-US" w:eastAsia="zh-CN"/>
              </w:rPr>
              <w:t>根据《湖南省临湘市忠防镇木形水库新建工程项目环境影响报告书》，木形水库的开发任务是：为防洪、农业灌溉为主，结合村镇供水。农业灌溉范围是水库周边的忠防村、木形村、双岗村等3个村，改善灌溉面积2000亩农田，村镇供水范围是新田村、木形村等涉及居民。防洪对象主要为木形村。</w:t>
            </w:r>
          </w:p>
          <w:p>
            <w:pPr>
              <w:pStyle w:val="5"/>
              <w:widowControl w:val="0"/>
              <w:ind w:firstLine="480"/>
              <w:rPr>
                <w:rFonts w:hint="eastAsia"/>
                <w:color w:val="auto"/>
                <w:highlight w:val="none"/>
                <w:u w:val="single"/>
                <w:lang w:val="en-US" w:eastAsia="zh-CN"/>
              </w:rPr>
            </w:pPr>
            <w:r>
              <w:rPr>
                <w:rFonts w:hint="eastAsia"/>
                <w:color w:val="auto"/>
                <w:highlight w:val="none"/>
                <w:u w:val="single"/>
                <w:lang w:val="en-US" w:eastAsia="zh-CN"/>
              </w:rPr>
              <w:t>根据《湖南省临湘市忠防镇木形水库新建工程项目环境影响报告书的批复》（附件8）：木形水库工程库区覆盖良好，水质较好，适宜于生活用水及农业灌溉。</w:t>
            </w:r>
          </w:p>
          <w:p>
            <w:pPr>
              <w:pStyle w:val="5"/>
              <w:widowControl w:val="0"/>
              <w:ind w:firstLine="480"/>
              <w:rPr>
                <w:rFonts w:hint="default"/>
                <w:color w:val="auto"/>
                <w:highlight w:val="none"/>
                <w:u w:val="single"/>
                <w:lang w:val="en-US" w:eastAsia="zh-CN"/>
              </w:rPr>
            </w:pPr>
            <w:r>
              <w:rPr>
                <w:rFonts w:hint="eastAsia"/>
                <w:color w:val="auto"/>
                <w:highlight w:val="none"/>
                <w:u w:val="single"/>
                <w:lang w:val="en-US" w:eastAsia="zh-CN"/>
              </w:rPr>
              <w:t>本项目用水取自木形水库，取水经混凝、沉淀、过滤、消毒后供给于木形村村民生活用水。本项目建设符合《湖南省临湘市忠防镇木形水库新建工程项目环境影响报告书》及批复要求。</w:t>
            </w:r>
          </w:p>
          <w:p>
            <w:pPr>
              <w:pStyle w:val="5"/>
              <w:widowControl w:val="0"/>
              <w:ind w:left="0" w:leftChars="0" w:firstLine="0" w:firstLineChars="0"/>
              <w:rPr>
                <w:b/>
                <w:bCs/>
                <w:color w:val="auto"/>
                <w:highlight w:val="none"/>
              </w:rPr>
            </w:pPr>
            <w:r>
              <w:rPr>
                <w:rFonts w:hint="eastAsia"/>
                <w:b/>
                <w:bCs/>
                <w:color w:val="auto"/>
                <w:highlight w:val="none"/>
                <w:lang w:val="en-US" w:eastAsia="zh-CN"/>
              </w:rPr>
              <w:t>4、</w:t>
            </w:r>
            <w:r>
              <w:rPr>
                <w:rFonts w:hint="eastAsia"/>
                <w:b/>
                <w:bCs/>
                <w:color w:val="auto"/>
                <w:highlight w:val="none"/>
              </w:rPr>
              <w:t>“三线一单”符合性分析</w:t>
            </w:r>
          </w:p>
          <w:p>
            <w:pPr>
              <w:pStyle w:val="5"/>
              <w:widowControl w:val="0"/>
              <w:ind w:firstLine="482"/>
              <w:rPr>
                <w:b/>
                <w:bCs/>
                <w:color w:val="auto"/>
                <w:highlight w:val="none"/>
              </w:rPr>
            </w:pPr>
            <w:r>
              <w:rPr>
                <w:b/>
                <w:bCs/>
                <w:color w:val="auto"/>
                <w:highlight w:val="none"/>
              </w:rPr>
              <w:t>（1）生态红线</w:t>
            </w:r>
          </w:p>
          <w:p>
            <w:pPr>
              <w:pStyle w:val="5"/>
              <w:widowControl w:val="0"/>
              <w:ind w:firstLine="480"/>
              <w:rPr>
                <w:rFonts w:cs="Times New Roman"/>
                <w:color w:val="auto"/>
                <w:highlight w:val="none"/>
              </w:rPr>
            </w:pPr>
            <w:r>
              <w:rPr>
                <w:rFonts w:hint="eastAsia" w:cs="Times New Roman"/>
                <w:color w:val="auto"/>
                <w:highlight w:val="none"/>
                <w:lang w:val="en-US" w:eastAsia="zh-CN"/>
              </w:rPr>
              <w:t>本项目位于</w:t>
            </w:r>
            <w:r>
              <w:rPr>
                <w:rFonts w:hint="eastAsia" w:cs="Times New Roman"/>
                <w:color w:val="auto"/>
                <w:highlight w:val="none"/>
              </w:rPr>
              <w:t>临湘市忠防镇木形村</w:t>
            </w:r>
            <w:r>
              <w:rPr>
                <w:rFonts w:hint="eastAsia" w:cs="Times New Roman"/>
                <w:color w:val="auto"/>
                <w:highlight w:val="none"/>
                <w:lang w:eastAsia="zh-CN"/>
              </w:rPr>
              <w:t>。</w:t>
            </w:r>
            <w:r>
              <w:rPr>
                <w:rFonts w:hint="eastAsia" w:cs="Times New Roman"/>
                <w:color w:val="auto"/>
                <w:highlight w:val="none"/>
                <w:lang w:val="en-US" w:eastAsia="zh-CN"/>
              </w:rPr>
              <w:t>根据临湘市自然资源局出具的《关于湖南省临湘市忠防镇木形片区集中供水工程（一期）项目建设用地预审与选址初审意见的报告》，项目所在地不涉及生态保护红线</w:t>
            </w:r>
            <w:r>
              <w:rPr>
                <w:rFonts w:hint="eastAsia" w:cs="Times New Roman"/>
                <w:color w:val="auto"/>
                <w:highlight w:val="none"/>
              </w:rPr>
              <w:t>。</w:t>
            </w:r>
          </w:p>
          <w:p>
            <w:pPr>
              <w:pStyle w:val="5"/>
              <w:widowControl w:val="0"/>
              <w:ind w:firstLine="482"/>
              <w:rPr>
                <w:rFonts w:cs="Times New Roman"/>
                <w:b/>
                <w:color w:val="auto"/>
                <w:highlight w:val="none"/>
              </w:rPr>
            </w:pPr>
            <w:r>
              <w:rPr>
                <w:rFonts w:cs="Times New Roman"/>
                <w:b/>
                <w:color w:val="auto"/>
                <w:highlight w:val="none"/>
              </w:rPr>
              <w:t>（2）与环境质量底线相符性分析</w:t>
            </w:r>
          </w:p>
          <w:p>
            <w:pPr>
              <w:pStyle w:val="5"/>
              <w:widowControl w:val="0"/>
              <w:ind w:firstLine="480"/>
              <w:rPr>
                <w:rFonts w:hint="eastAsia" w:eastAsia="宋体" w:cs="Times New Roman"/>
                <w:color w:val="auto"/>
                <w:highlight w:val="none"/>
                <w:lang w:eastAsia="zh-CN"/>
              </w:rPr>
            </w:pPr>
            <w:r>
              <w:rPr>
                <w:rFonts w:hint="default" w:ascii="Times New Roman" w:hAnsi="Times New Roman" w:cs="Times New Roman"/>
                <w:color w:val="auto"/>
                <w:highlight w:val="none"/>
                <w:lang w:val="en-US" w:eastAsia="zh-CN"/>
              </w:rPr>
              <w:t>本项目位于临湘市忠防镇木形村，</w:t>
            </w:r>
            <w:r>
              <w:rPr>
                <w:rFonts w:hint="default" w:ascii="Times New Roman" w:hAnsi="Times New Roman" w:cs="Times New Roman"/>
                <w:color w:val="auto"/>
                <w:highlight w:val="none"/>
              </w:rPr>
              <w:t>根据临湘市环境空气现状监测统计结果，临湘市为</w:t>
            </w:r>
            <w:r>
              <w:rPr>
                <w:rFonts w:hint="eastAsia" w:ascii="Times New Roman" w:hAnsi="Times New Roman" w:cs="Times New Roman"/>
                <w:color w:val="auto"/>
                <w:highlight w:val="none"/>
                <w:lang w:val="en-US" w:eastAsia="zh-CN"/>
              </w:rPr>
              <w:t>环境空气质量</w:t>
            </w:r>
            <w:r>
              <w:rPr>
                <w:rFonts w:hint="default" w:ascii="Times New Roman" w:hAnsi="Times New Roman" w:cs="Times New Roman"/>
                <w:color w:val="auto"/>
                <w:highlight w:val="none"/>
              </w:rPr>
              <w:t>达标区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根据湖南省临湘市水利建设项目管理中心提供的水质检测报告，木形水库水质符合《地表水环境质量标准》（GB3838-2002）中Ⅱ类标准要求（地表水饮用水水源地，总氮指标不参与评价）</w:t>
            </w:r>
            <w:r>
              <w:rPr>
                <w:rFonts w:hint="eastAsia"/>
                <w:color w:val="auto"/>
                <w:highlight w:val="none"/>
                <w:lang w:val="en-US" w:eastAsia="zh-CN"/>
              </w:rPr>
              <w:t>；评价区域内声环境执行《声环境质量标准》（GB3096-2008）中的2类标准。</w:t>
            </w:r>
            <w:r>
              <w:rPr>
                <w:rFonts w:hint="eastAsia" w:cs="Times New Roman"/>
                <w:color w:val="auto"/>
                <w:highlight w:val="none"/>
              </w:rPr>
              <w:t>建设单位在加强企业环境管理并落实本评价要求的各项环保措施的情况下，本项目废水、废气、固废均得到合理处置，噪声经隔声、减震、衰减降噪后对周边环境影响较小，不会突破项目所在地的环境质量底线。因此，本项目的建设符合环境质量底线标准。</w:t>
            </w:r>
          </w:p>
          <w:p>
            <w:pPr>
              <w:pStyle w:val="5"/>
              <w:widowControl w:val="0"/>
              <w:ind w:firstLine="482"/>
              <w:rPr>
                <w:rFonts w:cs="Times New Roman"/>
                <w:b/>
                <w:color w:val="auto"/>
                <w:highlight w:val="none"/>
              </w:rPr>
            </w:pPr>
            <w:r>
              <w:rPr>
                <w:rFonts w:cs="Times New Roman"/>
                <w:b/>
                <w:color w:val="auto"/>
                <w:highlight w:val="none"/>
              </w:rPr>
              <w:t>（3）与资源利用上线相符性分析</w:t>
            </w:r>
          </w:p>
          <w:p>
            <w:pPr>
              <w:pStyle w:val="5"/>
              <w:widowControl w:val="0"/>
              <w:ind w:firstLine="480"/>
              <w:rPr>
                <w:color w:val="auto"/>
                <w:highlight w:val="none"/>
              </w:rPr>
            </w:pPr>
            <w:r>
              <w:rPr>
                <w:rFonts w:hint="eastAsia"/>
                <w:color w:val="auto"/>
                <w:highlight w:val="none"/>
              </w:rPr>
              <w:t>项目运营过程中消耗一定量的水和电等，区域内水环境质量较好且水源充足，生活用水使用自来水，能源主要依托当地电网供电。本项目消耗的原料、能源、水较小，不会突破地区能源、水等资源消耗上线，符合资源利用上线的要求。</w:t>
            </w:r>
          </w:p>
          <w:p>
            <w:pPr>
              <w:pStyle w:val="5"/>
              <w:widowControl w:val="0"/>
              <w:ind w:firstLine="482"/>
              <w:rPr>
                <w:rFonts w:cs="Times New Roman"/>
                <w:b/>
                <w:color w:val="auto"/>
                <w:highlight w:val="none"/>
              </w:rPr>
            </w:pPr>
            <w:r>
              <w:rPr>
                <w:rFonts w:cs="Times New Roman"/>
                <w:b/>
                <w:color w:val="auto"/>
                <w:highlight w:val="none"/>
              </w:rPr>
              <w:t>（4）与</w:t>
            </w:r>
            <w:r>
              <w:rPr>
                <w:rFonts w:hint="eastAsia" w:cs="Times New Roman"/>
                <w:b/>
                <w:color w:val="auto"/>
                <w:highlight w:val="none"/>
                <w:lang w:val="en-US" w:eastAsia="zh-CN"/>
              </w:rPr>
              <w:t>岳阳市</w:t>
            </w:r>
            <w:r>
              <w:rPr>
                <w:rFonts w:hint="eastAsia" w:cs="Times New Roman"/>
                <w:b/>
                <w:color w:val="auto"/>
                <w:highlight w:val="none"/>
              </w:rPr>
              <w:t>生态环境准入清单</w:t>
            </w:r>
            <w:r>
              <w:rPr>
                <w:rFonts w:cs="Times New Roman"/>
                <w:b/>
                <w:color w:val="auto"/>
                <w:highlight w:val="none"/>
              </w:rPr>
              <w:t>相符性分析</w:t>
            </w:r>
          </w:p>
          <w:p>
            <w:pPr>
              <w:pStyle w:val="5"/>
              <w:widowControl w:val="0"/>
              <w:ind w:firstLine="472"/>
              <w:rPr>
                <w:rFonts w:cs="Times New Roman"/>
                <w:color w:val="auto"/>
                <w:spacing w:val="-2"/>
                <w:kern w:val="2"/>
                <w:position w:val="-6"/>
                <w:highlight w:val="none"/>
                <w:lang w:bidi="ar"/>
              </w:rPr>
            </w:pPr>
            <w:r>
              <w:rPr>
                <w:rFonts w:hint="eastAsia" w:cs="Times New Roman"/>
                <w:color w:val="auto"/>
                <w:spacing w:val="-2"/>
                <w:kern w:val="2"/>
                <w:position w:val="-6"/>
                <w:highlight w:val="none"/>
                <w:lang w:bidi="ar"/>
              </w:rPr>
              <w:t>2021年2月，岳阳市人民政府发布了《岳阳市“三线一单”生态环境分区管控的意见》（岳政发【2021】2号）</w:t>
            </w:r>
            <w:r>
              <w:rPr>
                <w:rFonts w:hint="eastAsia" w:cs="Times New Roman"/>
                <w:color w:val="auto"/>
                <w:spacing w:val="-2"/>
                <w:kern w:val="2"/>
                <w:position w:val="-6"/>
                <w:highlight w:val="none"/>
                <w:lang w:eastAsia="zh-CN" w:bidi="ar"/>
              </w:rPr>
              <w:t>，</w:t>
            </w:r>
            <w:r>
              <w:rPr>
                <w:rFonts w:hint="eastAsia" w:cs="Times New Roman"/>
                <w:color w:val="auto"/>
                <w:spacing w:val="-2"/>
                <w:kern w:val="2"/>
                <w:position w:val="-6"/>
                <w:highlight w:val="none"/>
                <w:lang w:val="en-US" w:eastAsia="zh-CN" w:bidi="ar"/>
              </w:rPr>
              <w:t>本项目位于临湘市忠防镇，属于重点管控单元（管控单元名称：桃矿街道/桃林镇/五里牌街道/长安街道/忠防镇，环境管控单元编码：ZH43068220002）</w:t>
            </w:r>
            <w:r>
              <w:rPr>
                <w:rFonts w:hint="eastAsia" w:cs="Times New Roman"/>
                <w:color w:val="auto"/>
                <w:spacing w:val="-2"/>
                <w:kern w:val="2"/>
                <w:position w:val="-6"/>
                <w:highlight w:val="none"/>
                <w:lang w:bidi="ar"/>
              </w:rPr>
              <w:t>。具体符合性分析如下：</w:t>
            </w:r>
          </w:p>
          <w:p>
            <w:pPr>
              <w:pStyle w:val="52"/>
              <w:ind w:firstLine="480"/>
              <w:rPr>
                <w:color w:val="auto"/>
                <w:highlight w:val="none"/>
              </w:rPr>
            </w:pPr>
            <w:r>
              <w:rPr>
                <w:rFonts w:hint="eastAsia"/>
                <w:color w:val="auto"/>
                <w:highlight w:val="none"/>
              </w:rPr>
              <w:t>表</w:t>
            </w:r>
            <w:r>
              <w:rPr>
                <w:color w:val="auto"/>
                <w:highlight w:val="none"/>
              </w:rPr>
              <w:t>1-</w:t>
            </w:r>
            <w:r>
              <w:rPr>
                <w:rFonts w:hint="eastAsia"/>
                <w:color w:val="auto"/>
                <w:highlight w:val="none"/>
                <w:lang w:val="en-US" w:eastAsia="zh-CN"/>
              </w:rPr>
              <w:t>1</w:t>
            </w:r>
            <w:r>
              <w:rPr>
                <w:rFonts w:hint="eastAsia"/>
                <w:color w:val="auto"/>
                <w:highlight w:val="none"/>
              </w:rPr>
              <w:t>本项目与《岳阳市“三线一单”生态环境分区管控的意见》的符合性分析</w:t>
            </w:r>
          </w:p>
          <w:tbl>
            <w:tblPr>
              <w:tblStyle w:val="27"/>
              <w:tblW w:w="85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1"/>
              <w:gridCol w:w="2415"/>
              <w:gridCol w:w="1680"/>
              <w:gridCol w:w="675"/>
              <w:gridCol w:w="1575"/>
              <w:gridCol w:w="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7" w:type="pct"/>
                  <w:vAlign w:val="center"/>
                </w:tcPr>
                <w:p>
                  <w:pPr>
                    <w:pStyle w:val="38"/>
                    <w:rPr>
                      <w:rFonts w:hint="default" w:eastAsia="宋体"/>
                      <w:color w:val="auto"/>
                      <w:highlight w:val="none"/>
                      <w:lang w:val="en-US" w:eastAsia="zh-CN"/>
                    </w:rPr>
                  </w:pPr>
                  <w:r>
                    <w:rPr>
                      <w:rFonts w:hint="eastAsia"/>
                      <w:color w:val="auto"/>
                      <w:highlight w:val="none"/>
                      <w:lang w:val="en-US" w:eastAsia="zh-CN"/>
                    </w:rPr>
                    <w:t>环境管控单元编码</w:t>
                  </w:r>
                </w:p>
              </w:tc>
              <w:tc>
                <w:tcPr>
                  <w:tcW w:w="1407" w:type="pct"/>
                  <w:vAlign w:val="center"/>
                </w:tcPr>
                <w:p>
                  <w:pPr>
                    <w:pStyle w:val="38"/>
                    <w:rPr>
                      <w:rFonts w:hint="eastAsia"/>
                      <w:color w:val="auto"/>
                      <w:highlight w:val="none"/>
                    </w:rPr>
                  </w:pPr>
                  <w:r>
                    <w:rPr>
                      <w:rFonts w:hint="eastAsia"/>
                      <w:color w:val="auto"/>
                      <w:highlight w:val="none"/>
                    </w:rPr>
                    <w:t>ZH43068220002</w:t>
                  </w:r>
                </w:p>
              </w:tc>
              <w:tc>
                <w:tcPr>
                  <w:tcW w:w="978" w:type="pct"/>
                  <w:vAlign w:val="center"/>
                </w:tcPr>
                <w:p>
                  <w:pPr>
                    <w:pStyle w:val="38"/>
                    <w:rPr>
                      <w:rFonts w:hint="default" w:eastAsia="宋体"/>
                      <w:color w:val="auto"/>
                      <w:highlight w:val="none"/>
                      <w:lang w:val="en-US" w:eastAsia="zh-CN"/>
                    </w:rPr>
                  </w:pPr>
                  <w:r>
                    <w:rPr>
                      <w:rFonts w:hint="eastAsia"/>
                      <w:color w:val="auto"/>
                      <w:highlight w:val="none"/>
                      <w:lang w:val="en-US" w:eastAsia="zh-CN"/>
                    </w:rPr>
                    <w:t>单元名称</w:t>
                  </w:r>
                </w:p>
              </w:tc>
              <w:tc>
                <w:tcPr>
                  <w:tcW w:w="1827" w:type="pct"/>
                  <w:gridSpan w:val="3"/>
                  <w:vAlign w:val="center"/>
                </w:tcPr>
                <w:p>
                  <w:pPr>
                    <w:pStyle w:val="38"/>
                    <w:rPr>
                      <w:color w:val="auto"/>
                      <w:highlight w:val="none"/>
                    </w:rPr>
                  </w:pPr>
                  <w:r>
                    <w:rPr>
                      <w:rFonts w:hint="eastAsia"/>
                      <w:color w:val="auto"/>
                      <w:highlight w:val="none"/>
                    </w:rPr>
                    <w:t>桃矿街道/桃林镇/五里牌街道/长安街道/忠防镇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7" w:type="pct"/>
                  <w:vAlign w:val="center"/>
                </w:tcPr>
                <w:p>
                  <w:pPr>
                    <w:pStyle w:val="38"/>
                    <w:rPr>
                      <w:rFonts w:hint="default" w:eastAsia="宋体"/>
                      <w:color w:val="auto"/>
                      <w:highlight w:val="none"/>
                      <w:lang w:val="en-US" w:eastAsia="zh-CN"/>
                    </w:rPr>
                  </w:pPr>
                  <w:r>
                    <w:rPr>
                      <w:rFonts w:hint="eastAsia"/>
                      <w:color w:val="auto"/>
                      <w:highlight w:val="none"/>
                      <w:lang w:val="en-US" w:eastAsia="zh-CN"/>
                    </w:rPr>
                    <w:t>单元分类</w:t>
                  </w:r>
                </w:p>
              </w:tc>
              <w:tc>
                <w:tcPr>
                  <w:tcW w:w="1407" w:type="pct"/>
                  <w:vAlign w:val="center"/>
                </w:tcPr>
                <w:p>
                  <w:pPr>
                    <w:pStyle w:val="38"/>
                    <w:rPr>
                      <w:rFonts w:hint="default" w:eastAsia="宋体"/>
                      <w:color w:val="auto"/>
                      <w:highlight w:val="none"/>
                      <w:lang w:val="en-US" w:eastAsia="zh-CN"/>
                    </w:rPr>
                  </w:pPr>
                  <w:r>
                    <w:rPr>
                      <w:rFonts w:hint="eastAsia"/>
                      <w:color w:val="auto"/>
                      <w:highlight w:val="none"/>
                      <w:lang w:val="en-US" w:eastAsia="zh-CN"/>
                    </w:rPr>
                    <w:t>重点管控单元</w:t>
                  </w:r>
                </w:p>
              </w:tc>
              <w:tc>
                <w:tcPr>
                  <w:tcW w:w="978" w:type="pct"/>
                  <w:vAlign w:val="center"/>
                </w:tcPr>
                <w:p>
                  <w:pPr>
                    <w:pStyle w:val="38"/>
                    <w:rPr>
                      <w:rFonts w:hint="default" w:eastAsia="宋体"/>
                      <w:color w:val="auto"/>
                      <w:highlight w:val="none"/>
                      <w:lang w:val="en-US" w:eastAsia="zh-CN"/>
                    </w:rPr>
                  </w:pPr>
                  <w:r>
                    <w:rPr>
                      <w:rFonts w:hint="eastAsia"/>
                      <w:color w:val="auto"/>
                      <w:highlight w:val="none"/>
                      <w:lang w:val="en-US" w:eastAsia="zh-CN"/>
                    </w:rPr>
                    <w:t>主体功能定位</w:t>
                  </w:r>
                </w:p>
              </w:tc>
              <w:tc>
                <w:tcPr>
                  <w:tcW w:w="1827" w:type="pct"/>
                  <w:gridSpan w:val="3"/>
                  <w:vAlign w:val="center"/>
                </w:tcPr>
                <w:p>
                  <w:pPr>
                    <w:pStyle w:val="38"/>
                    <w:rPr>
                      <w:rFonts w:hint="default" w:eastAsia="宋体"/>
                      <w:color w:val="auto"/>
                      <w:highlight w:val="none"/>
                      <w:lang w:val="en-US" w:eastAsia="zh-CN"/>
                    </w:rPr>
                  </w:pPr>
                  <w:r>
                    <w:rPr>
                      <w:rFonts w:hint="eastAsia"/>
                      <w:color w:val="auto"/>
                      <w:highlight w:val="none"/>
                      <w:lang w:val="en-US" w:eastAsia="zh-CN"/>
                    </w:rPr>
                    <w:t>国家层面农产品主产区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7" w:type="pct"/>
                  <w:vAlign w:val="center"/>
                </w:tcPr>
                <w:p>
                  <w:pPr>
                    <w:pStyle w:val="38"/>
                    <w:rPr>
                      <w:rFonts w:hint="default"/>
                      <w:color w:val="auto"/>
                      <w:highlight w:val="none"/>
                      <w:lang w:val="en-US" w:eastAsia="zh-CN"/>
                    </w:rPr>
                  </w:pPr>
                  <w:r>
                    <w:rPr>
                      <w:rFonts w:hint="eastAsia"/>
                      <w:color w:val="auto"/>
                      <w:highlight w:val="none"/>
                      <w:lang w:val="en-US" w:eastAsia="zh-CN"/>
                    </w:rPr>
                    <w:t>经济产业布局</w:t>
                  </w:r>
                </w:p>
              </w:tc>
              <w:tc>
                <w:tcPr>
                  <w:tcW w:w="1407" w:type="pct"/>
                  <w:vAlign w:val="center"/>
                </w:tcPr>
                <w:p>
                  <w:pPr>
                    <w:pStyle w:val="38"/>
                    <w:rPr>
                      <w:rFonts w:hint="default" w:eastAsia="宋体"/>
                      <w:color w:val="auto"/>
                      <w:highlight w:val="none"/>
                      <w:lang w:val="en-US" w:eastAsia="zh-CN"/>
                    </w:rPr>
                  </w:pPr>
                  <w:r>
                    <w:rPr>
                      <w:rFonts w:hint="eastAsia"/>
                      <w:color w:val="auto"/>
                      <w:highlight w:val="none"/>
                      <w:lang w:val="en-US" w:eastAsia="zh-CN"/>
                    </w:rPr>
                    <w:t>忠防镇：以旅游、矿产、商贸为主，发展铅锌采选项目</w:t>
                  </w:r>
                </w:p>
              </w:tc>
              <w:tc>
                <w:tcPr>
                  <w:tcW w:w="978" w:type="pct"/>
                  <w:vAlign w:val="center"/>
                </w:tcPr>
                <w:p>
                  <w:pPr>
                    <w:pStyle w:val="38"/>
                    <w:rPr>
                      <w:rFonts w:hint="default"/>
                      <w:color w:val="auto"/>
                      <w:highlight w:val="none"/>
                      <w:lang w:val="en-US" w:eastAsia="zh-CN"/>
                    </w:rPr>
                  </w:pPr>
                  <w:r>
                    <w:rPr>
                      <w:rFonts w:hint="eastAsia"/>
                      <w:color w:val="auto"/>
                      <w:highlight w:val="none"/>
                      <w:lang w:val="en-US" w:eastAsia="zh-CN"/>
                    </w:rPr>
                    <w:t>主要环境问题</w:t>
                  </w:r>
                </w:p>
              </w:tc>
              <w:tc>
                <w:tcPr>
                  <w:tcW w:w="1827" w:type="pct"/>
                  <w:gridSpan w:val="3"/>
                  <w:vAlign w:val="center"/>
                </w:tcPr>
                <w:p>
                  <w:pPr>
                    <w:pStyle w:val="38"/>
                    <w:rPr>
                      <w:color w:val="auto"/>
                      <w:highlight w:val="none"/>
                    </w:rPr>
                  </w:pPr>
                  <w:r>
                    <w:rPr>
                      <w:rFonts w:hint="eastAsia"/>
                      <w:color w:val="auto"/>
                      <w:highlight w:val="none"/>
                    </w:rPr>
                    <w:t>忠防镇：恒太矿业、肖山采石场矿山周边未完全复绿；历史留重金属污染；畜禽养殖等农业面源污染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7" w:type="pct"/>
                  <w:vAlign w:val="center"/>
                </w:tcPr>
                <w:p>
                  <w:pPr>
                    <w:pStyle w:val="38"/>
                    <w:rPr>
                      <w:rFonts w:hint="default"/>
                      <w:color w:val="auto"/>
                      <w:highlight w:val="none"/>
                      <w:lang w:val="en-US" w:eastAsia="zh-CN"/>
                    </w:rPr>
                  </w:pPr>
                  <w:r>
                    <w:rPr>
                      <w:rFonts w:hint="eastAsia"/>
                      <w:color w:val="auto"/>
                      <w:highlight w:val="none"/>
                      <w:lang w:val="en-US" w:eastAsia="zh-CN"/>
                    </w:rPr>
                    <w:t>主要属性</w:t>
                  </w:r>
                </w:p>
              </w:tc>
              <w:tc>
                <w:tcPr>
                  <w:tcW w:w="4212" w:type="pct"/>
                  <w:gridSpan w:val="5"/>
                  <w:vAlign w:val="center"/>
                </w:tcPr>
                <w:p>
                  <w:pPr>
                    <w:pStyle w:val="38"/>
                    <w:rPr>
                      <w:rFonts w:hint="eastAsia"/>
                      <w:color w:val="auto"/>
                      <w:highlight w:val="none"/>
                    </w:rPr>
                  </w:pPr>
                  <w:r>
                    <w:rPr>
                      <w:rFonts w:hint="eastAsia"/>
                      <w:color w:val="auto"/>
                      <w:highlight w:val="none"/>
                      <w:lang w:val="en-US" w:eastAsia="zh-CN"/>
                    </w:rPr>
                    <w:t>忠防镇：</w:t>
                  </w:r>
                  <w:r>
                    <w:rPr>
                      <w:rFonts w:hint="eastAsia"/>
                      <w:color w:val="auto"/>
                      <w:highlight w:val="none"/>
                    </w:rPr>
                    <w:t>生态红线/一般生态空间（公益林/石漠化敏感区/水土保持功能重要区/水土流失敏感区/水源涵养重要区）/水环境重点管控区（岳阳市富安矿业有限公司上塘冲银孔山铅锌矿、临湘市力拓矿业有限公司杜家冲铅锌矿）/建设用地污染风险重点管控区/部省级采矿权/市县级采矿权/部省级探矿权/砂石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7" w:type="pct"/>
                  <w:vAlign w:val="center"/>
                </w:tcPr>
                <w:p>
                  <w:pPr>
                    <w:pStyle w:val="38"/>
                    <w:rPr>
                      <w:rFonts w:hint="default" w:eastAsia="宋体"/>
                      <w:color w:val="auto"/>
                      <w:highlight w:val="none"/>
                      <w:lang w:val="en-US" w:eastAsia="zh-CN"/>
                    </w:rPr>
                  </w:pPr>
                  <w:r>
                    <w:rPr>
                      <w:rFonts w:hint="eastAsia"/>
                      <w:color w:val="auto"/>
                      <w:highlight w:val="none"/>
                      <w:lang w:val="en-US" w:eastAsia="zh-CN"/>
                    </w:rPr>
                    <w:t>管控纬度</w:t>
                  </w:r>
                </w:p>
              </w:tc>
              <w:tc>
                <w:tcPr>
                  <w:tcW w:w="2779" w:type="pct"/>
                  <w:gridSpan w:val="3"/>
                  <w:vAlign w:val="center"/>
                </w:tcPr>
                <w:p>
                  <w:pPr>
                    <w:pStyle w:val="38"/>
                    <w:rPr>
                      <w:rFonts w:hint="default" w:eastAsia="宋体"/>
                      <w:color w:val="auto"/>
                      <w:highlight w:val="none"/>
                      <w:lang w:val="en-US" w:eastAsia="zh-CN"/>
                    </w:rPr>
                  </w:pPr>
                  <w:r>
                    <w:rPr>
                      <w:rFonts w:hint="eastAsia"/>
                      <w:color w:val="auto"/>
                      <w:highlight w:val="none"/>
                      <w:lang w:val="en-US" w:eastAsia="zh-CN"/>
                    </w:rPr>
                    <w:t>管控要求</w:t>
                  </w:r>
                </w:p>
              </w:tc>
              <w:tc>
                <w:tcPr>
                  <w:tcW w:w="917" w:type="pct"/>
                  <w:vAlign w:val="center"/>
                </w:tcPr>
                <w:p>
                  <w:pPr>
                    <w:pStyle w:val="38"/>
                    <w:rPr>
                      <w:color w:val="auto"/>
                      <w:highlight w:val="none"/>
                    </w:rPr>
                  </w:pPr>
                  <w:r>
                    <w:rPr>
                      <w:color w:val="auto"/>
                      <w:highlight w:val="none"/>
                    </w:rPr>
                    <w:t>本项目</w:t>
                  </w:r>
                </w:p>
              </w:tc>
              <w:tc>
                <w:tcPr>
                  <w:tcW w:w="516" w:type="pct"/>
                  <w:vAlign w:val="center"/>
                </w:tcPr>
                <w:p>
                  <w:pPr>
                    <w:pStyle w:val="38"/>
                    <w:rPr>
                      <w:color w:val="auto"/>
                      <w:highlight w:val="none"/>
                    </w:rPr>
                  </w:pPr>
                  <w:r>
                    <w:rPr>
                      <w:color w:val="auto"/>
                      <w:highlight w:val="none"/>
                    </w:rPr>
                    <w:t>符合</w:t>
                  </w:r>
                  <w:r>
                    <w:rPr>
                      <w:rFonts w:hint="eastAsia"/>
                      <w:color w:val="auto"/>
                      <w:highlight w:val="none"/>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7" w:type="pct"/>
                  <w:vAlign w:val="center"/>
                </w:tcPr>
                <w:p>
                  <w:pPr>
                    <w:pStyle w:val="38"/>
                    <w:rPr>
                      <w:color w:val="auto"/>
                      <w:highlight w:val="none"/>
                    </w:rPr>
                  </w:pPr>
                  <w:r>
                    <w:rPr>
                      <w:color w:val="auto"/>
                      <w:highlight w:val="none"/>
                    </w:rPr>
                    <w:t>空间布局约束</w:t>
                  </w:r>
                </w:p>
              </w:tc>
              <w:tc>
                <w:tcPr>
                  <w:tcW w:w="2779" w:type="pct"/>
                  <w:gridSpan w:val="3"/>
                </w:tcPr>
                <w:p>
                  <w:pPr>
                    <w:pStyle w:val="38"/>
                    <w:jc w:val="both"/>
                    <w:rPr>
                      <w:rFonts w:hint="eastAsia" w:eastAsia="宋体"/>
                      <w:color w:val="auto"/>
                      <w:highlight w:val="none"/>
                      <w:lang w:eastAsia="zh-CN"/>
                    </w:rPr>
                  </w:pPr>
                  <w:r>
                    <w:rPr>
                      <w:rFonts w:hint="eastAsia"/>
                      <w:color w:val="auto"/>
                      <w:highlight w:val="none"/>
                    </w:rPr>
                    <w:t>1.1 按照“关闭一批，整合一批，提高一批”的原则，对不具备安全生产条件，破坏生态，污染环境的违规开采矿山，实行关停整顿，整合重组</w:t>
                  </w:r>
                  <w:r>
                    <w:rPr>
                      <w:rFonts w:hint="eastAsia"/>
                      <w:color w:val="auto"/>
                      <w:highlight w:val="none"/>
                      <w:lang w:eastAsia="zh-CN"/>
                    </w:rPr>
                    <w:t>；</w:t>
                  </w:r>
                </w:p>
                <w:p>
                  <w:pPr>
                    <w:pStyle w:val="38"/>
                    <w:jc w:val="both"/>
                    <w:rPr>
                      <w:rFonts w:hint="eastAsia" w:eastAsia="宋体"/>
                      <w:color w:val="auto"/>
                      <w:highlight w:val="none"/>
                      <w:lang w:eastAsia="zh-CN"/>
                    </w:rPr>
                  </w:pPr>
                  <w:r>
                    <w:rPr>
                      <w:rFonts w:hint="eastAsia"/>
                      <w:color w:val="auto"/>
                      <w:highlight w:val="none"/>
                    </w:rPr>
                    <w:t>1.2 对辖区内规模小，污染大，安全系数低，效率不高的采矿企业，坚决关停，对违法盗采行为要依法予以严厉打击</w:t>
                  </w:r>
                  <w:r>
                    <w:rPr>
                      <w:rFonts w:hint="eastAsia"/>
                      <w:color w:val="auto"/>
                      <w:highlight w:val="none"/>
                      <w:lang w:eastAsia="zh-CN"/>
                    </w:rPr>
                    <w:t>；</w:t>
                  </w:r>
                </w:p>
                <w:p>
                  <w:pPr>
                    <w:pStyle w:val="38"/>
                    <w:jc w:val="both"/>
                    <w:rPr>
                      <w:rFonts w:hint="eastAsia" w:eastAsia="宋体"/>
                      <w:color w:val="auto"/>
                      <w:highlight w:val="none"/>
                      <w:lang w:eastAsia="zh-CN"/>
                    </w:rPr>
                  </w:pPr>
                  <w:r>
                    <w:rPr>
                      <w:rFonts w:hint="eastAsia"/>
                      <w:color w:val="auto"/>
                      <w:highlight w:val="none"/>
                    </w:rPr>
                    <w:t>1.3 在国家、省绿色矿山开发和国家相关法律法规要求的前置条件下，对各矿种的年开采量和投入实现门槛准入</w:t>
                  </w:r>
                  <w:r>
                    <w:rPr>
                      <w:rFonts w:hint="eastAsia"/>
                      <w:color w:val="auto"/>
                      <w:highlight w:val="none"/>
                      <w:lang w:eastAsia="zh-CN"/>
                    </w:rPr>
                    <w:t>；</w:t>
                  </w:r>
                </w:p>
                <w:p>
                  <w:pPr>
                    <w:pStyle w:val="38"/>
                    <w:jc w:val="both"/>
                    <w:rPr>
                      <w:rFonts w:hint="eastAsia"/>
                      <w:color w:val="auto"/>
                      <w:highlight w:val="none"/>
                    </w:rPr>
                  </w:pPr>
                  <w:r>
                    <w:rPr>
                      <w:rFonts w:hint="eastAsia"/>
                      <w:color w:val="auto"/>
                      <w:highlight w:val="none"/>
                    </w:rPr>
                    <w:t>1.4 桃林铅锌矿片区需紧紧围绕“矿区转型”，以循环经济理念和生态工业理论为指导，以特色农业和旅游资源为支撑，发展以文化旅游、农产品加工、节能环保为主，萤石加工、商贸流通为辅的产业结构，构建桃矿地区“3+2”产业体系，将桃矿建设成为“生态经济示范区”；</w:t>
                  </w:r>
                </w:p>
                <w:p>
                  <w:pPr>
                    <w:pStyle w:val="38"/>
                    <w:jc w:val="both"/>
                    <w:rPr>
                      <w:rFonts w:hint="eastAsia" w:eastAsia="宋体"/>
                      <w:color w:val="auto"/>
                      <w:highlight w:val="none"/>
                      <w:lang w:eastAsia="zh-CN"/>
                    </w:rPr>
                  </w:pPr>
                  <w:r>
                    <w:rPr>
                      <w:rFonts w:hint="eastAsia"/>
                      <w:color w:val="auto"/>
                      <w:highlight w:val="none"/>
                    </w:rPr>
                    <w:t>桃矿独立工矿区产业发展以经济转型为主线，形成一个集矿产品深加工、工业物流园区、旅游风景区、商业生活区多功能于一体的新型独立矿区</w:t>
                  </w:r>
                  <w:r>
                    <w:rPr>
                      <w:rFonts w:hint="eastAsia"/>
                      <w:color w:val="auto"/>
                      <w:highlight w:val="none"/>
                      <w:lang w:eastAsia="zh-CN"/>
                    </w:rPr>
                    <w:t>；</w:t>
                  </w:r>
                </w:p>
              </w:tc>
              <w:tc>
                <w:tcPr>
                  <w:tcW w:w="917" w:type="pct"/>
                  <w:vAlign w:val="center"/>
                </w:tcPr>
                <w:p>
                  <w:pPr>
                    <w:pStyle w:val="38"/>
                    <w:jc w:val="center"/>
                    <w:rPr>
                      <w:rFonts w:hint="default" w:eastAsia="宋体"/>
                      <w:color w:val="auto"/>
                      <w:highlight w:val="none"/>
                      <w:lang w:val="en-US" w:eastAsia="zh-CN"/>
                    </w:rPr>
                  </w:pPr>
                  <w:r>
                    <w:rPr>
                      <w:rFonts w:hint="eastAsia"/>
                      <w:color w:val="auto"/>
                      <w:highlight w:val="none"/>
                      <w:lang w:val="en-US" w:eastAsia="zh-CN"/>
                    </w:rPr>
                    <w:t>本项目属于“水的生产和供应业”，不涉及采矿业。</w:t>
                  </w:r>
                </w:p>
              </w:tc>
              <w:tc>
                <w:tcPr>
                  <w:tcW w:w="516" w:type="pct"/>
                  <w:vAlign w:val="center"/>
                </w:tcPr>
                <w:p>
                  <w:pPr>
                    <w:pStyle w:val="38"/>
                    <w:jc w:val="center"/>
                    <w:rPr>
                      <w:color w:val="auto"/>
                      <w:highlight w:val="none"/>
                    </w:rPr>
                  </w:pPr>
                  <w:r>
                    <w:rPr>
                      <w:rFonts w:hint="eastAsia"/>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7" w:type="pct"/>
                  <w:vAlign w:val="center"/>
                </w:tcPr>
                <w:p>
                  <w:pPr>
                    <w:pStyle w:val="38"/>
                    <w:rPr>
                      <w:color w:val="auto"/>
                      <w:highlight w:val="none"/>
                    </w:rPr>
                  </w:pPr>
                  <w:r>
                    <w:rPr>
                      <w:color w:val="auto"/>
                      <w:highlight w:val="none"/>
                    </w:rPr>
                    <w:t>污染物排放管控</w:t>
                  </w:r>
                </w:p>
              </w:tc>
              <w:tc>
                <w:tcPr>
                  <w:tcW w:w="2779" w:type="pct"/>
                  <w:gridSpan w:val="3"/>
                  <w:vAlign w:val="center"/>
                </w:tcPr>
                <w:p>
                  <w:pPr>
                    <w:pStyle w:val="38"/>
                    <w:jc w:val="left"/>
                    <w:rPr>
                      <w:rFonts w:hint="eastAsia" w:eastAsia="宋体"/>
                      <w:color w:val="auto"/>
                      <w:highlight w:val="none"/>
                      <w:lang w:eastAsia="zh-CN"/>
                    </w:rPr>
                  </w:pPr>
                  <w:r>
                    <w:rPr>
                      <w:rFonts w:hint="eastAsia"/>
                      <w:color w:val="auto"/>
                      <w:highlight w:val="none"/>
                    </w:rPr>
                    <w:t>2.1 污水处理达到一级 A 排放标准，城区基本实现污水全收集、全处理，基本无生活污水直排口；实施乡镇污水处理设施建设专项行动计划，实现全市乡镇污水处理设施全覆盖，配套管网基本完善</w:t>
                  </w:r>
                  <w:r>
                    <w:rPr>
                      <w:rFonts w:hint="eastAsia"/>
                      <w:color w:val="auto"/>
                      <w:highlight w:val="none"/>
                      <w:lang w:eastAsia="zh-CN"/>
                    </w:rPr>
                    <w:t>；</w:t>
                  </w:r>
                </w:p>
                <w:p>
                  <w:pPr>
                    <w:pStyle w:val="38"/>
                    <w:jc w:val="left"/>
                    <w:rPr>
                      <w:rFonts w:hint="eastAsia" w:eastAsia="宋体"/>
                      <w:color w:val="auto"/>
                      <w:highlight w:val="none"/>
                      <w:lang w:eastAsia="zh-CN"/>
                    </w:rPr>
                  </w:pPr>
                  <w:r>
                    <w:rPr>
                      <w:rFonts w:hint="eastAsia"/>
                      <w:color w:val="auto"/>
                      <w:highlight w:val="none"/>
                    </w:rPr>
                    <w:t>2.2加强畜禽养殖企业（专业户）配套污染防治设施建设，规模养殖场粪污处理设施装备配套率达到95%以上（大型规模养殖场达到100%），实现养殖企业污染物达标排放</w:t>
                  </w:r>
                  <w:r>
                    <w:rPr>
                      <w:rFonts w:hint="eastAsia"/>
                      <w:color w:val="auto"/>
                      <w:highlight w:val="none"/>
                      <w:lang w:eastAsia="zh-CN"/>
                    </w:rPr>
                    <w:t>；</w:t>
                  </w:r>
                </w:p>
                <w:p>
                  <w:pPr>
                    <w:pStyle w:val="38"/>
                    <w:jc w:val="left"/>
                    <w:rPr>
                      <w:rFonts w:hint="eastAsia" w:eastAsia="宋体"/>
                      <w:color w:val="auto"/>
                      <w:highlight w:val="none"/>
                      <w:lang w:eastAsia="zh-CN"/>
                    </w:rPr>
                  </w:pPr>
                  <w:r>
                    <w:rPr>
                      <w:rFonts w:hint="eastAsia"/>
                      <w:color w:val="auto"/>
                      <w:highlight w:val="none"/>
                    </w:rPr>
                    <w:t>2.3 加大涉重金属企业治污设施升级与清洁生产改造力度，严厉打击超标排放与偷排漏排，规范企业无组织排放与无组织堆存堆放固体废物、物料，稳步推进重金属减排。在矿产资源开发利用活动集中的区域，执行重点污染物特别排放限值</w:t>
                  </w:r>
                  <w:r>
                    <w:rPr>
                      <w:rFonts w:hint="eastAsia"/>
                      <w:color w:val="auto"/>
                      <w:highlight w:val="none"/>
                      <w:lang w:eastAsia="zh-CN"/>
                    </w:rPr>
                    <w:t>；</w:t>
                  </w:r>
                </w:p>
                <w:p>
                  <w:pPr>
                    <w:pStyle w:val="38"/>
                    <w:jc w:val="left"/>
                    <w:rPr>
                      <w:rFonts w:hint="eastAsia" w:eastAsia="宋体"/>
                      <w:color w:val="auto"/>
                      <w:highlight w:val="none"/>
                      <w:lang w:eastAsia="zh-CN"/>
                    </w:rPr>
                  </w:pPr>
                  <w:r>
                    <w:rPr>
                      <w:rFonts w:hint="eastAsia"/>
                      <w:color w:val="auto"/>
                      <w:highlight w:val="none"/>
                    </w:rPr>
                    <w:t>2.4 对易产生无组织排放扬尘的粉状、粒状物料、燃料的储存、运输采取密闭方式；对块状物料采用入棚入仓或建设防风抑尘网等方式进行存储，并设抑尘措施</w:t>
                  </w:r>
                  <w:r>
                    <w:rPr>
                      <w:rFonts w:hint="eastAsia"/>
                      <w:color w:val="auto"/>
                      <w:highlight w:val="none"/>
                      <w:lang w:eastAsia="zh-CN"/>
                    </w:rPr>
                    <w:t>；</w:t>
                  </w:r>
                </w:p>
                <w:p>
                  <w:pPr>
                    <w:pStyle w:val="38"/>
                    <w:jc w:val="left"/>
                    <w:rPr>
                      <w:rFonts w:hint="eastAsia" w:eastAsia="宋体"/>
                      <w:color w:val="auto"/>
                      <w:highlight w:val="none"/>
                      <w:lang w:eastAsia="zh-CN"/>
                    </w:rPr>
                  </w:pPr>
                  <w:r>
                    <w:rPr>
                      <w:rFonts w:hint="eastAsia"/>
                      <w:color w:val="auto"/>
                      <w:highlight w:val="none"/>
                    </w:rPr>
                    <w:t>2.5 石化生产存贮销售企业和工业园区、矿山开采区、垃圾填埋场等区域应进行必要的防渗处理</w:t>
                  </w:r>
                  <w:r>
                    <w:rPr>
                      <w:rFonts w:hint="eastAsia"/>
                      <w:color w:val="auto"/>
                      <w:highlight w:val="none"/>
                      <w:lang w:eastAsia="zh-CN"/>
                    </w:rPr>
                    <w:t>；</w:t>
                  </w:r>
                </w:p>
                <w:p>
                  <w:pPr>
                    <w:pStyle w:val="38"/>
                    <w:jc w:val="left"/>
                    <w:rPr>
                      <w:color w:val="auto"/>
                      <w:highlight w:val="none"/>
                    </w:rPr>
                  </w:pPr>
                  <w:r>
                    <w:rPr>
                      <w:rFonts w:hint="eastAsia"/>
                      <w:color w:val="auto"/>
                      <w:highlight w:val="none"/>
                    </w:rPr>
                    <w:t>2.6 持续深化工业炉窑大气污染专项治理，按照《湖南省工业炉窑大气污染综合治理实施方案》要求，重点推进水泥、有色、陶瓷、无机化工等行业炉窑深度治理，进一步加强烧制砖瓦行业综合整治。鼓励实施燃气锅炉低氮改造</w:t>
                  </w:r>
                  <w:r>
                    <w:rPr>
                      <w:rFonts w:hint="eastAsia"/>
                      <w:color w:val="auto"/>
                      <w:highlight w:val="none"/>
                      <w:lang w:eastAsia="zh-CN"/>
                    </w:rPr>
                    <w:t>；</w:t>
                  </w:r>
                </w:p>
              </w:tc>
              <w:tc>
                <w:tcPr>
                  <w:tcW w:w="917" w:type="pct"/>
                  <w:vAlign w:val="center"/>
                </w:tcPr>
                <w:p>
                  <w:pPr>
                    <w:pStyle w:val="38"/>
                    <w:rPr>
                      <w:rFonts w:hint="default" w:eastAsia="宋体"/>
                      <w:color w:val="auto"/>
                      <w:highlight w:val="none"/>
                      <w:lang w:val="en-US" w:eastAsia="zh-CN"/>
                    </w:rPr>
                  </w:pPr>
                  <w:r>
                    <w:rPr>
                      <w:rFonts w:hint="eastAsia"/>
                      <w:color w:val="auto"/>
                      <w:highlight w:val="none"/>
                    </w:rPr>
                    <w:t>项目为自来水供应项目，生产过程三废产生较少，且均得到有效处理</w:t>
                  </w:r>
                  <w:r>
                    <w:rPr>
                      <w:rFonts w:hint="eastAsia"/>
                      <w:color w:val="auto"/>
                      <w:highlight w:val="none"/>
                      <w:lang w:eastAsia="zh-CN"/>
                    </w:rPr>
                    <w:t>，冲洗废水作为原水回用不外排；沉淀池排泥水收集至污泥池，上清液回流作为原水回用；浓缩污泥经污泥压滤机脱水处理，压滤水作为厂区绿化使用，不外排，生活污水经三</w:t>
                  </w:r>
                  <w:r>
                    <w:rPr>
                      <w:rFonts w:hint="eastAsia"/>
                      <w:color w:val="auto"/>
                      <w:highlight w:val="none"/>
                      <w:lang w:val="en-US" w:eastAsia="zh-CN"/>
                    </w:rPr>
                    <w:t>级</w:t>
                  </w:r>
                  <w:r>
                    <w:rPr>
                      <w:rFonts w:hint="eastAsia"/>
                      <w:color w:val="auto"/>
                      <w:highlight w:val="none"/>
                      <w:lang w:eastAsia="zh-CN"/>
                    </w:rPr>
                    <w:t>化粪池处理后</w:t>
                  </w:r>
                  <w:r>
                    <w:rPr>
                      <w:rFonts w:hint="eastAsia"/>
                      <w:color w:val="auto"/>
                      <w:highlight w:val="none"/>
                      <w:lang w:val="en-US" w:eastAsia="zh-CN"/>
                    </w:rPr>
                    <w:t>用作周边菜地作农肥，不外排；本项目不涉及重金属、采矿、石化、垃圾填埋及工业炉窑等行业；本评价要求施工期对物料运输车辆采取遮盖措施，施工场地建设防风抑尘网</w:t>
                  </w:r>
                </w:p>
              </w:tc>
              <w:tc>
                <w:tcPr>
                  <w:tcW w:w="516" w:type="pct"/>
                  <w:vAlign w:val="center"/>
                </w:tcPr>
                <w:p>
                  <w:pPr>
                    <w:pStyle w:val="38"/>
                    <w:rPr>
                      <w:rFonts w:hint="eastAsia" w:eastAsia="宋体"/>
                      <w:color w:val="auto"/>
                      <w:highlight w:val="none"/>
                      <w:lang w:val="en-US" w:eastAsia="zh-CN"/>
                    </w:rPr>
                  </w:pPr>
                  <w:r>
                    <w:rPr>
                      <w:rFonts w:hint="eastAsia"/>
                      <w:color w:val="auto"/>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7" w:type="pct"/>
                  <w:vAlign w:val="center"/>
                </w:tcPr>
                <w:p>
                  <w:pPr>
                    <w:pStyle w:val="38"/>
                    <w:rPr>
                      <w:color w:val="auto"/>
                      <w:highlight w:val="none"/>
                    </w:rPr>
                  </w:pPr>
                  <w:r>
                    <w:rPr>
                      <w:color w:val="auto"/>
                      <w:highlight w:val="none"/>
                    </w:rPr>
                    <w:t>环境风险防控</w:t>
                  </w:r>
                </w:p>
              </w:tc>
              <w:tc>
                <w:tcPr>
                  <w:tcW w:w="2779" w:type="pct"/>
                  <w:gridSpan w:val="3"/>
                  <w:vAlign w:val="center"/>
                </w:tcPr>
                <w:p>
                  <w:pPr>
                    <w:pStyle w:val="38"/>
                    <w:jc w:val="left"/>
                    <w:rPr>
                      <w:rFonts w:hint="eastAsia" w:eastAsia="宋体"/>
                      <w:color w:val="auto"/>
                      <w:highlight w:val="none"/>
                      <w:lang w:eastAsia="zh-CN"/>
                    </w:rPr>
                  </w:pPr>
                  <w:r>
                    <w:rPr>
                      <w:rFonts w:hint="eastAsia"/>
                      <w:color w:val="auto"/>
                      <w:highlight w:val="none"/>
                    </w:rPr>
                    <w:t>3.1 分阶段、分区域、按类别解决历史遗留污染问题，对关闭矿山，加快推进矿山生态环境修复治理及矿井涌水整治</w:t>
                  </w:r>
                  <w:r>
                    <w:rPr>
                      <w:rFonts w:hint="eastAsia"/>
                      <w:color w:val="auto"/>
                      <w:highlight w:val="none"/>
                      <w:lang w:eastAsia="zh-CN"/>
                    </w:rPr>
                    <w:t>；</w:t>
                  </w:r>
                </w:p>
                <w:p>
                  <w:pPr>
                    <w:pStyle w:val="38"/>
                    <w:jc w:val="left"/>
                    <w:rPr>
                      <w:rFonts w:hint="eastAsia" w:eastAsia="宋体"/>
                      <w:color w:val="auto"/>
                      <w:highlight w:val="none"/>
                      <w:lang w:eastAsia="zh-CN"/>
                    </w:rPr>
                  </w:pPr>
                  <w:r>
                    <w:rPr>
                      <w:rFonts w:hint="eastAsia"/>
                      <w:color w:val="auto"/>
                      <w:highlight w:val="none"/>
                    </w:rPr>
                    <w:t>3.2 针对建设用地污染风险重点管控区的管控要求。严格建设用地土壤污染风险管控。加强建设用地土壤污染风险管控和修复名录管理，实现污染地块安全利用率 90%以上；加强全国土壤环境信息化管理平台管理与使用，及时动态更新污染地块目录；严控污染地块环境社会风险，以城镇人口密集区危险化学品生产企业搬迁改造以及长江经济带化工污染整治过程中的腾退企业用地为重点，结合建设用地治理修复和风险管控名录管理制度，进一步加强腾退土地污染风险管控，严格对企业拆除活动的环境监管</w:t>
                  </w:r>
                  <w:r>
                    <w:rPr>
                      <w:rFonts w:hint="eastAsia"/>
                      <w:color w:val="auto"/>
                      <w:highlight w:val="none"/>
                      <w:lang w:eastAsia="zh-CN"/>
                    </w:rPr>
                    <w:t>；</w:t>
                  </w:r>
                </w:p>
                <w:p>
                  <w:pPr>
                    <w:pStyle w:val="38"/>
                    <w:jc w:val="left"/>
                    <w:rPr>
                      <w:rFonts w:hint="eastAsia" w:eastAsia="宋体"/>
                      <w:color w:val="auto"/>
                      <w:highlight w:val="none"/>
                      <w:lang w:eastAsia="zh-CN"/>
                    </w:rPr>
                  </w:pPr>
                  <w:r>
                    <w:rPr>
                      <w:rFonts w:hint="eastAsia"/>
                      <w:color w:val="auto"/>
                      <w:highlight w:val="none"/>
                    </w:rPr>
                    <w:t>3.3 临湘桃矿独立工矿区：对矿区内银孔山及上塘冲塌陷区 10 平方公里范围内采空区进行治理，对因洞采及露天开采导致植被、水系、地质等破坏，极易发生地质灾害，进行地质灾害隐患治理；对矿区内 1.5 万平方公里被污染土壤进行有效管控，部分土壤采用污染土壤的原位修复、污染土壤的清理、污染土壤的异位稳定化固化处理，对污染土壤进行修复；对桃林河重金属污染实施二期治理，对 8 公里河道多处进行疏浚，包括施工围堵和边坡护砌，并对沿河道路进行维修和绿化种植；根据水体污染程度的差异以及水资源对居民生活的影响程度的差异，划分出重点治理区域，通过饮用水源保护、河道清淤、护砌工程、人工浮岛实施治理</w:t>
                  </w:r>
                  <w:r>
                    <w:rPr>
                      <w:rFonts w:hint="eastAsia"/>
                      <w:color w:val="auto"/>
                      <w:highlight w:val="none"/>
                      <w:lang w:eastAsia="zh-CN"/>
                    </w:rPr>
                    <w:t>；</w:t>
                  </w:r>
                </w:p>
              </w:tc>
              <w:tc>
                <w:tcPr>
                  <w:tcW w:w="917" w:type="pct"/>
                  <w:vAlign w:val="center"/>
                </w:tcPr>
                <w:p>
                  <w:pPr>
                    <w:pStyle w:val="38"/>
                    <w:rPr>
                      <w:rFonts w:hint="default" w:eastAsia="宋体"/>
                      <w:color w:val="auto"/>
                      <w:highlight w:val="none"/>
                      <w:lang w:val="en-US" w:eastAsia="zh-CN"/>
                    </w:rPr>
                  </w:pPr>
                  <w:r>
                    <w:rPr>
                      <w:rFonts w:hint="eastAsia"/>
                      <w:color w:val="auto"/>
                      <w:highlight w:val="none"/>
                      <w:lang w:val="en-US" w:eastAsia="zh-CN"/>
                    </w:rPr>
                    <w:t>本项目不涉及采矿业</w:t>
                  </w:r>
                </w:p>
              </w:tc>
              <w:tc>
                <w:tcPr>
                  <w:tcW w:w="516" w:type="pct"/>
                  <w:vAlign w:val="center"/>
                </w:tcPr>
                <w:p>
                  <w:pPr>
                    <w:pStyle w:val="38"/>
                    <w:rPr>
                      <w:rFonts w:hint="eastAsia" w:eastAsia="宋体"/>
                      <w:color w:val="auto"/>
                      <w:highlight w:val="none"/>
                      <w:lang w:val="en-US" w:eastAsia="zh-CN"/>
                    </w:rPr>
                  </w:pPr>
                  <w:r>
                    <w:rPr>
                      <w:rFonts w:hint="eastAsia"/>
                      <w:color w:val="auto"/>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7" w:type="pct"/>
                  <w:vAlign w:val="center"/>
                </w:tcPr>
                <w:p>
                  <w:pPr>
                    <w:pStyle w:val="38"/>
                    <w:rPr>
                      <w:color w:val="auto"/>
                      <w:highlight w:val="none"/>
                    </w:rPr>
                  </w:pPr>
                  <w:r>
                    <w:rPr>
                      <w:rFonts w:hint="eastAsia"/>
                      <w:color w:val="auto"/>
                      <w:highlight w:val="none"/>
                    </w:rPr>
                    <w:t>资源开发效率要求</w:t>
                  </w:r>
                </w:p>
              </w:tc>
              <w:tc>
                <w:tcPr>
                  <w:tcW w:w="2779" w:type="pct"/>
                  <w:gridSpan w:val="3"/>
                  <w:vAlign w:val="center"/>
                </w:tcPr>
                <w:p>
                  <w:pPr>
                    <w:pStyle w:val="38"/>
                    <w:jc w:val="left"/>
                    <w:rPr>
                      <w:rFonts w:hint="eastAsia" w:eastAsia="宋体"/>
                      <w:color w:val="auto"/>
                      <w:highlight w:val="none"/>
                      <w:lang w:eastAsia="zh-CN"/>
                    </w:rPr>
                  </w:pPr>
                  <w:r>
                    <w:rPr>
                      <w:rFonts w:hint="eastAsia"/>
                      <w:color w:val="auto"/>
                      <w:highlight w:val="none"/>
                    </w:rPr>
                    <w:t>4.1 积极推进农业节水，完成高效节水灌溉年度任务；推进循环发展，将再生水、雨水、矿井水等非常规水源纳入区域水资源统一配置</w:t>
                  </w:r>
                  <w:r>
                    <w:rPr>
                      <w:rFonts w:hint="eastAsia"/>
                      <w:color w:val="auto"/>
                      <w:highlight w:val="none"/>
                      <w:lang w:eastAsia="zh-CN"/>
                    </w:rPr>
                    <w:t>；</w:t>
                  </w:r>
                </w:p>
                <w:p>
                  <w:pPr>
                    <w:pStyle w:val="38"/>
                    <w:jc w:val="left"/>
                    <w:rPr>
                      <w:rFonts w:hint="eastAsia"/>
                      <w:color w:val="auto"/>
                      <w:highlight w:val="none"/>
                    </w:rPr>
                  </w:pPr>
                  <w:r>
                    <w:rPr>
                      <w:rFonts w:hint="eastAsia"/>
                      <w:color w:val="auto"/>
                      <w:highlight w:val="none"/>
                    </w:rPr>
                    <w:t>4.2 水资源：临湘市万元国内生产总值用水量 104m</w:t>
                  </w:r>
                  <w:r>
                    <w:rPr>
                      <w:rFonts w:hint="eastAsia"/>
                      <w:color w:val="auto"/>
                      <w:highlight w:val="none"/>
                      <w:vertAlign w:val="superscript"/>
                    </w:rPr>
                    <w:t>3</w:t>
                  </w:r>
                </w:p>
                <w:p>
                  <w:pPr>
                    <w:pStyle w:val="38"/>
                    <w:jc w:val="left"/>
                    <w:rPr>
                      <w:rFonts w:hint="eastAsia" w:eastAsia="宋体"/>
                      <w:color w:val="auto"/>
                      <w:highlight w:val="none"/>
                      <w:lang w:eastAsia="zh-CN"/>
                    </w:rPr>
                  </w:pPr>
                  <w:r>
                    <w:rPr>
                      <w:rFonts w:hint="eastAsia"/>
                      <w:color w:val="auto"/>
                      <w:highlight w:val="none"/>
                    </w:rPr>
                    <w:t>/万元，万元工业增加值用水量 31m</w:t>
                  </w:r>
                  <w:r>
                    <w:rPr>
                      <w:rFonts w:hint="eastAsia"/>
                      <w:color w:val="auto"/>
                      <w:highlight w:val="none"/>
                      <w:vertAlign w:val="superscript"/>
                    </w:rPr>
                    <w:t>3</w:t>
                  </w:r>
                  <w:r>
                    <w:rPr>
                      <w:rFonts w:hint="eastAsia"/>
                      <w:color w:val="auto"/>
                      <w:highlight w:val="none"/>
                    </w:rPr>
                    <w:t>/万元，农田灌溉水有效利用系数 0.55</w:t>
                  </w:r>
                  <w:r>
                    <w:rPr>
                      <w:rFonts w:hint="eastAsia"/>
                      <w:color w:val="auto"/>
                      <w:highlight w:val="none"/>
                      <w:lang w:eastAsia="zh-CN"/>
                    </w:rPr>
                    <w:t>；</w:t>
                  </w:r>
                </w:p>
                <w:p>
                  <w:pPr>
                    <w:pStyle w:val="38"/>
                    <w:jc w:val="left"/>
                    <w:rPr>
                      <w:rFonts w:hint="eastAsia" w:eastAsia="宋体"/>
                      <w:color w:val="auto"/>
                      <w:highlight w:val="none"/>
                      <w:lang w:eastAsia="zh-CN"/>
                    </w:rPr>
                  </w:pPr>
                  <w:r>
                    <w:rPr>
                      <w:rFonts w:hint="eastAsia"/>
                      <w:color w:val="auto"/>
                      <w:highlight w:val="none"/>
                    </w:rPr>
                    <w:t>4.3 能源：临湘市“十三五”能耗强度降低目标 18.5%，“十三五”能耗控制目标 17.5 万吨标准煤</w:t>
                  </w:r>
                  <w:r>
                    <w:rPr>
                      <w:rFonts w:hint="eastAsia"/>
                      <w:color w:val="auto"/>
                      <w:highlight w:val="none"/>
                      <w:lang w:eastAsia="zh-CN"/>
                    </w:rPr>
                    <w:t>；</w:t>
                  </w:r>
                </w:p>
                <w:p>
                  <w:pPr>
                    <w:pStyle w:val="38"/>
                    <w:jc w:val="left"/>
                    <w:rPr>
                      <w:rFonts w:hint="eastAsia"/>
                      <w:color w:val="auto"/>
                      <w:highlight w:val="none"/>
                    </w:rPr>
                  </w:pPr>
                  <w:r>
                    <w:rPr>
                      <w:rFonts w:hint="eastAsia"/>
                      <w:color w:val="auto"/>
                      <w:highlight w:val="none"/>
                    </w:rPr>
                    <w:t>4.4 土地资源：</w:t>
                  </w:r>
                </w:p>
                <w:p>
                  <w:pPr>
                    <w:pStyle w:val="38"/>
                    <w:jc w:val="left"/>
                    <w:rPr>
                      <w:rFonts w:hint="eastAsia" w:eastAsia="宋体"/>
                      <w:color w:val="auto"/>
                      <w:highlight w:val="none"/>
                      <w:lang w:eastAsia="zh-CN"/>
                    </w:rPr>
                  </w:pPr>
                  <w:r>
                    <w:rPr>
                      <w:rFonts w:hint="eastAsia"/>
                      <w:color w:val="auto"/>
                      <w:highlight w:val="none"/>
                    </w:rPr>
                    <w:t>忠防镇（含桃矿街道）：城镇工矿用地建设规模为181.57 公顷，耕地保有量 1756.22 公顷，建设用地总规模达到 896.95 公顷</w:t>
                  </w:r>
                  <w:r>
                    <w:rPr>
                      <w:rFonts w:hint="eastAsia"/>
                      <w:color w:val="auto"/>
                      <w:highlight w:val="none"/>
                      <w:lang w:eastAsia="zh-CN"/>
                    </w:rPr>
                    <w:t>。</w:t>
                  </w:r>
                </w:p>
              </w:tc>
              <w:tc>
                <w:tcPr>
                  <w:tcW w:w="917" w:type="pct"/>
                  <w:vAlign w:val="center"/>
                </w:tcPr>
                <w:p>
                  <w:pPr>
                    <w:pStyle w:val="38"/>
                    <w:rPr>
                      <w:rFonts w:hint="default" w:eastAsia="宋体"/>
                      <w:color w:val="auto"/>
                      <w:highlight w:val="none"/>
                      <w:lang w:val="en-US" w:eastAsia="zh-CN"/>
                    </w:rPr>
                  </w:pPr>
                  <w:r>
                    <w:rPr>
                      <w:rFonts w:hint="eastAsia"/>
                      <w:color w:val="auto"/>
                      <w:highlight w:val="none"/>
                      <w:lang w:val="en-US" w:eastAsia="zh-CN"/>
                    </w:rPr>
                    <w:t>本项目为自来水生产和供应项目，不涉及农业，项目使用电能，不涉及用煤，本项目占地面积1875m</w:t>
                  </w:r>
                  <w:r>
                    <w:rPr>
                      <w:rFonts w:hint="eastAsia"/>
                      <w:color w:val="auto"/>
                      <w:highlight w:val="none"/>
                      <w:vertAlign w:val="superscript"/>
                      <w:lang w:val="en-US" w:eastAsia="zh-CN"/>
                    </w:rPr>
                    <w:t>2</w:t>
                  </w:r>
                  <w:r>
                    <w:rPr>
                      <w:rFonts w:hint="eastAsia"/>
                      <w:color w:val="auto"/>
                      <w:highlight w:val="none"/>
                      <w:vertAlign w:val="baseline"/>
                      <w:lang w:val="en-US" w:eastAsia="zh-CN"/>
                    </w:rPr>
                    <w:t>，根据项目用地预审意见，本项目</w:t>
                  </w:r>
                  <w:r>
                    <w:rPr>
                      <w:rFonts w:hint="eastAsia"/>
                      <w:color w:val="auto"/>
                      <w:highlight w:val="none"/>
                      <w:lang w:val="en-US" w:eastAsia="zh-CN"/>
                    </w:rPr>
                    <w:t>不占用耕地</w:t>
                  </w:r>
                </w:p>
              </w:tc>
              <w:tc>
                <w:tcPr>
                  <w:tcW w:w="516" w:type="pct"/>
                  <w:vAlign w:val="center"/>
                </w:tcPr>
                <w:p>
                  <w:pPr>
                    <w:pStyle w:val="38"/>
                    <w:rPr>
                      <w:rFonts w:hint="eastAsia" w:eastAsia="宋体"/>
                      <w:color w:val="auto"/>
                      <w:highlight w:val="none"/>
                      <w:lang w:val="en-US" w:eastAsia="zh-CN"/>
                    </w:rPr>
                  </w:pPr>
                  <w:r>
                    <w:rPr>
                      <w:rFonts w:hint="eastAsia"/>
                      <w:color w:val="auto"/>
                      <w:highlight w:val="none"/>
                      <w:lang w:val="en-US" w:eastAsia="zh-CN"/>
                    </w:rPr>
                    <w:t>符合</w:t>
                  </w:r>
                </w:p>
              </w:tc>
            </w:tr>
          </w:tbl>
          <w:p>
            <w:pPr>
              <w:pStyle w:val="5"/>
              <w:widowControl w:val="0"/>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根据上表可知，本项目符合《岳阳市“三线一单”生态环境分区管控的意见》（岳政发【2021】2号）的相关要求</w:t>
            </w:r>
            <w:r>
              <w:rPr>
                <w:rFonts w:hint="default" w:ascii="Times New Roman" w:hAnsi="Times New Roman" w:cs="Times New Roman"/>
                <w:color w:val="auto"/>
                <w:highlight w:val="none"/>
              </w:rPr>
              <w:t>。</w:t>
            </w:r>
          </w:p>
          <w:p>
            <w:pPr>
              <w:pStyle w:val="5"/>
              <w:widowControl w:val="0"/>
              <w:ind w:left="0" w:leftChars="0" w:firstLine="0" w:firstLineChars="0"/>
              <w:rPr>
                <w:b/>
                <w:bCs/>
                <w:color w:val="auto"/>
                <w:highlight w:val="none"/>
              </w:rPr>
            </w:pPr>
            <w:r>
              <w:rPr>
                <w:rFonts w:hint="eastAsia"/>
                <w:b/>
                <w:bCs/>
                <w:color w:val="auto"/>
                <w:highlight w:val="none"/>
                <w:lang w:val="en-US" w:eastAsia="zh-CN"/>
              </w:rPr>
              <w:t>4</w:t>
            </w:r>
            <w:r>
              <w:rPr>
                <w:rFonts w:hint="eastAsia"/>
                <w:b/>
                <w:bCs/>
                <w:color w:val="auto"/>
                <w:highlight w:val="none"/>
              </w:rPr>
              <w:t>、与</w:t>
            </w:r>
            <w:r>
              <w:rPr>
                <w:rFonts w:hint="eastAsia" w:cs="Times New Roman"/>
                <w:b/>
                <w:bCs/>
                <w:color w:val="auto"/>
                <w:highlight w:val="none"/>
                <w:lang w:bidi="ar"/>
              </w:rPr>
              <w:t>《湖南省“十四五”生态环境保护规划》（湘政办发〔</w:t>
            </w:r>
            <w:r>
              <w:rPr>
                <w:rFonts w:cs="Times New Roman"/>
                <w:b/>
                <w:bCs/>
                <w:color w:val="auto"/>
                <w:highlight w:val="none"/>
                <w:lang w:bidi="ar"/>
              </w:rPr>
              <w:t>2021</w:t>
            </w:r>
            <w:r>
              <w:rPr>
                <w:rFonts w:hint="eastAsia" w:cs="Times New Roman"/>
                <w:b/>
                <w:bCs/>
                <w:color w:val="auto"/>
                <w:highlight w:val="none"/>
                <w:lang w:bidi="ar"/>
              </w:rPr>
              <w:t>〕</w:t>
            </w:r>
            <w:r>
              <w:rPr>
                <w:rFonts w:cs="Times New Roman"/>
                <w:b/>
                <w:bCs/>
                <w:color w:val="auto"/>
                <w:highlight w:val="none"/>
                <w:lang w:bidi="ar"/>
              </w:rPr>
              <w:t>61</w:t>
            </w:r>
            <w:r>
              <w:rPr>
                <w:rFonts w:hint="eastAsia" w:cs="Times New Roman"/>
                <w:b/>
                <w:bCs/>
                <w:color w:val="auto"/>
                <w:highlight w:val="none"/>
                <w:lang w:bidi="ar"/>
              </w:rPr>
              <w:t>号）的符合性分析</w:t>
            </w:r>
          </w:p>
          <w:p>
            <w:pPr>
              <w:pStyle w:val="52"/>
              <w:rPr>
                <w:b w:val="0"/>
                <w:bCs w:val="0"/>
                <w:color w:val="auto"/>
                <w:highlight w:val="none"/>
              </w:rPr>
            </w:pPr>
            <w:r>
              <w:rPr>
                <w:rFonts w:hint="eastAsia"/>
                <w:color w:val="auto"/>
                <w:highlight w:val="none"/>
              </w:rPr>
              <w:t>表</w:t>
            </w:r>
            <w:r>
              <w:rPr>
                <w:color w:val="auto"/>
                <w:highlight w:val="none"/>
              </w:rPr>
              <w:t>1-</w:t>
            </w:r>
            <w:r>
              <w:rPr>
                <w:rFonts w:hint="eastAsia"/>
                <w:color w:val="auto"/>
                <w:highlight w:val="none"/>
                <w:lang w:val="en-US" w:eastAsia="zh-CN"/>
              </w:rPr>
              <w:t>2</w:t>
            </w:r>
            <w:r>
              <w:rPr>
                <w:rFonts w:hint="eastAsia"/>
                <w:color w:val="auto"/>
                <w:highlight w:val="none"/>
              </w:rPr>
              <w:t>《湖南省“十四五”生态环境保护规划》（节选）</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36"/>
              <w:gridCol w:w="2225"/>
              <w:gridCol w:w="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8" w:type="pct"/>
                  <w:vAlign w:val="center"/>
                </w:tcPr>
                <w:p>
                  <w:pPr>
                    <w:pStyle w:val="38"/>
                    <w:widowControl w:val="0"/>
                    <w:rPr>
                      <w:color w:val="auto"/>
                      <w:highlight w:val="none"/>
                    </w:rPr>
                  </w:pPr>
                  <w:r>
                    <w:rPr>
                      <w:rFonts w:hint="eastAsia"/>
                      <w:color w:val="auto"/>
                      <w:highlight w:val="none"/>
                    </w:rPr>
                    <w:t>与本项目有关要求</w:t>
                  </w:r>
                </w:p>
              </w:tc>
              <w:tc>
                <w:tcPr>
                  <w:tcW w:w="1309" w:type="pct"/>
                  <w:vAlign w:val="center"/>
                </w:tcPr>
                <w:p>
                  <w:pPr>
                    <w:pStyle w:val="38"/>
                    <w:widowControl w:val="0"/>
                    <w:jc w:val="center"/>
                    <w:rPr>
                      <w:color w:val="auto"/>
                      <w:highlight w:val="none"/>
                    </w:rPr>
                  </w:pPr>
                  <w:r>
                    <w:rPr>
                      <w:rFonts w:hint="eastAsia"/>
                      <w:color w:val="auto"/>
                      <w:highlight w:val="none"/>
                    </w:rPr>
                    <w:t>本项目情况</w:t>
                  </w:r>
                </w:p>
              </w:tc>
              <w:tc>
                <w:tcPr>
                  <w:tcW w:w="431" w:type="pct"/>
                  <w:vAlign w:val="center"/>
                </w:tcPr>
                <w:p>
                  <w:pPr>
                    <w:pStyle w:val="38"/>
                    <w:widowControl w:val="0"/>
                    <w:jc w:val="center"/>
                    <w:rPr>
                      <w:color w:val="auto"/>
                      <w:highlight w:val="none"/>
                    </w:rPr>
                  </w:pPr>
                  <w:r>
                    <w:rPr>
                      <w:rFonts w:hint="eastAsia"/>
                      <w:color w:val="auto"/>
                      <w:highlight w:val="none"/>
                    </w:rPr>
                    <w:t>符合分析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8" w:type="pct"/>
                </w:tcPr>
                <w:p>
                  <w:pPr>
                    <w:pStyle w:val="38"/>
                    <w:widowControl w:val="0"/>
                    <w:rPr>
                      <w:color w:val="auto"/>
                      <w:highlight w:val="none"/>
                    </w:rPr>
                  </w:pPr>
                  <w:r>
                    <w:rPr>
                      <w:rFonts w:hint="eastAsia"/>
                      <w:b/>
                      <w:bCs/>
                      <w:color w:val="auto"/>
                      <w:highlight w:val="none"/>
                    </w:rPr>
                    <w:t>严格生态环境分区引导。</w:t>
                  </w:r>
                  <w:r>
                    <w:rPr>
                      <w:rFonts w:hint="eastAsia"/>
                      <w:color w:val="auto"/>
                      <w:highlight w:val="none"/>
                    </w:rPr>
                    <w:t>严格落实湖南省“三线一单”生态环境总体管控要求，将生态保护红线、环境质量底线、资源利用上线和生态环境准入清单作为硬约束落实到环境管控单元，根据生态环境功能、自然资源禀赋、经济与社会发展实际，对环境管控单元实施差异化生态环境准入管理。加强“三线一单”与国土空间规划的衔接，区域资源开发、产业布局和结构调整、城镇建设、重大项目选址应以“三线一单”确定的环境管控单元及生态环境准入清单作为重要依据，加强省级以上产业园区生态环境准入管理。推进“三线一单”与排污许可、环评审批、环境监测、环境执法等数据系统共享，细化“三线一单”数据支撑体系及分区管控要求。</w:t>
                  </w:r>
                </w:p>
              </w:tc>
              <w:tc>
                <w:tcPr>
                  <w:tcW w:w="1309" w:type="pct"/>
                  <w:vAlign w:val="center"/>
                </w:tcPr>
                <w:p>
                  <w:pPr>
                    <w:pStyle w:val="38"/>
                    <w:widowControl w:val="0"/>
                    <w:jc w:val="center"/>
                    <w:rPr>
                      <w:color w:val="auto"/>
                      <w:highlight w:val="none"/>
                    </w:rPr>
                  </w:pPr>
                  <w:r>
                    <w:rPr>
                      <w:rFonts w:hint="eastAsia"/>
                      <w:color w:val="auto"/>
                      <w:highlight w:val="none"/>
                    </w:rPr>
                    <w:t>本项目的建设符合符合岳阳市“三线一单”生态环境管控要求</w:t>
                  </w:r>
                </w:p>
              </w:tc>
              <w:tc>
                <w:tcPr>
                  <w:tcW w:w="431" w:type="pct"/>
                  <w:vAlign w:val="center"/>
                </w:tcPr>
                <w:p>
                  <w:pPr>
                    <w:pStyle w:val="38"/>
                    <w:widowControl w:val="0"/>
                    <w:jc w:val="center"/>
                    <w:rPr>
                      <w:color w:val="auto"/>
                      <w:highlight w:val="none"/>
                    </w:rPr>
                  </w:pPr>
                  <w:r>
                    <w:rPr>
                      <w:rFonts w:hint="eastAsia"/>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8" w:type="pct"/>
                </w:tcPr>
                <w:p>
                  <w:pPr>
                    <w:pStyle w:val="38"/>
                    <w:widowControl w:val="0"/>
                    <w:rPr>
                      <w:color w:val="auto"/>
                      <w:highlight w:val="none"/>
                    </w:rPr>
                  </w:pPr>
                  <w:r>
                    <w:rPr>
                      <w:rFonts w:hint="eastAsia"/>
                      <w:b/>
                      <w:bCs/>
                      <w:color w:val="auto"/>
                      <w:highlight w:val="none"/>
                    </w:rPr>
                    <w:t>加强规划环境影响评价。</w:t>
                  </w:r>
                  <w:r>
                    <w:rPr>
                      <w:rFonts w:hint="eastAsia"/>
                      <w:color w:val="auto"/>
                      <w:highlight w:val="none"/>
                    </w:rPr>
                    <w:t>严格执行以环评制度为主体的生态环境源头预防制度，以国土空间规划、区域规划、行业发展规划引导经济社会发展，全面推进重点区域、重点流域、重点行业规划环评。规划编制要充分考虑底线约束、空间管制、总量管控和生态环境准入，统筹区域空间布局与生态安全格局。严格审查涉“两高”行业的有关综合性规划和工业、能源等专项规划，严格控制“两高”行业发展规模，优化规划布局、产业结构与实施时序。加强规划环评对建设项目环评工作的指导和约束，推动规划环评成果落实。</w:t>
                  </w:r>
                </w:p>
              </w:tc>
              <w:tc>
                <w:tcPr>
                  <w:tcW w:w="1309" w:type="pct"/>
                  <w:vAlign w:val="center"/>
                </w:tcPr>
                <w:p>
                  <w:pPr>
                    <w:pStyle w:val="38"/>
                    <w:widowControl w:val="0"/>
                    <w:jc w:val="center"/>
                    <w:rPr>
                      <w:color w:val="auto"/>
                      <w:highlight w:val="none"/>
                    </w:rPr>
                  </w:pPr>
                  <w:r>
                    <w:rPr>
                      <w:rFonts w:hint="eastAsia"/>
                      <w:color w:val="auto"/>
                      <w:highlight w:val="none"/>
                    </w:rPr>
                    <w:t>本项目严格执行以环评制度为主体的生态环境源头预防制度，本环评的编制充分考虑了底线约束、空间管制、总量管控和生态环境准入，统筹区域空间布局与生态安全格局。本项目不涉及“两高”行业。</w:t>
                  </w:r>
                </w:p>
              </w:tc>
              <w:tc>
                <w:tcPr>
                  <w:tcW w:w="431" w:type="pct"/>
                  <w:vAlign w:val="center"/>
                </w:tcPr>
                <w:p>
                  <w:pPr>
                    <w:pStyle w:val="38"/>
                    <w:widowControl w:val="0"/>
                    <w:jc w:val="center"/>
                    <w:rPr>
                      <w:color w:val="auto"/>
                      <w:highlight w:val="none"/>
                    </w:rPr>
                  </w:pPr>
                  <w:r>
                    <w:rPr>
                      <w:rFonts w:hint="eastAsia"/>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8" w:type="pct"/>
                </w:tcPr>
                <w:p>
                  <w:pPr>
                    <w:pStyle w:val="38"/>
                    <w:widowControl w:val="0"/>
                    <w:rPr>
                      <w:color w:val="auto"/>
                      <w:highlight w:val="none"/>
                    </w:rPr>
                  </w:pPr>
                  <w:r>
                    <w:rPr>
                      <w:rStyle w:val="30"/>
                      <w:rFonts w:hint="eastAsia"/>
                      <w:color w:val="auto"/>
                      <w:highlight w:val="none"/>
                      <w:shd w:val="clear" w:color="auto" w:fill="FFFFFF"/>
                    </w:rPr>
                    <w:t>全面实行排污许可制度</w:t>
                  </w:r>
                  <w:r>
                    <w:rPr>
                      <w:rFonts w:hint="eastAsia"/>
                      <w:color w:val="auto"/>
                      <w:highlight w:val="none"/>
                      <w:shd w:val="clear" w:color="auto" w:fill="FFFFFF"/>
                    </w:rPr>
                    <w:t>。推动构建以排污许可制为核心的固定污染源监管制度体系，实现固定污染源排污许可全覆盖，推动工业固体废物、土壤环境要素全覆盖，探索将碳排放纳入排污许可管理内容。依托排污许可证实施企事业单位污染物排放总量指标分配、监管和考核。建立以排污许可证为主要依据的生态环境日常监管执法体系，落实排污许可“一证式”管理。推进排污许可制度与环境影响评价制度有效融合，推动重点行业企业环境影响评价、排污许可、监管执法全闭环管理。持续做好排污许可证换证或登记延续动态更新。</w:t>
                  </w:r>
                </w:p>
              </w:tc>
              <w:tc>
                <w:tcPr>
                  <w:tcW w:w="1309" w:type="pct"/>
                  <w:vAlign w:val="center"/>
                </w:tcPr>
                <w:p>
                  <w:pPr>
                    <w:pStyle w:val="38"/>
                    <w:widowControl w:val="0"/>
                    <w:jc w:val="center"/>
                    <w:rPr>
                      <w:color w:val="auto"/>
                      <w:highlight w:val="none"/>
                    </w:rPr>
                  </w:pPr>
                  <w:r>
                    <w:rPr>
                      <w:rFonts w:hint="eastAsia"/>
                      <w:color w:val="auto"/>
                      <w:highlight w:val="none"/>
                    </w:rPr>
                    <w:t>本环评要求企业落实</w:t>
                  </w:r>
                  <w:r>
                    <w:rPr>
                      <w:rFonts w:hint="eastAsia"/>
                      <w:color w:val="auto"/>
                      <w:highlight w:val="none"/>
                      <w:shd w:val="clear" w:color="auto" w:fill="FFFFFF"/>
                    </w:rPr>
                    <w:t>排污许可制度，持续做好排污许可证换证或登记延续动态更新。</w:t>
                  </w:r>
                </w:p>
              </w:tc>
              <w:tc>
                <w:tcPr>
                  <w:tcW w:w="431" w:type="pct"/>
                  <w:vAlign w:val="center"/>
                </w:tcPr>
                <w:p>
                  <w:pPr>
                    <w:pStyle w:val="38"/>
                    <w:widowControl w:val="0"/>
                    <w:jc w:val="center"/>
                    <w:rPr>
                      <w:color w:val="auto"/>
                      <w:highlight w:val="none"/>
                    </w:rPr>
                  </w:pPr>
                  <w:r>
                    <w:rPr>
                      <w:rFonts w:hint="eastAsia"/>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8" w:type="pct"/>
                </w:tcPr>
                <w:p>
                  <w:pPr>
                    <w:pStyle w:val="38"/>
                    <w:widowControl w:val="0"/>
                    <w:rPr>
                      <w:color w:val="auto"/>
                      <w:highlight w:val="none"/>
                    </w:rPr>
                  </w:pPr>
                  <w:r>
                    <w:rPr>
                      <w:rFonts w:hint="eastAsia"/>
                      <w:color w:val="auto"/>
                      <w:highlight w:val="none"/>
                      <w:shd w:val="clear" w:color="auto" w:fill="FFFFFF"/>
                    </w:rPr>
                    <w:t>以企业和工业聚集区为重点，推进工业园区污水处理设施分类管理、分期升级改造，实施省级及以上工业园区专项整治行动，实现省级及以上工业园区污水管网全覆盖、污水全收集、污水集中处理设施稳定达标运行、进出水水质在线监控并联网正常，规范设置园区集中污水处理设施排污口，建立园区水环境管理“一园一档”。加强涉重金属行业企业废水治理，推进重点行业氨氮和总磷排放总量控制。</w:t>
                  </w:r>
                </w:p>
              </w:tc>
              <w:tc>
                <w:tcPr>
                  <w:tcW w:w="1309" w:type="pct"/>
                  <w:vAlign w:val="center"/>
                </w:tcPr>
                <w:p>
                  <w:pPr>
                    <w:pStyle w:val="38"/>
                    <w:widowControl w:val="0"/>
                    <w:jc w:val="center"/>
                    <w:rPr>
                      <w:color w:val="auto"/>
                      <w:highlight w:val="none"/>
                    </w:rPr>
                  </w:pPr>
                  <w:r>
                    <w:rPr>
                      <w:rFonts w:hint="eastAsia"/>
                      <w:color w:val="auto"/>
                      <w:highlight w:val="none"/>
                    </w:rPr>
                    <w:t>本项目</w:t>
                  </w:r>
                  <w:r>
                    <w:rPr>
                      <w:rFonts w:hint="eastAsia"/>
                      <w:color w:val="auto"/>
                      <w:highlight w:val="none"/>
                      <w:lang w:val="en-US" w:eastAsia="zh-CN"/>
                    </w:rPr>
                    <w:t>位于忠防镇木形村，不在工业园区内</w:t>
                  </w:r>
                  <w:r>
                    <w:rPr>
                      <w:rFonts w:hint="eastAsia"/>
                      <w:color w:val="auto"/>
                      <w:highlight w:val="none"/>
                      <w:lang w:bidi="zh-CN"/>
                    </w:rPr>
                    <w:t>。</w:t>
                  </w:r>
                </w:p>
              </w:tc>
              <w:tc>
                <w:tcPr>
                  <w:tcW w:w="431" w:type="pct"/>
                  <w:vAlign w:val="center"/>
                </w:tcPr>
                <w:p>
                  <w:pPr>
                    <w:pStyle w:val="38"/>
                    <w:widowControl w:val="0"/>
                    <w:jc w:val="center"/>
                    <w:rPr>
                      <w:color w:val="auto"/>
                      <w:highlight w:val="none"/>
                    </w:rPr>
                  </w:pPr>
                  <w:r>
                    <w:rPr>
                      <w:rFonts w:hint="eastAsia"/>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8" w:type="pct"/>
                </w:tcPr>
                <w:p>
                  <w:pPr>
                    <w:pStyle w:val="38"/>
                    <w:widowControl w:val="0"/>
                    <w:rPr>
                      <w:color w:val="auto"/>
                      <w:highlight w:val="none"/>
                    </w:rPr>
                  </w:pPr>
                  <w:r>
                    <w:rPr>
                      <w:rStyle w:val="30"/>
                      <w:rFonts w:hint="eastAsia"/>
                      <w:color w:val="auto"/>
                      <w:highlight w:val="none"/>
                      <w:shd w:val="clear" w:color="auto" w:fill="FFFFFF"/>
                    </w:rPr>
                    <w:t>加强长江干支流系统治理</w:t>
                  </w:r>
                  <w:r>
                    <w:rPr>
                      <w:rFonts w:hint="eastAsia"/>
                      <w:color w:val="auto"/>
                      <w:highlight w:val="none"/>
                      <w:shd w:val="clear" w:color="auto" w:fill="FFFFFF"/>
                    </w:rPr>
                    <w:t>。按照《湖南省沿江化工企业搬迁改造实施方案》要求，沿江岸线</w:t>
                  </w:r>
                  <w:r>
                    <w:rPr>
                      <w:color w:val="auto"/>
                      <w:highlight w:val="none"/>
                      <w:shd w:val="clear" w:color="auto" w:fill="FFFFFF"/>
                    </w:rPr>
                    <w:t>1</w:t>
                  </w:r>
                  <w:r>
                    <w:rPr>
                      <w:rFonts w:hint="eastAsia"/>
                      <w:color w:val="auto"/>
                      <w:highlight w:val="none"/>
                      <w:shd w:val="clear" w:color="auto" w:fill="FFFFFF"/>
                    </w:rPr>
                    <w:t>公里范围内严禁新建、扩建化工园区、化工生产项目；严禁现有合规化工园区在沿江岸线</w:t>
                  </w:r>
                  <w:r>
                    <w:rPr>
                      <w:color w:val="auto"/>
                      <w:highlight w:val="none"/>
                      <w:shd w:val="clear" w:color="auto" w:fill="FFFFFF"/>
                    </w:rPr>
                    <w:t>1</w:t>
                  </w:r>
                  <w:r>
                    <w:rPr>
                      <w:rFonts w:hint="eastAsia"/>
                      <w:color w:val="auto"/>
                      <w:highlight w:val="none"/>
                      <w:shd w:val="clear" w:color="auto" w:fill="FFFFFF"/>
                    </w:rPr>
                    <w:t>公里范围内靠江扩建；安全环保达标的化工生产企业因生产需要可向背江一面逐步搬迁，</w:t>
                  </w:r>
                  <w:r>
                    <w:rPr>
                      <w:color w:val="auto"/>
                      <w:highlight w:val="none"/>
                      <w:shd w:val="clear" w:color="auto" w:fill="FFFFFF"/>
                    </w:rPr>
                    <w:t>2025</w:t>
                  </w:r>
                  <w:r>
                    <w:rPr>
                      <w:rFonts w:hint="eastAsia"/>
                      <w:color w:val="auto"/>
                      <w:highlight w:val="none"/>
                      <w:shd w:val="clear" w:color="auto" w:fill="FFFFFF"/>
                    </w:rPr>
                    <w:t>年底前完成沿江化工企业搬迁改造任务。全面加强入河排污口排查整治与监管，</w:t>
                  </w:r>
                  <w:r>
                    <w:rPr>
                      <w:color w:val="auto"/>
                      <w:highlight w:val="none"/>
                      <w:shd w:val="clear" w:color="auto" w:fill="FFFFFF"/>
                    </w:rPr>
                    <w:t>2023</w:t>
                  </w:r>
                  <w:r>
                    <w:rPr>
                      <w:rFonts w:hint="eastAsia"/>
                      <w:color w:val="auto"/>
                      <w:highlight w:val="none"/>
                      <w:shd w:val="clear" w:color="auto" w:fill="FFFFFF"/>
                    </w:rPr>
                    <w:t>年完成长江干流湖南段、湘资沅澧干流及重要支流入河排污口排查，建立入河排污口名录，初步建成统一的流域排污口信息管理系统，</w:t>
                  </w:r>
                  <w:r>
                    <w:rPr>
                      <w:color w:val="auto"/>
                      <w:highlight w:val="none"/>
                      <w:shd w:val="clear" w:color="auto" w:fill="FFFFFF"/>
                    </w:rPr>
                    <w:t>2025</w:t>
                  </w:r>
                  <w:r>
                    <w:rPr>
                      <w:rFonts w:hint="eastAsia"/>
                      <w:color w:val="auto"/>
                      <w:highlight w:val="none"/>
                      <w:shd w:val="clear" w:color="auto" w:fill="FFFFFF"/>
                    </w:rPr>
                    <w:t>年完成全流域排污口排查，建成流域排污口信息管理系统。完成入河排污口区域分区体系建设，明确禁止设置、限制设置区域范围，有效规范和管控入河排污口。</w:t>
                  </w:r>
                </w:p>
              </w:tc>
              <w:tc>
                <w:tcPr>
                  <w:tcW w:w="1309" w:type="pct"/>
                  <w:vAlign w:val="center"/>
                </w:tcPr>
                <w:p>
                  <w:pPr>
                    <w:pStyle w:val="38"/>
                    <w:widowControl w:val="0"/>
                    <w:jc w:val="center"/>
                    <w:rPr>
                      <w:color w:val="auto"/>
                      <w:highlight w:val="none"/>
                    </w:rPr>
                  </w:pPr>
                  <w:r>
                    <w:rPr>
                      <w:rFonts w:hint="eastAsia"/>
                      <w:color w:val="auto"/>
                      <w:highlight w:val="none"/>
                      <w:lang w:bidi="zh-CN"/>
                    </w:rPr>
                    <w:t>本项目属于“</w:t>
                  </w:r>
                  <w:r>
                    <w:rPr>
                      <w:rFonts w:hint="eastAsia"/>
                      <w:color w:val="auto"/>
                      <w:highlight w:val="none"/>
                      <w:lang w:val="en-US" w:bidi="zh-CN"/>
                    </w:rPr>
                    <w:t>自来水生产和供应</w:t>
                  </w:r>
                  <w:r>
                    <w:rPr>
                      <w:rFonts w:hint="eastAsia"/>
                      <w:color w:val="auto"/>
                      <w:highlight w:val="none"/>
                      <w:lang w:bidi="zh-CN"/>
                    </w:rPr>
                    <w:t>”，</w:t>
                  </w:r>
                  <w:r>
                    <w:rPr>
                      <w:rFonts w:hint="eastAsia"/>
                      <w:color w:val="auto"/>
                      <w:highlight w:val="none"/>
                    </w:rPr>
                    <w:t>是新建项目，不涉及化工行业，不设置入河排污口。</w:t>
                  </w:r>
                </w:p>
              </w:tc>
              <w:tc>
                <w:tcPr>
                  <w:tcW w:w="431" w:type="pct"/>
                  <w:vAlign w:val="center"/>
                </w:tcPr>
                <w:p>
                  <w:pPr>
                    <w:pStyle w:val="38"/>
                    <w:widowControl w:val="0"/>
                    <w:jc w:val="center"/>
                    <w:rPr>
                      <w:color w:val="auto"/>
                      <w:highlight w:val="none"/>
                    </w:rPr>
                  </w:pPr>
                  <w:r>
                    <w:rPr>
                      <w:rFonts w:hint="eastAsia"/>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8" w:type="pct"/>
                </w:tcPr>
                <w:p>
                  <w:pPr>
                    <w:pStyle w:val="38"/>
                    <w:widowControl w:val="0"/>
                    <w:rPr>
                      <w:rStyle w:val="30"/>
                      <w:color w:val="auto"/>
                      <w:highlight w:val="none"/>
                      <w:shd w:val="clear" w:color="auto" w:fill="FFFFFF"/>
                    </w:rPr>
                  </w:pPr>
                  <w:r>
                    <w:rPr>
                      <w:rStyle w:val="30"/>
                      <w:rFonts w:hint="eastAsia"/>
                      <w:color w:val="auto"/>
                      <w:highlight w:val="none"/>
                      <w:shd w:val="clear" w:color="auto" w:fill="FFFFFF"/>
                    </w:rPr>
                    <w:t>强化重点行业</w:t>
                  </w:r>
                  <w:r>
                    <w:rPr>
                      <w:rStyle w:val="30"/>
                      <w:color w:val="auto"/>
                      <w:highlight w:val="none"/>
                      <w:shd w:val="clear" w:color="auto" w:fill="FFFFFF"/>
                    </w:rPr>
                    <w:t>NOx</w:t>
                  </w:r>
                  <w:r>
                    <w:rPr>
                      <w:rStyle w:val="30"/>
                      <w:rFonts w:hint="eastAsia"/>
                      <w:color w:val="auto"/>
                      <w:highlight w:val="none"/>
                      <w:shd w:val="clear" w:color="auto" w:fill="FFFFFF"/>
                    </w:rPr>
                    <w:t>深度治理。</w:t>
                  </w:r>
                  <w:r>
                    <w:rPr>
                      <w:rFonts w:hint="eastAsia"/>
                      <w:color w:val="auto"/>
                      <w:highlight w:val="none"/>
                      <w:shd w:val="clear" w:color="auto" w:fill="FFFFFF"/>
                    </w:rPr>
                    <w:t>推进烧结砖瓦行业治理设施升级改造，淘汰“双碱法”脱硫除尘一体化技术，到</w:t>
                  </w:r>
                  <w:r>
                    <w:rPr>
                      <w:color w:val="auto"/>
                      <w:highlight w:val="none"/>
                      <w:shd w:val="clear" w:color="auto" w:fill="FFFFFF"/>
                    </w:rPr>
                    <w:t>2025</w:t>
                  </w:r>
                  <w:r>
                    <w:rPr>
                      <w:rFonts w:hint="eastAsia"/>
                      <w:color w:val="auto"/>
                      <w:highlight w:val="none"/>
                      <w:shd w:val="clear" w:color="auto" w:fill="FFFFFF"/>
                    </w:rPr>
                    <w:t>年，烧结砖瓦企业完成高效脱硫除尘改造。推进水泥熟料生产企业采用分级燃烧等技术，配备高效除尘和脱硝设施，实施氮氧化物深度治理，到</w:t>
                  </w:r>
                  <w:r>
                    <w:rPr>
                      <w:color w:val="auto"/>
                      <w:highlight w:val="none"/>
                      <w:shd w:val="clear" w:color="auto" w:fill="FFFFFF"/>
                    </w:rPr>
                    <w:t>2023</w:t>
                  </w:r>
                  <w:r>
                    <w:rPr>
                      <w:rFonts w:hint="eastAsia"/>
                      <w:color w:val="auto"/>
                      <w:highlight w:val="none"/>
                      <w:shd w:val="clear" w:color="auto" w:fill="FFFFFF"/>
                    </w:rPr>
                    <w:t>年，</w:t>
                  </w:r>
                  <w:r>
                    <w:rPr>
                      <w:color w:val="auto"/>
                      <w:highlight w:val="none"/>
                      <w:shd w:val="clear" w:color="auto" w:fill="FFFFFF"/>
                    </w:rPr>
                    <w:t>NOx</w:t>
                  </w:r>
                  <w:r>
                    <w:rPr>
                      <w:rFonts w:hint="eastAsia"/>
                      <w:color w:val="auto"/>
                      <w:highlight w:val="none"/>
                      <w:shd w:val="clear" w:color="auto" w:fill="FFFFFF"/>
                    </w:rPr>
                    <w:t>排放浓度控制在</w:t>
                  </w:r>
                  <w:r>
                    <w:rPr>
                      <w:color w:val="auto"/>
                      <w:highlight w:val="none"/>
                      <w:shd w:val="clear" w:color="auto" w:fill="FFFFFF"/>
                    </w:rPr>
                    <w:t>100</w:t>
                  </w:r>
                  <w:r>
                    <w:rPr>
                      <w:rFonts w:hint="eastAsia"/>
                      <w:color w:val="auto"/>
                      <w:highlight w:val="none"/>
                      <w:shd w:val="clear" w:color="auto" w:fill="FFFFFF"/>
                    </w:rPr>
                    <w:t>毫克</w:t>
                  </w:r>
                  <w:r>
                    <w:rPr>
                      <w:color w:val="auto"/>
                      <w:highlight w:val="none"/>
                      <w:shd w:val="clear" w:color="auto" w:fill="FFFFFF"/>
                    </w:rPr>
                    <w:t>/</w:t>
                  </w:r>
                  <w:r>
                    <w:rPr>
                      <w:rFonts w:hint="eastAsia"/>
                      <w:color w:val="auto"/>
                      <w:highlight w:val="none"/>
                      <w:shd w:val="clear" w:color="auto" w:fill="FFFFFF"/>
                    </w:rPr>
                    <w:t>立方米以下。有序推进钢铁行业超低排放改造，到</w:t>
                  </w:r>
                  <w:r>
                    <w:rPr>
                      <w:color w:val="auto"/>
                      <w:highlight w:val="none"/>
                      <w:shd w:val="clear" w:color="auto" w:fill="FFFFFF"/>
                    </w:rPr>
                    <w:t>2023</w:t>
                  </w:r>
                  <w:r>
                    <w:rPr>
                      <w:rFonts w:hint="eastAsia"/>
                      <w:color w:val="auto"/>
                      <w:highlight w:val="none"/>
                      <w:shd w:val="clear" w:color="auto" w:fill="FFFFFF"/>
                    </w:rPr>
                    <w:t>年底，全省钢铁企业超低排放改造取得明显进展，到</w:t>
                  </w:r>
                  <w:r>
                    <w:rPr>
                      <w:color w:val="auto"/>
                      <w:highlight w:val="none"/>
                      <w:shd w:val="clear" w:color="auto" w:fill="FFFFFF"/>
                    </w:rPr>
                    <w:t>2025</w:t>
                  </w:r>
                  <w:r>
                    <w:rPr>
                      <w:rFonts w:hint="eastAsia"/>
                      <w:color w:val="auto"/>
                      <w:highlight w:val="none"/>
                      <w:shd w:val="clear" w:color="auto" w:fill="FFFFFF"/>
                    </w:rPr>
                    <w:t>年底，钢铁企业全面完成超低排放改造。推进玻璃、陶瓷、铸造、有色等行业污染深度治理。加强自备燃煤机组污染治理设施运行管控，确保按照超低排放运行。焦化、水泥、砖瓦、石灰、耐火材料、有色金属冶炼等行业，严格控制无组织排放。重点涉气排放企业逐步取消烟气旁路，因安全原因无法取消的，安装在线监管系统。开展燃气锅炉低氮改造。</w:t>
                  </w:r>
                </w:p>
              </w:tc>
              <w:tc>
                <w:tcPr>
                  <w:tcW w:w="1309" w:type="pct"/>
                  <w:vAlign w:val="center"/>
                </w:tcPr>
                <w:p>
                  <w:pPr>
                    <w:pStyle w:val="38"/>
                    <w:widowControl w:val="0"/>
                    <w:jc w:val="center"/>
                    <w:rPr>
                      <w:color w:val="auto"/>
                      <w:highlight w:val="none"/>
                    </w:rPr>
                  </w:pPr>
                  <w:r>
                    <w:rPr>
                      <w:rFonts w:hint="eastAsia"/>
                      <w:color w:val="auto"/>
                      <w:highlight w:val="none"/>
                    </w:rPr>
                    <w:t>本项目不涉及锅炉。</w:t>
                  </w:r>
                </w:p>
              </w:tc>
              <w:tc>
                <w:tcPr>
                  <w:tcW w:w="431" w:type="pct"/>
                  <w:vAlign w:val="center"/>
                </w:tcPr>
                <w:p>
                  <w:pPr>
                    <w:pStyle w:val="38"/>
                    <w:widowControl w:val="0"/>
                    <w:jc w:val="center"/>
                    <w:rPr>
                      <w:color w:val="auto"/>
                      <w:highlight w:val="none"/>
                    </w:rPr>
                  </w:pPr>
                  <w:r>
                    <w:rPr>
                      <w:rFonts w:hint="eastAsia"/>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8" w:type="pct"/>
                </w:tcPr>
                <w:p>
                  <w:pPr>
                    <w:pStyle w:val="38"/>
                    <w:widowControl w:val="0"/>
                    <w:rPr>
                      <w:rStyle w:val="30"/>
                      <w:color w:val="auto"/>
                      <w:highlight w:val="none"/>
                      <w:shd w:val="clear" w:color="auto" w:fill="FFFFFF"/>
                    </w:rPr>
                  </w:pPr>
                  <w:r>
                    <w:rPr>
                      <w:rStyle w:val="30"/>
                      <w:rFonts w:hint="eastAsia"/>
                      <w:color w:val="auto"/>
                      <w:highlight w:val="none"/>
                      <w:shd w:val="clear" w:color="auto" w:fill="FFFFFF"/>
                    </w:rPr>
                    <w:t>推进一般工业固体废物综合利用</w:t>
                  </w:r>
                  <w:r>
                    <w:rPr>
                      <w:rFonts w:hint="eastAsia"/>
                      <w:color w:val="auto"/>
                      <w:highlight w:val="none"/>
                      <w:shd w:val="clear" w:color="auto" w:fill="FFFFFF"/>
                    </w:rPr>
                    <w:t>。鼓励县级以上地方人民政府统筹或联合规划建设一般工业固体废物集中处置设施，支持资源化利用新技术、新设备、新产品的研发与应用；在环境风险可控下，充分利用工业窑炉、水泥窑等设施消纳采选尾矿、粉煤灰、炉渣、冶炼废渣、脱硫石膏等大宗工业固体废物；构建以水泥、建材、冶金等行业为核心的工业固体废物综合利用系统；推动工业固体废物资源综合利用示范基地（园区）、示范企业、示范项目建设，到</w:t>
                  </w:r>
                  <w:r>
                    <w:rPr>
                      <w:color w:val="auto"/>
                      <w:highlight w:val="none"/>
                      <w:shd w:val="clear" w:color="auto" w:fill="FFFFFF"/>
                    </w:rPr>
                    <w:t xml:space="preserve"> 2025 </w:t>
                  </w:r>
                  <w:r>
                    <w:rPr>
                      <w:rFonts w:hint="eastAsia"/>
                      <w:color w:val="auto"/>
                      <w:highlight w:val="none"/>
                      <w:shd w:val="clear" w:color="auto" w:fill="FFFFFF"/>
                    </w:rPr>
                    <w:t>年，全省一般工业固体废物资源综合利用率达到</w:t>
                  </w:r>
                  <w:r>
                    <w:rPr>
                      <w:color w:val="auto"/>
                      <w:highlight w:val="none"/>
                      <w:shd w:val="clear" w:color="auto" w:fill="FFFFFF"/>
                    </w:rPr>
                    <w:t>80%</w:t>
                  </w:r>
                  <w:r>
                    <w:rPr>
                      <w:rFonts w:hint="eastAsia"/>
                      <w:color w:val="auto"/>
                      <w:highlight w:val="none"/>
                      <w:shd w:val="clear" w:color="auto" w:fill="FFFFFF"/>
                    </w:rPr>
                    <w:t>。</w:t>
                  </w:r>
                </w:p>
              </w:tc>
              <w:tc>
                <w:tcPr>
                  <w:tcW w:w="1309" w:type="pct"/>
                  <w:vAlign w:val="center"/>
                </w:tcPr>
                <w:p>
                  <w:pPr>
                    <w:pStyle w:val="38"/>
                    <w:widowControl w:val="0"/>
                    <w:jc w:val="center"/>
                    <w:rPr>
                      <w:color w:val="auto"/>
                      <w:highlight w:val="none"/>
                    </w:rPr>
                  </w:pPr>
                  <w:r>
                    <w:rPr>
                      <w:rFonts w:hint="eastAsia"/>
                      <w:color w:val="auto"/>
                      <w:highlight w:val="none"/>
                    </w:rPr>
                    <w:t>本项目的一般工业固体废物暂存于固废暂存间，经收集后外售综合利用。</w:t>
                  </w:r>
                </w:p>
              </w:tc>
              <w:tc>
                <w:tcPr>
                  <w:tcW w:w="431" w:type="pct"/>
                  <w:vAlign w:val="center"/>
                </w:tcPr>
                <w:p>
                  <w:pPr>
                    <w:pStyle w:val="38"/>
                    <w:widowControl w:val="0"/>
                    <w:jc w:val="center"/>
                    <w:rPr>
                      <w:color w:val="auto"/>
                      <w:highlight w:val="none"/>
                    </w:rPr>
                  </w:pPr>
                  <w:r>
                    <w:rPr>
                      <w:rFonts w:hint="eastAsia"/>
                      <w:color w:val="auto"/>
                      <w:highlight w:val="none"/>
                    </w:rPr>
                    <w:t>符合</w:t>
                  </w:r>
                </w:p>
              </w:tc>
            </w:tr>
          </w:tbl>
          <w:p>
            <w:pPr>
              <w:pStyle w:val="5"/>
              <w:widowControl w:val="0"/>
              <w:ind w:left="0" w:leftChars="0" w:firstLine="0" w:firstLineChars="0"/>
              <w:rPr>
                <w:b/>
                <w:bCs/>
                <w:color w:val="auto"/>
                <w:highlight w:val="none"/>
              </w:rPr>
            </w:pPr>
            <w:r>
              <w:rPr>
                <w:rFonts w:hint="eastAsia"/>
                <w:b/>
                <w:bCs/>
                <w:color w:val="auto"/>
                <w:highlight w:val="none"/>
                <w:lang w:val="en-US" w:eastAsia="zh-CN"/>
              </w:rPr>
              <w:t>5</w:t>
            </w:r>
            <w:r>
              <w:rPr>
                <w:rFonts w:hint="eastAsia"/>
                <w:b/>
                <w:bCs/>
                <w:color w:val="auto"/>
                <w:highlight w:val="none"/>
              </w:rPr>
              <w:t>、项目与《湖南省长江经济带发展负面清单实施细则（试行，</w:t>
            </w:r>
            <w:r>
              <w:rPr>
                <w:b/>
                <w:bCs/>
                <w:color w:val="auto"/>
                <w:highlight w:val="none"/>
              </w:rPr>
              <w:t>2022</w:t>
            </w:r>
            <w:r>
              <w:rPr>
                <w:rFonts w:hint="eastAsia"/>
                <w:b/>
                <w:bCs/>
                <w:color w:val="auto"/>
                <w:highlight w:val="none"/>
              </w:rPr>
              <w:t>年版）》的符合性分析</w:t>
            </w:r>
          </w:p>
          <w:p>
            <w:pPr>
              <w:pStyle w:val="52"/>
              <w:rPr>
                <w:color w:val="auto"/>
                <w:highlight w:val="none"/>
              </w:rPr>
            </w:pPr>
            <w:r>
              <w:rPr>
                <w:rFonts w:hint="eastAsia"/>
                <w:color w:val="auto"/>
                <w:highlight w:val="none"/>
              </w:rPr>
              <w:t>表</w:t>
            </w:r>
            <w:r>
              <w:rPr>
                <w:color w:val="auto"/>
                <w:highlight w:val="none"/>
              </w:rPr>
              <w:t>1-</w:t>
            </w:r>
            <w:r>
              <w:rPr>
                <w:rFonts w:hint="eastAsia"/>
                <w:color w:val="auto"/>
                <w:highlight w:val="none"/>
                <w:lang w:val="en-US" w:eastAsia="zh-CN"/>
              </w:rPr>
              <w:t>3</w:t>
            </w:r>
            <w:r>
              <w:rPr>
                <w:rFonts w:hint="eastAsia"/>
                <w:color w:val="auto"/>
                <w:highlight w:val="none"/>
              </w:rPr>
              <w:t>《湖南省长江经济带发展负面清单实施细则》（节选）</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13"/>
              <w:gridCol w:w="2648"/>
              <w:gridCol w:w="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9" w:type="pct"/>
                  <w:vAlign w:val="center"/>
                </w:tcPr>
                <w:p>
                  <w:pPr>
                    <w:pStyle w:val="38"/>
                    <w:widowControl w:val="0"/>
                    <w:rPr>
                      <w:color w:val="auto"/>
                      <w:highlight w:val="none"/>
                    </w:rPr>
                  </w:pPr>
                  <w:r>
                    <w:rPr>
                      <w:rFonts w:hint="eastAsia"/>
                      <w:color w:val="auto"/>
                      <w:highlight w:val="none"/>
                    </w:rPr>
                    <w:t>与本项目有关要求</w:t>
                  </w:r>
                </w:p>
              </w:tc>
              <w:tc>
                <w:tcPr>
                  <w:tcW w:w="1558" w:type="pct"/>
                  <w:vAlign w:val="center"/>
                </w:tcPr>
                <w:p>
                  <w:pPr>
                    <w:pStyle w:val="38"/>
                    <w:widowControl w:val="0"/>
                    <w:jc w:val="center"/>
                    <w:rPr>
                      <w:color w:val="auto"/>
                      <w:highlight w:val="none"/>
                    </w:rPr>
                  </w:pPr>
                  <w:r>
                    <w:rPr>
                      <w:rFonts w:hint="eastAsia"/>
                      <w:color w:val="auto"/>
                      <w:highlight w:val="none"/>
                    </w:rPr>
                    <w:t>本项目情况</w:t>
                  </w:r>
                </w:p>
              </w:tc>
              <w:tc>
                <w:tcPr>
                  <w:tcW w:w="432" w:type="pct"/>
                  <w:vAlign w:val="center"/>
                </w:tcPr>
                <w:p>
                  <w:pPr>
                    <w:pStyle w:val="38"/>
                    <w:widowControl w:val="0"/>
                    <w:jc w:val="center"/>
                    <w:rPr>
                      <w:color w:val="auto"/>
                      <w:highlight w:val="none"/>
                    </w:rPr>
                  </w:pPr>
                  <w:r>
                    <w:rPr>
                      <w:rFonts w:hint="eastAsia"/>
                      <w:color w:val="auto"/>
                      <w:highlight w:val="none"/>
                    </w:rPr>
                    <w:t>符合分析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9" w:type="pct"/>
                </w:tcPr>
                <w:p>
                  <w:pPr>
                    <w:pStyle w:val="38"/>
                    <w:widowControl w:val="0"/>
                    <w:rPr>
                      <w:color w:val="auto"/>
                      <w:highlight w:val="none"/>
                    </w:rPr>
                  </w:pPr>
                  <w:r>
                    <w:rPr>
                      <w:rFonts w:hint="eastAsia"/>
                      <w:b/>
                      <w:bCs/>
                      <w:color w:val="auto"/>
                      <w:highlight w:val="none"/>
                    </w:rPr>
                    <w:t>第十六条</w:t>
                  </w:r>
                  <w:r>
                    <w:rPr>
                      <w:color w:val="auto"/>
                      <w:highlight w:val="none"/>
                    </w:rPr>
                    <w:t xml:space="preserve"> </w:t>
                  </w:r>
                  <w:r>
                    <w:rPr>
                      <w:rFonts w:hint="eastAsia"/>
                      <w:color w:val="auto"/>
                      <w:highlight w:val="none"/>
                    </w:rPr>
                    <w:t>禁止在合规园区外新建、扩建钢铁、石化、化工、焦化、建材、有色、制浆造纸等高污染项目。高污染项目严格按照生态环境部《环境保护综合名录（</w:t>
                  </w:r>
                  <w:r>
                    <w:rPr>
                      <w:color w:val="auto"/>
                      <w:highlight w:val="none"/>
                    </w:rPr>
                    <w:t>2021</w:t>
                  </w:r>
                  <w:r>
                    <w:rPr>
                      <w:rFonts w:hint="eastAsia"/>
                      <w:color w:val="auto"/>
                      <w:highlight w:val="none"/>
                    </w:rPr>
                    <w:t>年版）》有关要求执行。</w:t>
                  </w:r>
                </w:p>
              </w:tc>
              <w:tc>
                <w:tcPr>
                  <w:tcW w:w="1558" w:type="pct"/>
                  <w:vAlign w:val="center"/>
                </w:tcPr>
                <w:p>
                  <w:pPr>
                    <w:pStyle w:val="38"/>
                    <w:widowControl w:val="0"/>
                    <w:jc w:val="center"/>
                    <w:rPr>
                      <w:color w:val="auto"/>
                      <w:highlight w:val="none"/>
                    </w:rPr>
                  </w:pPr>
                  <w:r>
                    <w:rPr>
                      <w:rFonts w:hint="eastAsia"/>
                      <w:color w:val="auto"/>
                      <w:highlight w:val="none"/>
                    </w:rPr>
                    <w:t>本项目</w:t>
                  </w:r>
                  <w:r>
                    <w:rPr>
                      <w:rFonts w:hint="eastAsia"/>
                      <w:color w:val="auto"/>
                      <w:highlight w:val="none"/>
                      <w:lang w:val="en-US" w:bidi="zh-CN"/>
                    </w:rPr>
                    <w:t>为自来水生产和供应业，不属于高污染项目</w:t>
                  </w:r>
                  <w:r>
                    <w:rPr>
                      <w:rFonts w:hint="eastAsia"/>
                      <w:color w:val="auto"/>
                      <w:highlight w:val="none"/>
                    </w:rPr>
                    <w:t>。</w:t>
                  </w:r>
                </w:p>
              </w:tc>
              <w:tc>
                <w:tcPr>
                  <w:tcW w:w="432" w:type="pct"/>
                  <w:vAlign w:val="center"/>
                </w:tcPr>
                <w:p>
                  <w:pPr>
                    <w:pStyle w:val="38"/>
                    <w:widowControl w:val="0"/>
                    <w:jc w:val="center"/>
                    <w:rPr>
                      <w:color w:val="auto"/>
                      <w:highlight w:val="none"/>
                    </w:rPr>
                  </w:pPr>
                  <w:r>
                    <w:rPr>
                      <w:rFonts w:hint="eastAsia"/>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9" w:type="pct"/>
                </w:tcPr>
                <w:p>
                  <w:pPr>
                    <w:pStyle w:val="38"/>
                    <w:widowControl w:val="0"/>
                    <w:rPr>
                      <w:color w:val="auto"/>
                      <w:highlight w:val="none"/>
                    </w:rPr>
                  </w:pPr>
                  <w:r>
                    <w:rPr>
                      <w:rFonts w:hint="eastAsia"/>
                      <w:b/>
                      <w:bCs/>
                      <w:color w:val="auto"/>
                      <w:highlight w:val="none"/>
                    </w:rPr>
                    <w:t>第十七条</w:t>
                  </w:r>
                  <w:r>
                    <w:rPr>
                      <w:color w:val="auto"/>
                      <w:highlight w:val="none"/>
                    </w:rPr>
                    <w:t xml:space="preserve"> </w:t>
                  </w:r>
                  <w:r>
                    <w:rPr>
                      <w:rFonts w:hint="eastAsia"/>
                      <w:color w:val="auto"/>
                      <w:highlight w:val="none"/>
                    </w:rPr>
                    <w:t>禁止新建、扩建不符合国家石化、现代煤化工等产业布局规划的项目。未通过认定的化工园区，不得新建、改扩建化工项目（安全、环保、节能和智能化改造项目除外）。</w:t>
                  </w:r>
                </w:p>
              </w:tc>
              <w:tc>
                <w:tcPr>
                  <w:tcW w:w="1558" w:type="pct"/>
                  <w:vAlign w:val="center"/>
                </w:tcPr>
                <w:p>
                  <w:pPr>
                    <w:pStyle w:val="38"/>
                    <w:widowControl w:val="0"/>
                    <w:jc w:val="center"/>
                    <w:rPr>
                      <w:color w:val="auto"/>
                      <w:highlight w:val="none"/>
                    </w:rPr>
                  </w:pPr>
                  <w:r>
                    <w:rPr>
                      <w:rFonts w:hint="eastAsia"/>
                      <w:color w:val="auto"/>
                      <w:highlight w:val="none"/>
                      <w:lang w:bidi="zh-CN"/>
                    </w:rPr>
                    <w:t>本项目属于“</w:t>
                  </w:r>
                  <w:r>
                    <w:rPr>
                      <w:rFonts w:hint="eastAsia"/>
                      <w:color w:val="auto"/>
                      <w:highlight w:val="none"/>
                      <w:lang w:val="en-US" w:bidi="zh-CN"/>
                    </w:rPr>
                    <w:t>自来水生产和供应业</w:t>
                  </w:r>
                  <w:r>
                    <w:rPr>
                      <w:rFonts w:hint="eastAsia"/>
                      <w:color w:val="auto"/>
                      <w:highlight w:val="none"/>
                      <w:lang w:bidi="zh-CN"/>
                    </w:rPr>
                    <w:t>”，</w:t>
                  </w:r>
                  <w:r>
                    <w:rPr>
                      <w:rFonts w:hint="eastAsia"/>
                      <w:color w:val="auto"/>
                      <w:highlight w:val="none"/>
                    </w:rPr>
                    <w:t>本项目的建设</w:t>
                  </w:r>
                  <w:r>
                    <w:rPr>
                      <w:rFonts w:hint="eastAsia"/>
                      <w:color w:val="auto"/>
                      <w:highlight w:val="none"/>
                      <w:lang w:val="en-US" w:eastAsia="zh-CN"/>
                    </w:rPr>
                    <w:t>符合国家产业政策要求</w:t>
                  </w:r>
                </w:p>
              </w:tc>
              <w:tc>
                <w:tcPr>
                  <w:tcW w:w="432" w:type="pct"/>
                  <w:vAlign w:val="center"/>
                </w:tcPr>
                <w:p>
                  <w:pPr>
                    <w:pStyle w:val="38"/>
                    <w:widowControl w:val="0"/>
                    <w:jc w:val="center"/>
                    <w:rPr>
                      <w:color w:val="auto"/>
                      <w:highlight w:val="none"/>
                    </w:rPr>
                  </w:pPr>
                  <w:r>
                    <w:rPr>
                      <w:rFonts w:hint="eastAsia"/>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9" w:type="pct"/>
                </w:tcPr>
                <w:p>
                  <w:pPr>
                    <w:pStyle w:val="38"/>
                    <w:widowControl w:val="0"/>
                    <w:rPr>
                      <w:b/>
                      <w:bCs/>
                      <w:color w:val="auto"/>
                      <w:highlight w:val="none"/>
                    </w:rPr>
                  </w:pPr>
                  <w:r>
                    <w:rPr>
                      <w:rFonts w:hint="eastAsia"/>
                      <w:b/>
                      <w:bCs/>
                      <w:color w:val="auto"/>
                      <w:highlight w:val="none"/>
                    </w:rPr>
                    <w:t>第十八条</w:t>
                  </w:r>
                  <w:r>
                    <w:rPr>
                      <w:b/>
                      <w:bCs/>
                      <w:color w:val="auto"/>
                      <w:highlight w:val="none"/>
                    </w:rPr>
                    <w:t xml:space="preserve"> </w:t>
                  </w:r>
                  <w:r>
                    <w:rPr>
                      <w:rFonts w:hint="eastAsia"/>
                      <w:color w:val="auto"/>
                      <w:highlight w:val="none"/>
                    </w:rPr>
                    <w:t>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1558" w:type="pct"/>
                  <w:vAlign w:val="center"/>
                </w:tcPr>
                <w:p>
                  <w:pPr>
                    <w:pStyle w:val="38"/>
                    <w:widowControl w:val="0"/>
                    <w:jc w:val="center"/>
                    <w:rPr>
                      <w:color w:val="auto"/>
                      <w:highlight w:val="none"/>
                    </w:rPr>
                  </w:pPr>
                  <w:r>
                    <w:rPr>
                      <w:rFonts w:hint="eastAsia"/>
                      <w:color w:val="auto"/>
                      <w:highlight w:val="none"/>
                      <w:lang w:bidi="zh-CN"/>
                    </w:rPr>
                    <w:t>本项目属于“</w:t>
                  </w:r>
                  <w:r>
                    <w:rPr>
                      <w:rFonts w:hint="eastAsia"/>
                      <w:color w:val="auto"/>
                      <w:highlight w:val="none"/>
                      <w:lang w:val="en-US" w:bidi="zh-CN"/>
                    </w:rPr>
                    <w:t>自来水生产和供应业</w:t>
                  </w:r>
                  <w:r>
                    <w:rPr>
                      <w:rFonts w:hint="eastAsia"/>
                      <w:color w:val="auto"/>
                      <w:highlight w:val="none"/>
                      <w:lang w:bidi="zh-CN"/>
                    </w:rPr>
                    <w:t>”，</w:t>
                  </w:r>
                  <w:r>
                    <w:rPr>
                      <w:rFonts w:hint="eastAsia"/>
                      <w:color w:val="auto"/>
                      <w:highlight w:val="none"/>
                    </w:rPr>
                    <w:t>不属于落后产能项目，不属于严重过剩产能行业，不属于高耗能高排放项目。</w:t>
                  </w:r>
                </w:p>
              </w:tc>
              <w:tc>
                <w:tcPr>
                  <w:tcW w:w="432" w:type="pct"/>
                  <w:vAlign w:val="center"/>
                </w:tcPr>
                <w:p>
                  <w:pPr>
                    <w:pStyle w:val="38"/>
                    <w:widowControl w:val="0"/>
                    <w:jc w:val="center"/>
                    <w:rPr>
                      <w:color w:val="auto"/>
                      <w:highlight w:val="none"/>
                    </w:rPr>
                  </w:pPr>
                  <w:r>
                    <w:rPr>
                      <w:rFonts w:hint="eastAsia"/>
                      <w:color w:val="auto"/>
                      <w:highlight w:val="none"/>
                    </w:rPr>
                    <w:t>符合</w:t>
                  </w:r>
                </w:p>
              </w:tc>
            </w:tr>
          </w:tbl>
          <w:p>
            <w:pPr>
              <w:pStyle w:val="5"/>
              <w:widowControl w:val="0"/>
              <w:ind w:left="0" w:leftChars="0" w:firstLine="0" w:firstLineChars="0"/>
              <w:rPr>
                <w:rFonts w:hint="eastAsia" w:eastAsia="宋体"/>
                <w:b/>
                <w:bCs/>
                <w:color w:val="auto"/>
                <w:highlight w:val="none"/>
                <w:u w:val="single"/>
                <w:lang w:val="en-US" w:eastAsia="zh-CN"/>
              </w:rPr>
            </w:pPr>
            <w:r>
              <w:rPr>
                <w:rFonts w:hint="eastAsia" w:eastAsia="宋体"/>
                <w:b/>
                <w:bCs/>
                <w:color w:val="auto"/>
                <w:highlight w:val="none"/>
                <w:u w:val="single"/>
                <w:lang w:val="en-US" w:eastAsia="zh-CN"/>
              </w:rPr>
              <w:t>6、与《饮用水水源保护区污染防治管理规定》符合性分析</w:t>
            </w:r>
          </w:p>
          <w:p>
            <w:pPr>
              <w:pStyle w:val="5"/>
              <w:widowControl w:val="0"/>
              <w:ind w:firstLine="480"/>
              <w:rPr>
                <w:rFonts w:hint="eastAsia" w:ascii="宋体" w:hAnsi="宋体" w:eastAsia="宋体" w:cs="宋体"/>
                <w:color w:val="auto"/>
                <w:highlight w:val="none"/>
                <w:u w:val="single"/>
              </w:rPr>
            </w:pPr>
            <w:r>
              <w:rPr>
                <w:rFonts w:hint="eastAsia" w:ascii="宋体" w:hAnsi="宋体" w:eastAsia="宋体" w:cs="宋体"/>
                <w:color w:val="auto"/>
                <w:highlight w:val="none"/>
                <w:u w:val="single"/>
                <w:lang w:val="en-US" w:eastAsia="zh-CN"/>
              </w:rPr>
              <w:t>项目与《饮用水水源保护区污染防治管理规定》符合性分析见下表：</w:t>
            </w:r>
          </w:p>
          <w:p>
            <w:pPr>
              <w:pStyle w:val="52"/>
              <w:rPr>
                <w:rFonts w:hint="default" w:eastAsia="宋体"/>
                <w:color w:val="auto"/>
                <w:highlight w:val="none"/>
                <w:u w:val="single"/>
                <w:lang w:val="en-US" w:eastAsia="zh-CN"/>
              </w:rPr>
            </w:pPr>
            <w:r>
              <w:rPr>
                <w:rFonts w:hint="eastAsia"/>
                <w:color w:val="auto"/>
                <w:highlight w:val="none"/>
                <w:u w:val="single"/>
              </w:rPr>
              <w:t>表</w:t>
            </w:r>
            <w:r>
              <w:rPr>
                <w:color w:val="auto"/>
                <w:highlight w:val="none"/>
                <w:u w:val="single"/>
              </w:rPr>
              <w:t>1-</w:t>
            </w:r>
            <w:r>
              <w:rPr>
                <w:rFonts w:hint="eastAsia"/>
                <w:color w:val="auto"/>
                <w:highlight w:val="none"/>
                <w:u w:val="single"/>
                <w:lang w:val="en-US" w:eastAsia="zh-CN"/>
              </w:rPr>
              <w:t>4</w:t>
            </w:r>
            <w:r>
              <w:rPr>
                <w:rFonts w:hint="eastAsia"/>
                <w:color w:val="auto"/>
                <w:highlight w:val="none"/>
                <w:u w:val="single"/>
              </w:rPr>
              <w:t>《饮用水水源保护区污染防治管理规定》</w:t>
            </w:r>
            <w:r>
              <w:rPr>
                <w:rFonts w:hint="eastAsia"/>
                <w:color w:val="auto"/>
                <w:highlight w:val="none"/>
                <w:u w:val="single"/>
                <w:lang w:val="en-US" w:eastAsia="zh-CN"/>
              </w:rPr>
              <w:t>符合性分析</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2"/>
              <w:gridCol w:w="2836"/>
              <w:gridCol w:w="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2" w:type="pct"/>
                  <w:vAlign w:val="center"/>
                </w:tcPr>
                <w:p>
                  <w:pPr>
                    <w:pStyle w:val="38"/>
                    <w:widowControl w:val="0"/>
                    <w:rPr>
                      <w:rFonts w:hint="default" w:eastAsia="宋体"/>
                      <w:color w:val="auto"/>
                      <w:highlight w:val="none"/>
                      <w:u w:val="single"/>
                      <w:lang w:val="en-US" w:eastAsia="zh-CN"/>
                    </w:rPr>
                  </w:pPr>
                  <w:r>
                    <w:rPr>
                      <w:rFonts w:hint="eastAsia"/>
                      <w:color w:val="auto"/>
                      <w:highlight w:val="none"/>
                      <w:u w:val="single"/>
                      <w:lang w:val="en-US" w:eastAsia="zh-CN"/>
                    </w:rPr>
                    <w:t>管控要求</w:t>
                  </w:r>
                </w:p>
              </w:tc>
              <w:tc>
                <w:tcPr>
                  <w:tcW w:w="1669" w:type="pct"/>
                  <w:vAlign w:val="center"/>
                </w:tcPr>
                <w:p>
                  <w:pPr>
                    <w:pStyle w:val="38"/>
                    <w:widowControl w:val="0"/>
                    <w:jc w:val="center"/>
                    <w:rPr>
                      <w:color w:val="auto"/>
                      <w:highlight w:val="none"/>
                      <w:u w:val="single"/>
                    </w:rPr>
                  </w:pPr>
                  <w:r>
                    <w:rPr>
                      <w:rFonts w:hint="eastAsia"/>
                      <w:color w:val="auto"/>
                      <w:highlight w:val="none"/>
                      <w:u w:val="single"/>
                    </w:rPr>
                    <w:t>本项目情况</w:t>
                  </w:r>
                </w:p>
              </w:tc>
              <w:tc>
                <w:tcPr>
                  <w:tcW w:w="427" w:type="pct"/>
                  <w:vAlign w:val="center"/>
                </w:tcPr>
                <w:p>
                  <w:pPr>
                    <w:pStyle w:val="38"/>
                    <w:widowControl w:val="0"/>
                    <w:jc w:val="center"/>
                    <w:rPr>
                      <w:color w:val="auto"/>
                      <w:highlight w:val="none"/>
                      <w:u w:val="single"/>
                    </w:rPr>
                  </w:pPr>
                  <w:r>
                    <w:rPr>
                      <w:rFonts w:hint="eastAsia"/>
                      <w:color w:val="auto"/>
                      <w:highlight w:val="none"/>
                      <w:u w:val="single"/>
                    </w:rPr>
                    <w:t>符合分析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2" w:type="pct"/>
                  <w:vAlign w:val="center"/>
                </w:tcPr>
                <w:p>
                  <w:pPr>
                    <w:pStyle w:val="38"/>
                    <w:widowControl w:val="0"/>
                    <w:rPr>
                      <w:rFonts w:hint="eastAsia"/>
                      <w:color w:val="auto"/>
                      <w:highlight w:val="none"/>
                      <w:u w:val="single"/>
                      <w:lang w:val="en-US" w:eastAsia="zh-CN"/>
                    </w:rPr>
                  </w:pPr>
                  <w:r>
                    <w:rPr>
                      <w:rFonts w:hint="eastAsia"/>
                      <w:color w:val="auto"/>
                      <w:highlight w:val="none"/>
                      <w:u w:val="single"/>
                      <w:lang w:val="en-US" w:eastAsia="zh-CN"/>
                    </w:rPr>
                    <w:t>饮用水地表水源保护区包括一定的水域和陆域，其范围应按照不同水域特点进行水质定量预测并考虑当地具体条件加以确定，保证在规划设计的水文条件和污染负荷下，供应规划水量时，保护区的水质能满足相应的标准</w:t>
                  </w:r>
                </w:p>
              </w:tc>
              <w:tc>
                <w:tcPr>
                  <w:tcW w:w="1669" w:type="pct"/>
                  <w:vAlign w:val="center"/>
                </w:tcPr>
                <w:p>
                  <w:pPr>
                    <w:pStyle w:val="38"/>
                    <w:widowControl w:val="0"/>
                    <w:jc w:val="center"/>
                    <w:rPr>
                      <w:rFonts w:hint="default" w:eastAsia="宋体"/>
                      <w:color w:val="auto"/>
                      <w:highlight w:val="none"/>
                      <w:u w:val="single"/>
                      <w:lang w:val="en-US" w:eastAsia="zh-CN"/>
                    </w:rPr>
                  </w:pPr>
                  <w:r>
                    <w:rPr>
                      <w:rFonts w:hint="eastAsia"/>
                      <w:color w:val="auto"/>
                      <w:highlight w:val="none"/>
                      <w:u w:val="single"/>
                      <w:lang w:val="en-US" w:eastAsia="zh-CN"/>
                    </w:rPr>
                    <w:t>木形水库暂未划分饮用水水源保护区，临湘市水利局已出具木形水库作为千人以上饮用水水源地意见，（附件12），忠防镇人民政府、岳阳市生态环境局临湘分局已向岳阳市生态环境局申请木形水库划定饮用水水源地保护区（附件 11、附件 13），饮用水水源地名录申报及保护区划定工作正在有序推进。本评价要求在项目水源地划分为饮用水水源保护区之前，禁止向村民提供生活用水；</w:t>
                  </w:r>
                </w:p>
              </w:tc>
              <w:tc>
                <w:tcPr>
                  <w:tcW w:w="427" w:type="pct"/>
                  <w:vAlign w:val="center"/>
                </w:tcPr>
                <w:p>
                  <w:pPr>
                    <w:pStyle w:val="38"/>
                    <w:widowControl w:val="0"/>
                    <w:jc w:val="center"/>
                    <w:rPr>
                      <w:rFonts w:hint="eastAsia" w:eastAsia="宋体"/>
                      <w:color w:val="auto"/>
                      <w:highlight w:val="none"/>
                      <w:u w:val="single"/>
                      <w:lang w:val="en-US" w:eastAsia="zh-CN"/>
                    </w:rPr>
                  </w:pPr>
                  <w:r>
                    <w:rPr>
                      <w:rFonts w:hint="eastAsia"/>
                      <w:color w:val="auto"/>
                      <w:highlight w:val="none"/>
                      <w:u w:val="singl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2" w:type="pct"/>
                  <w:vAlign w:val="center"/>
                </w:tcPr>
                <w:p>
                  <w:pPr>
                    <w:pStyle w:val="38"/>
                    <w:widowControl w:val="0"/>
                    <w:rPr>
                      <w:rFonts w:hint="eastAsia"/>
                      <w:color w:val="auto"/>
                      <w:highlight w:val="none"/>
                      <w:u w:val="single"/>
                      <w:lang w:val="en-US" w:eastAsia="zh-CN"/>
                    </w:rPr>
                  </w:pPr>
                  <w:r>
                    <w:rPr>
                      <w:rFonts w:hint="eastAsia"/>
                      <w:color w:val="auto"/>
                      <w:highlight w:val="none"/>
                      <w:u w:val="single"/>
                      <w:lang w:val="en-US" w:eastAsia="zh-CN"/>
                    </w:rPr>
                    <w:t>在饮用水地表水源取水口附近划定一定的水域和陆域作为饮用水地表水源一级保护区。一级保护区的水质标准不得低于国家规定的《地表水环境质量标准》（GB3838-200</w:t>
                  </w:r>
                  <w:r>
                    <w:rPr>
                      <w:rFonts w:hint="default" w:ascii="Times New Roman" w:hAnsi="Times New Roman" w:cs="Times New Roman"/>
                      <w:color w:val="auto"/>
                      <w:highlight w:val="none"/>
                      <w:u w:val="single"/>
                      <w:lang w:val="en-US" w:eastAsia="zh-CN"/>
                    </w:rPr>
                    <w:t>2）Ⅱ</w:t>
                  </w:r>
                  <w:r>
                    <w:rPr>
                      <w:rFonts w:hint="eastAsia"/>
                      <w:color w:val="auto"/>
                      <w:highlight w:val="none"/>
                      <w:u w:val="single"/>
                      <w:lang w:val="en-US" w:eastAsia="zh-CN"/>
                    </w:rPr>
                    <w:t>类标准，并须符合国家规定的《生活饮用水卫生标准》（GB5749-2022）</w:t>
                  </w:r>
                  <w:r>
                    <w:rPr>
                      <w:rFonts w:hint="eastAsia"/>
                      <w:color w:val="auto"/>
                      <w:highlight w:val="none"/>
                      <w:u w:val="single"/>
                      <w:lang w:val="en-US" w:eastAsia="zh-CN"/>
                    </w:rPr>
                    <w:t>的要求</w:t>
                  </w:r>
                </w:p>
              </w:tc>
              <w:tc>
                <w:tcPr>
                  <w:tcW w:w="1669" w:type="pct"/>
                  <w:vMerge w:val="restart"/>
                  <w:vAlign w:val="center"/>
                </w:tcPr>
                <w:p>
                  <w:pPr>
                    <w:pStyle w:val="38"/>
                    <w:widowControl w:val="0"/>
                    <w:jc w:val="center"/>
                    <w:rPr>
                      <w:rFonts w:hint="default"/>
                      <w:color w:val="auto"/>
                      <w:highlight w:val="none"/>
                      <w:u w:val="single"/>
                      <w:lang w:val="en-US" w:eastAsia="zh-CN"/>
                    </w:rPr>
                  </w:pPr>
                  <w:r>
                    <w:rPr>
                      <w:rFonts w:hint="eastAsia"/>
                      <w:color w:val="auto"/>
                      <w:highlight w:val="none"/>
                      <w:u w:val="single"/>
                      <w:lang w:val="en-US" w:eastAsia="zh-CN"/>
                    </w:rPr>
                    <w:t>木形水库暂未划分饮用水水源保护区，临湘市水利局已出具木形水库作为千人以上饮用水水源地意见，（附件12），忠防镇人民政府、岳阳市生态环境局临湘分局已向岳阳市生态环境局申请木形水库划定饮用水水源地保护区（附件 11、附件 13），饮用水水源地名录申报及保护区划定工作正在有序推进。本评价要求在项目水源地划分为饮用水水源保护区之前，禁止向村民提供生活用水；根据水质检测结果，木形水库水质符合《地表水环境质量标准》（GB3838-2002）中</w:t>
                  </w:r>
                  <w:r>
                    <w:rPr>
                      <w:rFonts w:hint="default" w:ascii="Times New Roman" w:hAnsi="Times New Roman" w:cs="Times New Roman"/>
                      <w:color w:val="auto"/>
                      <w:highlight w:val="none"/>
                      <w:u w:val="single"/>
                      <w:lang w:val="en-US" w:eastAsia="zh-CN"/>
                    </w:rPr>
                    <w:t>Ⅱ</w:t>
                  </w:r>
                  <w:r>
                    <w:rPr>
                      <w:rFonts w:hint="eastAsia"/>
                      <w:color w:val="auto"/>
                      <w:highlight w:val="none"/>
                      <w:u w:val="single"/>
                      <w:lang w:val="en-US" w:eastAsia="zh-CN"/>
                    </w:rPr>
                    <w:t>类标准要求</w:t>
                  </w:r>
                  <w:r>
                    <w:rPr>
                      <w:rFonts w:hint="eastAsia"/>
                      <w:color w:val="auto"/>
                      <w:highlight w:val="none"/>
                      <w:u w:val="single"/>
                      <w:lang w:val="en-US" w:eastAsia="zh-CN"/>
                    </w:rPr>
                    <w:t>（地表水饮用水水源地，总氮指标不参与评价）；</w:t>
                  </w:r>
                </w:p>
              </w:tc>
              <w:tc>
                <w:tcPr>
                  <w:tcW w:w="427" w:type="pct"/>
                  <w:vAlign w:val="center"/>
                </w:tcPr>
                <w:p>
                  <w:pPr>
                    <w:pStyle w:val="38"/>
                    <w:widowControl w:val="0"/>
                    <w:jc w:val="center"/>
                    <w:rPr>
                      <w:rFonts w:hint="default"/>
                      <w:color w:val="auto"/>
                      <w:highlight w:val="none"/>
                      <w:u w:val="single"/>
                      <w:lang w:val="en-US" w:eastAsia="zh-CN"/>
                    </w:rPr>
                  </w:pPr>
                  <w:r>
                    <w:rPr>
                      <w:rFonts w:hint="eastAsia"/>
                      <w:color w:val="auto"/>
                      <w:highlight w:val="none"/>
                      <w:u w:val="singl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02" w:type="pct"/>
                  <w:vAlign w:val="center"/>
                </w:tcPr>
                <w:p>
                  <w:pPr>
                    <w:pStyle w:val="38"/>
                    <w:widowControl w:val="0"/>
                    <w:rPr>
                      <w:rFonts w:hint="eastAsia"/>
                      <w:color w:val="auto"/>
                      <w:highlight w:val="none"/>
                      <w:u w:val="single"/>
                      <w:lang w:val="en-US" w:eastAsia="zh-CN"/>
                    </w:rPr>
                  </w:pPr>
                  <w:r>
                    <w:rPr>
                      <w:rFonts w:hint="eastAsia"/>
                      <w:color w:val="auto"/>
                      <w:highlight w:val="none"/>
                      <w:u w:val="single"/>
                      <w:lang w:val="en-US" w:eastAsia="zh-CN"/>
                    </w:rPr>
                    <w:t>在饮用水地表水源一级保护区外划定一定水域和陆域作为饮用水地表水源二级保护区。二级保护区的水质标准不得低于国家规定的《地表水环境质量标准》（GB3838-2002）</w:t>
                  </w:r>
                  <w:r>
                    <w:rPr>
                      <w:rFonts w:hint="default" w:ascii="Times New Roman" w:hAnsi="Times New Roman" w:cs="Times New Roman"/>
                      <w:color w:val="auto"/>
                      <w:highlight w:val="none"/>
                      <w:u w:val="single"/>
                      <w:lang w:val="en-US" w:eastAsia="zh-CN"/>
                    </w:rPr>
                    <w:t>Ⅲ</w:t>
                  </w:r>
                  <w:r>
                    <w:rPr>
                      <w:rFonts w:hint="eastAsia"/>
                      <w:color w:val="auto"/>
                      <w:highlight w:val="none"/>
                      <w:u w:val="single"/>
                      <w:lang w:val="en-US" w:eastAsia="zh-CN"/>
                    </w:rPr>
                    <w:t>类标准，应保证一级保护区的水质能满足规定的标准。</w:t>
                  </w:r>
                </w:p>
              </w:tc>
              <w:tc>
                <w:tcPr>
                  <w:tcW w:w="1669" w:type="pct"/>
                  <w:vMerge w:val="continue"/>
                  <w:vAlign w:val="center"/>
                </w:tcPr>
                <w:p>
                  <w:pPr>
                    <w:pStyle w:val="38"/>
                    <w:widowControl w:val="0"/>
                    <w:jc w:val="center"/>
                    <w:rPr>
                      <w:rFonts w:hint="eastAsia"/>
                      <w:color w:val="auto"/>
                      <w:highlight w:val="none"/>
                      <w:u w:val="single"/>
                      <w:lang w:val="en-US" w:eastAsia="zh-CN"/>
                    </w:rPr>
                  </w:pPr>
                </w:p>
              </w:tc>
              <w:tc>
                <w:tcPr>
                  <w:tcW w:w="427" w:type="pct"/>
                  <w:vAlign w:val="center"/>
                </w:tcPr>
                <w:p>
                  <w:pPr>
                    <w:pStyle w:val="38"/>
                    <w:widowControl w:val="0"/>
                    <w:jc w:val="center"/>
                    <w:rPr>
                      <w:rFonts w:hint="default"/>
                      <w:color w:val="auto"/>
                      <w:highlight w:val="none"/>
                      <w:u w:val="single"/>
                      <w:lang w:val="en-US" w:eastAsia="zh-CN"/>
                    </w:rPr>
                  </w:pPr>
                  <w:r>
                    <w:rPr>
                      <w:rFonts w:hint="eastAsia"/>
                      <w:color w:val="auto"/>
                      <w:highlight w:val="none"/>
                      <w:u w:val="singl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2" w:type="pct"/>
                  <w:vAlign w:val="center"/>
                </w:tcPr>
                <w:p>
                  <w:pPr>
                    <w:pStyle w:val="38"/>
                    <w:widowControl w:val="0"/>
                    <w:rPr>
                      <w:rFonts w:hint="eastAsia"/>
                      <w:color w:val="auto"/>
                      <w:highlight w:val="none"/>
                      <w:u w:val="single"/>
                      <w:lang w:val="en-US" w:eastAsia="zh-CN"/>
                    </w:rPr>
                  </w:pPr>
                  <w:r>
                    <w:rPr>
                      <w:rFonts w:hint="eastAsia"/>
                      <w:color w:val="auto"/>
                      <w:highlight w:val="none"/>
                      <w:u w:val="single"/>
                      <w:lang w:val="en-US" w:eastAsia="zh-CN"/>
                    </w:rPr>
                    <w:t>根据需要可在饮用水地表水源二级保护区外划定一定的水域及陆域作为饮用水地表水源准保护区。准保护区的本项目未设置准保护区是水质标准应保证二级保护区的水质能满足规定的标准。</w:t>
                  </w:r>
                </w:p>
              </w:tc>
              <w:tc>
                <w:tcPr>
                  <w:tcW w:w="1669" w:type="pct"/>
                  <w:vMerge w:val="continue"/>
                  <w:vAlign w:val="center"/>
                </w:tcPr>
                <w:p>
                  <w:pPr>
                    <w:pStyle w:val="38"/>
                    <w:widowControl w:val="0"/>
                    <w:jc w:val="center"/>
                    <w:rPr>
                      <w:rFonts w:hint="eastAsia"/>
                      <w:color w:val="auto"/>
                      <w:highlight w:val="none"/>
                      <w:u w:val="single"/>
                      <w:lang w:val="en-US" w:eastAsia="zh-CN"/>
                    </w:rPr>
                  </w:pPr>
                </w:p>
              </w:tc>
              <w:tc>
                <w:tcPr>
                  <w:tcW w:w="427" w:type="pct"/>
                  <w:vAlign w:val="center"/>
                </w:tcPr>
                <w:p>
                  <w:pPr>
                    <w:pStyle w:val="38"/>
                    <w:widowControl w:val="0"/>
                    <w:jc w:val="center"/>
                    <w:rPr>
                      <w:rFonts w:hint="eastAsia"/>
                      <w:color w:val="auto"/>
                      <w:highlight w:val="none"/>
                      <w:u w:val="single"/>
                      <w:lang w:val="en-US" w:eastAsia="zh-CN"/>
                    </w:rPr>
                  </w:pPr>
                  <w:r>
                    <w:rPr>
                      <w:rFonts w:hint="eastAsia"/>
                      <w:color w:val="auto"/>
                      <w:highlight w:val="none"/>
                      <w:u w:val="singl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2" w:type="pct"/>
                  <w:vAlign w:val="center"/>
                </w:tcPr>
                <w:p>
                  <w:pPr>
                    <w:pStyle w:val="38"/>
                    <w:widowControl w:val="0"/>
                    <w:jc w:val="left"/>
                    <w:rPr>
                      <w:rFonts w:hint="eastAsia"/>
                      <w:color w:val="auto"/>
                      <w:highlight w:val="none"/>
                      <w:u w:val="single"/>
                      <w:lang w:val="en-US" w:eastAsia="zh-CN"/>
                    </w:rPr>
                  </w:pPr>
                  <w:r>
                    <w:rPr>
                      <w:rFonts w:hint="eastAsia"/>
                      <w:color w:val="auto"/>
                      <w:highlight w:val="none"/>
                      <w:u w:val="single"/>
                      <w:lang w:val="en-US" w:eastAsia="zh-CN"/>
                    </w:rPr>
                    <w:t>饮用水地表水源各级保护区及准保护区内均必须遵守下列规定：</w:t>
                  </w:r>
                </w:p>
                <w:p>
                  <w:pPr>
                    <w:pStyle w:val="38"/>
                    <w:widowControl w:val="0"/>
                    <w:jc w:val="left"/>
                    <w:rPr>
                      <w:rFonts w:hint="eastAsia"/>
                      <w:color w:val="auto"/>
                      <w:highlight w:val="none"/>
                      <w:u w:val="single"/>
                      <w:lang w:val="en-US" w:eastAsia="zh-CN"/>
                    </w:rPr>
                  </w:pPr>
                  <w:r>
                    <w:rPr>
                      <w:rFonts w:hint="eastAsia"/>
                      <w:color w:val="auto"/>
                      <w:highlight w:val="none"/>
                      <w:u w:val="single"/>
                      <w:lang w:val="en-US" w:eastAsia="zh-CN"/>
                    </w:rPr>
                    <w:t>（1）禁止一切破坏水环境生态平衡的活动以及破坏水源林、护岸林、与水源保护相关植被的活动。</w:t>
                  </w:r>
                </w:p>
                <w:p>
                  <w:pPr>
                    <w:pStyle w:val="38"/>
                    <w:widowControl w:val="0"/>
                    <w:jc w:val="left"/>
                    <w:rPr>
                      <w:rFonts w:hint="eastAsia"/>
                      <w:color w:val="auto"/>
                      <w:highlight w:val="none"/>
                      <w:u w:val="single"/>
                      <w:lang w:val="en-US" w:eastAsia="zh-CN"/>
                    </w:rPr>
                  </w:pPr>
                  <w:r>
                    <w:rPr>
                      <w:rFonts w:hint="eastAsia"/>
                      <w:color w:val="auto"/>
                      <w:highlight w:val="none"/>
                      <w:u w:val="single"/>
                      <w:lang w:val="en-US" w:eastAsia="zh-CN"/>
                    </w:rPr>
                    <w:t>（2）禁止向水域倾倒工业废渣、城市垃圾、粪便及其它废弃物。</w:t>
                  </w:r>
                </w:p>
                <w:p>
                  <w:pPr>
                    <w:pStyle w:val="38"/>
                    <w:widowControl w:val="0"/>
                    <w:jc w:val="left"/>
                    <w:rPr>
                      <w:rFonts w:hint="eastAsia"/>
                      <w:color w:val="auto"/>
                      <w:highlight w:val="none"/>
                      <w:u w:val="single"/>
                      <w:lang w:val="en-US" w:eastAsia="zh-CN"/>
                    </w:rPr>
                  </w:pPr>
                  <w:r>
                    <w:rPr>
                      <w:rFonts w:hint="eastAsia"/>
                      <w:color w:val="auto"/>
                      <w:highlight w:val="none"/>
                      <w:u w:val="single"/>
                      <w:lang w:val="en-US" w:eastAsia="zh-CN"/>
                    </w:rPr>
                    <w:t>（3）运输有毒有害物质、油类、粪便的船舶和车辆一般不准进入保护区，必须进入者应事先申请并经有关；</w:t>
                  </w:r>
                </w:p>
                <w:p>
                  <w:pPr>
                    <w:pStyle w:val="38"/>
                    <w:widowControl w:val="0"/>
                    <w:jc w:val="left"/>
                    <w:rPr>
                      <w:rFonts w:hint="eastAsia"/>
                      <w:color w:val="auto"/>
                      <w:highlight w:val="none"/>
                      <w:u w:val="single"/>
                      <w:lang w:val="en-US" w:eastAsia="zh-CN"/>
                    </w:rPr>
                  </w:pPr>
                  <w:r>
                    <w:rPr>
                      <w:rFonts w:hint="eastAsia"/>
                      <w:color w:val="auto"/>
                      <w:highlight w:val="none"/>
                      <w:u w:val="single"/>
                      <w:lang w:val="en-US" w:eastAsia="zh-CN"/>
                    </w:rPr>
                    <w:t>部门批准、登记并设置防渗、防溢、防漏设施。</w:t>
                  </w:r>
                </w:p>
                <w:p>
                  <w:pPr>
                    <w:pStyle w:val="38"/>
                    <w:widowControl w:val="0"/>
                    <w:jc w:val="left"/>
                    <w:rPr>
                      <w:rFonts w:hint="eastAsia"/>
                      <w:color w:val="auto"/>
                      <w:highlight w:val="none"/>
                      <w:u w:val="single"/>
                      <w:lang w:val="en-US" w:eastAsia="zh-CN"/>
                    </w:rPr>
                  </w:pPr>
                  <w:r>
                    <w:rPr>
                      <w:rFonts w:hint="eastAsia"/>
                      <w:color w:val="auto"/>
                      <w:highlight w:val="none"/>
                      <w:u w:val="single"/>
                      <w:lang w:val="en-US" w:eastAsia="zh-CN"/>
                    </w:rPr>
                    <w:t>（4）禁止使用剧毒和高残留农药，不得滥用化肥，不得使用炸药、毒品捕杀鱼类。</w:t>
                  </w:r>
                </w:p>
              </w:tc>
              <w:tc>
                <w:tcPr>
                  <w:tcW w:w="1669" w:type="pct"/>
                  <w:vMerge w:val="restart"/>
                  <w:vAlign w:val="center"/>
                </w:tcPr>
                <w:p>
                  <w:pPr>
                    <w:pStyle w:val="38"/>
                    <w:widowControl w:val="0"/>
                    <w:jc w:val="center"/>
                    <w:rPr>
                      <w:rFonts w:hint="default"/>
                      <w:color w:val="auto"/>
                      <w:highlight w:val="none"/>
                      <w:u w:val="single"/>
                      <w:lang w:val="en-US" w:eastAsia="zh-CN"/>
                    </w:rPr>
                  </w:pPr>
                  <w:r>
                    <w:rPr>
                      <w:rFonts w:hint="eastAsia"/>
                      <w:color w:val="auto"/>
                      <w:highlight w:val="none"/>
                      <w:u w:val="single"/>
                      <w:lang w:val="en-US" w:eastAsia="zh-CN"/>
                    </w:rPr>
                    <w:t>木形水库暂未划分饮用水水源保护区，木形水库暂未划分饮用水水源保护区，临湘市水利局已出具木形水库作为千人以上饮用水水源地意见，（附件12），忠防镇人民政府、岳阳市生态环境局临湘分局已向岳阳市生态环境局申请木形水库划定饮用水水源地保护区（附件 11、附件 13），饮用水水源地名录申报及保护区划定工作正在有序推进。本评价要求建设单位按饮用水水源保护区要求执行相关规定并采取相应保护措施。</w:t>
                  </w:r>
                </w:p>
              </w:tc>
              <w:tc>
                <w:tcPr>
                  <w:tcW w:w="427" w:type="pct"/>
                  <w:vAlign w:val="center"/>
                </w:tcPr>
                <w:p>
                  <w:pPr>
                    <w:pStyle w:val="38"/>
                    <w:widowControl w:val="0"/>
                    <w:jc w:val="center"/>
                    <w:rPr>
                      <w:rFonts w:hint="eastAsia"/>
                      <w:color w:val="auto"/>
                      <w:highlight w:val="none"/>
                      <w:u w:val="single"/>
                      <w:lang w:val="en-US" w:eastAsia="zh-CN"/>
                    </w:rPr>
                  </w:pPr>
                  <w:r>
                    <w:rPr>
                      <w:rFonts w:hint="eastAsia"/>
                      <w:color w:val="auto"/>
                      <w:highlight w:val="none"/>
                      <w:u w:val="singl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2" w:type="pct"/>
                  <w:vAlign w:val="center"/>
                </w:tcPr>
                <w:p>
                  <w:pPr>
                    <w:pStyle w:val="38"/>
                    <w:widowControl w:val="0"/>
                    <w:jc w:val="left"/>
                    <w:rPr>
                      <w:rFonts w:hint="eastAsia"/>
                      <w:color w:val="auto"/>
                      <w:highlight w:val="none"/>
                      <w:u w:val="single"/>
                      <w:lang w:val="en-US" w:eastAsia="zh-CN"/>
                    </w:rPr>
                  </w:pPr>
                  <w:r>
                    <w:rPr>
                      <w:rFonts w:hint="eastAsia"/>
                      <w:color w:val="auto"/>
                      <w:highlight w:val="none"/>
                      <w:u w:val="single"/>
                      <w:lang w:val="en-US" w:eastAsia="zh-CN"/>
                    </w:rPr>
                    <w:t>饮用水地表水源各级保护区及准保护区内必须分别遵守下列规定：</w:t>
                  </w:r>
                </w:p>
                <w:p>
                  <w:pPr>
                    <w:pStyle w:val="38"/>
                    <w:widowControl w:val="0"/>
                    <w:jc w:val="left"/>
                    <w:rPr>
                      <w:rFonts w:hint="eastAsia"/>
                      <w:color w:val="auto"/>
                      <w:highlight w:val="none"/>
                      <w:u w:val="single"/>
                      <w:lang w:val="en-US" w:eastAsia="zh-CN"/>
                    </w:rPr>
                  </w:pPr>
                  <w:r>
                    <w:rPr>
                      <w:rFonts w:hint="eastAsia"/>
                      <w:color w:val="auto"/>
                      <w:highlight w:val="none"/>
                      <w:u w:val="single"/>
                      <w:lang w:val="en-US" w:eastAsia="zh-CN"/>
                    </w:rPr>
                    <w:t>一、一级保护区内禁止新建、扩建与供水设施和保护水源无关的建设项目；</w:t>
                  </w:r>
                </w:p>
                <w:p>
                  <w:pPr>
                    <w:pStyle w:val="38"/>
                    <w:widowControl w:val="0"/>
                    <w:jc w:val="left"/>
                    <w:rPr>
                      <w:rFonts w:hint="eastAsia"/>
                      <w:color w:val="auto"/>
                      <w:highlight w:val="none"/>
                      <w:u w:val="single"/>
                      <w:lang w:val="en-US" w:eastAsia="zh-CN"/>
                    </w:rPr>
                  </w:pPr>
                  <w:r>
                    <w:rPr>
                      <w:rFonts w:hint="eastAsia"/>
                      <w:color w:val="auto"/>
                      <w:highlight w:val="none"/>
                      <w:u w:val="single"/>
                      <w:lang w:val="en-US" w:eastAsia="zh-CN"/>
                    </w:rPr>
                    <w:t>禁止向水域排放污水</w:t>
                  </w:r>
                  <w:r>
                    <w:rPr>
                      <w:rFonts w:hint="eastAsia"/>
                      <w:color w:val="auto"/>
                      <w:highlight w:val="none"/>
                      <w:u w:val="single"/>
                      <w:lang w:val="en-US" w:eastAsia="zh-CN"/>
                    </w:rPr>
                    <w:t>，已设置的排污口必须拆除；不得设置与供水需要无关的码头，禁止停靠船舶；</w:t>
                  </w:r>
                </w:p>
                <w:p>
                  <w:pPr>
                    <w:pStyle w:val="38"/>
                    <w:widowControl w:val="0"/>
                    <w:jc w:val="left"/>
                    <w:rPr>
                      <w:rFonts w:hint="eastAsia"/>
                      <w:color w:val="auto"/>
                      <w:highlight w:val="none"/>
                      <w:u w:val="single"/>
                      <w:lang w:val="en-US" w:eastAsia="zh-CN"/>
                    </w:rPr>
                  </w:pPr>
                  <w:r>
                    <w:rPr>
                      <w:rFonts w:hint="eastAsia"/>
                      <w:color w:val="auto"/>
                      <w:highlight w:val="none"/>
                      <w:u w:val="single"/>
                      <w:lang w:val="en-US" w:eastAsia="zh-CN"/>
                    </w:rPr>
                    <w:t>禁止堆置和存放工业废渣、城市垃圾、粪便和其他废弃物；禁止设置油库；禁止从事种植、放养禽畜，严格控制网箱养殖活动；禁止可能污染水源的旅游活动和其他活动。</w:t>
                  </w:r>
                </w:p>
                <w:p>
                  <w:pPr>
                    <w:pStyle w:val="38"/>
                    <w:widowControl w:val="0"/>
                    <w:jc w:val="left"/>
                    <w:rPr>
                      <w:rFonts w:hint="eastAsia"/>
                      <w:color w:val="auto"/>
                      <w:highlight w:val="none"/>
                      <w:u w:val="single"/>
                      <w:lang w:val="en-US" w:eastAsia="zh-CN"/>
                    </w:rPr>
                  </w:pPr>
                  <w:r>
                    <w:rPr>
                      <w:rFonts w:hint="eastAsia"/>
                      <w:color w:val="auto"/>
                      <w:highlight w:val="none"/>
                      <w:u w:val="single"/>
                      <w:lang w:val="en-US" w:eastAsia="zh-CN"/>
                    </w:rPr>
                    <w:t>二、二级保护区内不准新建、扩建向水体排放污染物的建设项目。改建项目必须削减污染物排放量；原有排污口必须削减污水排放量，保证保护区内水质满足规定的水质标准；禁止设立装卸垃圾、粪便、油类和有毒物品的码头。</w:t>
                  </w:r>
                </w:p>
                <w:p>
                  <w:pPr>
                    <w:pStyle w:val="38"/>
                    <w:widowControl w:val="0"/>
                    <w:jc w:val="left"/>
                    <w:rPr>
                      <w:rFonts w:hint="eastAsia"/>
                      <w:color w:val="auto"/>
                      <w:highlight w:val="none"/>
                      <w:u w:val="single"/>
                      <w:lang w:val="en-US" w:eastAsia="zh-CN"/>
                    </w:rPr>
                  </w:pPr>
                  <w:r>
                    <w:rPr>
                      <w:rFonts w:hint="eastAsia"/>
                      <w:color w:val="auto"/>
                      <w:highlight w:val="none"/>
                      <w:u w:val="single"/>
                      <w:lang w:val="en-US" w:eastAsia="zh-CN"/>
                    </w:rPr>
                    <w:t>三、准保护区内</w:t>
                  </w:r>
                </w:p>
                <w:p>
                  <w:pPr>
                    <w:pStyle w:val="38"/>
                    <w:widowControl w:val="0"/>
                    <w:jc w:val="left"/>
                    <w:rPr>
                      <w:rFonts w:hint="eastAsia"/>
                      <w:color w:val="auto"/>
                      <w:highlight w:val="none"/>
                      <w:u w:val="single"/>
                      <w:lang w:val="en-US" w:eastAsia="zh-CN"/>
                    </w:rPr>
                  </w:pPr>
                  <w:r>
                    <w:rPr>
                      <w:rFonts w:hint="eastAsia"/>
                      <w:color w:val="auto"/>
                      <w:highlight w:val="none"/>
                      <w:u w:val="single"/>
                      <w:lang w:val="en-US" w:eastAsia="zh-CN"/>
                    </w:rPr>
                    <w:t>直接或间接向水域排放废水，必须符合国家及地方规定的废水排放标准。当排放总量不能保证保护区内水质满足规定的标准时，必须削减排污负荷。</w:t>
                  </w:r>
                </w:p>
              </w:tc>
              <w:tc>
                <w:tcPr>
                  <w:tcW w:w="1669" w:type="pct"/>
                  <w:vMerge w:val="continue"/>
                  <w:vAlign w:val="center"/>
                </w:tcPr>
                <w:p>
                  <w:pPr>
                    <w:pStyle w:val="38"/>
                    <w:widowControl w:val="0"/>
                    <w:jc w:val="center"/>
                    <w:rPr>
                      <w:rFonts w:hint="eastAsia"/>
                      <w:color w:val="auto"/>
                      <w:highlight w:val="none"/>
                      <w:u w:val="single"/>
                      <w:lang w:val="en-US" w:eastAsia="zh-CN"/>
                    </w:rPr>
                  </w:pPr>
                </w:p>
              </w:tc>
              <w:tc>
                <w:tcPr>
                  <w:tcW w:w="427" w:type="pct"/>
                  <w:vAlign w:val="center"/>
                </w:tcPr>
                <w:p>
                  <w:pPr>
                    <w:pStyle w:val="38"/>
                    <w:widowControl w:val="0"/>
                    <w:jc w:val="center"/>
                    <w:rPr>
                      <w:rFonts w:hint="eastAsia"/>
                      <w:color w:val="auto"/>
                      <w:highlight w:val="none"/>
                      <w:u w:val="single"/>
                      <w:lang w:val="en-US" w:eastAsia="zh-CN"/>
                    </w:rPr>
                  </w:pPr>
                  <w:r>
                    <w:rPr>
                      <w:rFonts w:hint="eastAsia"/>
                      <w:color w:val="auto"/>
                      <w:highlight w:val="none"/>
                      <w:u w:val="single"/>
                      <w:lang w:val="en-US" w:eastAsia="zh-CN"/>
                    </w:rPr>
                    <w:t>符合</w:t>
                  </w:r>
                </w:p>
              </w:tc>
            </w:tr>
          </w:tbl>
          <w:p>
            <w:pPr>
              <w:numPr>
                <w:ilvl w:val="0"/>
                <w:numId w:val="0"/>
              </w:numPr>
              <w:snapToGrid w:val="0"/>
              <w:spacing w:line="360" w:lineRule="auto"/>
              <w:jc w:val="left"/>
              <w:rPr>
                <w:rFonts w:hint="default" w:eastAsia="宋体"/>
                <w:color w:val="auto"/>
                <w:highlight w:val="none"/>
                <w:lang w:val="en-US" w:eastAsia="zh-CN"/>
              </w:rPr>
            </w:pPr>
          </w:p>
        </w:tc>
      </w:tr>
    </w:tbl>
    <w:p>
      <w:pPr>
        <w:rPr>
          <w:color w:val="000000" w:themeColor="text1"/>
          <w:highlight w:val="none"/>
          <w:lang w:val="en-US"/>
          <w14:textFill>
            <w14:solidFill>
              <w14:schemeClr w14:val="tx1"/>
            </w14:solidFill>
          </w14:textFill>
        </w:rPr>
      </w:pPr>
      <w:r>
        <w:rPr>
          <w:color w:val="000000" w:themeColor="text1"/>
          <w:highlight w:val="none"/>
          <w:lang w:val="en-US"/>
          <w14:textFill>
            <w14:solidFill>
              <w14:schemeClr w14:val="tx1"/>
            </w14:solidFill>
          </w14:textFill>
        </w:rPr>
        <w:br w:type="page"/>
      </w:r>
    </w:p>
    <w:p>
      <w:pPr>
        <w:pStyle w:val="3"/>
        <w:rPr>
          <w:color w:val="000000" w:themeColor="text1"/>
          <w:highlight w:val="none"/>
          <w:lang w:val="en-US"/>
          <w14:textFill>
            <w14:solidFill>
              <w14:schemeClr w14:val="tx1"/>
            </w14:solidFill>
          </w14:textFill>
        </w:rPr>
      </w:pPr>
      <w:bookmarkStart w:id="3" w:name="_Toc136591184"/>
      <w:r>
        <w:rPr>
          <w:rFonts w:hint="eastAsia"/>
          <w:color w:val="000000" w:themeColor="text1"/>
          <w:highlight w:val="none"/>
          <w:lang w:val="en-US"/>
          <w14:textFill>
            <w14:solidFill>
              <w14:schemeClr w14:val="tx1"/>
            </w14:solidFill>
          </w14:textFill>
        </w:rPr>
        <w:t>二、建设项目工程分析</w:t>
      </w:r>
      <w:bookmarkEnd w:id="3"/>
    </w:p>
    <w:tbl>
      <w:tblPr>
        <w:tblStyle w:val="2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4"/>
        <w:gridCol w:w="93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3" w:type="pct"/>
            <w:vAlign w:val="center"/>
          </w:tcPr>
          <w:p>
            <w:pPr>
              <w:pStyle w:val="3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建设内容</w:t>
            </w:r>
          </w:p>
        </w:tc>
        <w:tc>
          <w:tcPr>
            <w:tcW w:w="4706" w:type="pct"/>
          </w:tcPr>
          <w:p>
            <w:pPr>
              <w:pStyle w:val="4"/>
              <w:widowControl w:val="0"/>
              <w:ind w:left="0" w:leftChars="0" w:firstLine="0" w:firstLineChars="0"/>
              <w:jc w:val="both"/>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1、项目基本情况</w:t>
            </w:r>
          </w:p>
          <w:p>
            <w:pPr>
              <w:pStyle w:val="5"/>
              <w:widowControl w:val="0"/>
              <w:ind w:firstLine="480"/>
              <w:rPr>
                <w:rFonts w:hint="eastAsia"/>
                <w:color w:val="000000" w:themeColor="text1"/>
                <w:highlight w:val="none"/>
                <w:lang w:val="en-US" w:bidi="zh-CN"/>
                <w14:textFill>
                  <w14:solidFill>
                    <w14:schemeClr w14:val="tx1"/>
                  </w14:solidFill>
                </w14:textFill>
              </w:rPr>
            </w:pPr>
            <w:r>
              <w:rPr>
                <w:rFonts w:hint="eastAsia"/>
                <w:color w:val="000000" w:themeColor="text1"/>
                <w:highlight w:val="none"/>
                <w:lang w:val="en-US" w:bidi="zh-CN"/>
                <w14:textFill>
                  <w14:solidFill>
                    <w14:schemeClr w14:val="tx1"/>
                  </w14:solidFill>
                </w14:textFill>
              </w:rPr>
              <w:t>目前，项目所在地群众的生产生活用水大部分采用的是简单的自流式引水或村民自建的供水设施，没有净水设备，水质达不到卫生要求，且管道破损严重，供水能力太小，用户无法正常使用，且乡镇周边大部分村庄群众无自流用水，仅采用自家建设井水，水量及水质均达不到标准。因此严重影响了当地居民的生活。</w:t>
            </w:r>
            <w:r>
              <w:rPr>
                <w:rFonts w:hint="eastAsia"/>
                <w:color w:val="000000" w:themeColor="text1"/>
                <w:highlight w:val="none"/>
                <w:lang w:val="en-US" w:eastAsia="zh-CN"/>
                <w14:textFill>
                  <w14:solidFill>
                    <w14:schemeClr w14:val="tx1"/>
                  </w14:solidFill>
                </w14:textFill>
              </w:rPr>
              <w:t>近年来，随着临湘市忠防镇建设的快速发展，生活水平的不断提高，现有供水方式已不能满足要求，集中供水的模式已成为必然</w:t>
            </w:r>
            <w:r>
              <w:rPr>
                <w:rFonts w:hint="eastAsia"/>
                <w:color w:val="000000" w:themeColor="text1"/>
                <w:highlight w:val="none"/>
                <w:lang w:bidi="zh-CN"/>
                <w14:textFill>
                  <w14:solidFill>
                    <w14:schemeClr w14:val="tx1"/>
                  </w14:solidFill>
                </w14:textFill>
              </w:rPr>
              <w:t>。</w:t>
            </w:r>
          </w:p>
          <w:p>
            <w:pPr>
              <w:pStyle w:val="5"/>
              <w:widowControl w:val="0"/>
              <w:ind w:firstLine="480"/>
              <w:rPr>
                <w:rFonts w:hint="eastAsia"/>
                <w:color w:val="000000" w:themeColor="text1"/>
                <w:highlight w:val="none"/>
                <w:lang w:val="en-US" w:bidi="zh-CN"/>
                <w14:textFill>
                  <w14:solidFill>
                    <w14:schemeClr w14:val="tx1"/>
                  </w14:solidFill>
                </w14:textFill>
              </w:rPr>
            </w:pPr>
            <w:r>
              <w:rPr>
                <w:rFonts w:hint="eastAsia"/>
                <w:color w:val="000000" w:themeColor="text1"/>
                <w:highlight w:val="none"/>
                <w:lang w:val="en-US" w:bidi="zh-CN"/>
                <w14:textFill>
                  <w14:solidFill>
                    <w14:schemeClr w14:val="tx1"/>
                  </w14:solidFill>
                </w14:textFill>
              </w:rPr>
              <w:t>本项目的建设将会从根本上解决项目区村庄水量不足和确保水质稳定，提高人民的生活质量和健康水平，减少疾病发生，以维护农村社会稳定。同时通过改善当地的生态环境和社会环境，更有利于项目区传统工业的持续发展，为项目区经济发展步于良性循环创造有利条件。</w:t>
            </w:r>
          </w:p>
          <w:p>
            <w:pPr>
              <w:pStyle w:val="5"/>
              <w:widowControl w:val="0"/>
              <w:ind w:firstLine="480"/>
              <w:rPr>
                <w:rFonts w:hint="eastAsia"/>
                <w:color w:val="000000" w:themeColor="text1"/>
                <w:highlight w:val="none"/>
                <w:u w:val="single"/>
                <w:vertAlign w:val="baseline"/>
                <w:lang w:val="en-US" w:bidi="zh-CN"/>
                <w14:textFill>
                  <w14:solidFill>
                    <w14:schemeClr w14:val="tx1"/>
                  </w14:solidFill>
                </w14:textFill>
              </w:rPr>
            </w:pPr>
            <w:r>
              <w:rPr>
                <w:rFonts w:hint="eastAsia"/>
                <w:color w:val="000000" w:themeColor="text1"/>
                <w:highlight w:val="none"/>
                <w:u w:val="single"/>
                <w:lang w:val="en-US" w:bidi="zh-CN"/>
                <w14:textFill>
                  <w14:solidFill>
                    <w14:schemeClr w14:val="tx1"/>
                  </w14:solidFill>
                </w14:textFill>
              </w:rPr>
              <w:t>2023年2月，临湘市水利工程建设项目管理中心委托湖南环腾环保工程有限公司编制了《湖南省临湘市忠防镇木形水库新建工程项目环境影响报告书》，并于2023年4月24日通过岳阳市生态环境局审批，文号为：岳环评【2023】32号。根据《湖南省临湘市忠防镇木形水库新建工程项目环境影响报告书》，木形水库工程为一座具有供水、农业灌溉综合功能的</w:t>
            </w:r>
            <w:r>
              <w:rPr>
                <w:rFonts w:hint="default" w:ascii="Times New Roman" w:hAnsi="Times New Roman" w:cs="Times New Roman"/>
                <w:color w:val="000000" w:themeColor="text1"/>
                <w:highlight w:val="none"/>
                <w:u w:val="single"/>
                <w:lang w:val="en-US" w:bidi="zh-CN"/>
                <w14:textFill>
                  <w14:solidFill>
                    <w14:schemeClr w14:val="tx1"/>
                  </w14:solidFill>
                </w14:textFill>
              </w:rPr>
              <w:t>Ⅴ</w:t>
            </w:r>
            <w:r>
              <w:rPr>
                <w:rFonts w:hint="eastAsia"/>
                <w:color w:val="000000" w:themeColor="text1"/>
                <w:highlight w:val="none"/>
                <w:u w:val="single"/>
                <w:lang w:val="en-US" w:bidi="zh-CN"/>
                <w14:textFill>
                  <w14:solidFill>
                    <w14:schemeClr w14:val="tx1"/>
                  </w14:solidFill>
                </w14:textFill>
              </w:rPr>
              <w:t>等、</w:t>
            </w:r>
            <w:r>
              <w:rPr>
                <w:rFonts w:hint="default" w:ascii="Times New Roman" w:hAnsi="Times New Roman" w:cs="Times New Roman"/>
                <w:color w:val="000000" w:themeColor="text1"/>
                <w:highlight w:val="none"/>
                <w:u w:val="single"/>
                <w:lang w:val="en-US" w:bidi="zh-CN"/>
                <w14:textFill>
                  <w14:solidFill>
                    <w14:schemeClr w14:val="tx1"/>
                  </w14:solidFill>
                </w14:textFill>
              </w:rPr>
              <w:t>小（2）</w:t>
            </w:r>
            <w:r>
              <w:rPr>
                <w:rFonts w:hint="eastAsia"/>
                <w:color w:val="000000" w:themeColor="text1"/>
                <w:highlight w:val="none"/>
                <w:u w:val="single"/>
                <w:lang w:val="en-US" w:bidi="zh-CN"/>
                <w14:textFill>
                  <w14:solidFill>
                    <w14:schemeClr w14:val="tx1"/>
                  </w14:solidFill>
                </w14:textFill>
              </w:rPr>
              <w:t>型水利工程。主要任务是为防洪、农业灌溉为主，结合村镇供水。农业灌溉范围是水库周边的忠防村、木形村、双岗村等3个村，改善灌溉面积 2000 亩田，村镇供水范围是新田村、木形村等。水库建成蓄水后，总库容为94.5万m</w:t>
            </w:r>
            <w:r>
              <w:rPr>
                <w:rFonts w:hint="eastAsia"/>
                <w:color w:val="000000" w:themeColor="text1"/>
                <w:highlight w:val="none"/>
                <w:u w:val="single"/>
                <w:vertAlign w:val="superscript"/>
                <w:lang w:val="en-US" w:bidi="zh-CN"/>
                <w14:textFill>
                  <w14:solidFill>
                    <w14:schemeClr w14:val="tx1"/>
                  </w14:solidFill>
                </w14:textFill>
              </w:rPr>
              <w:t>3</w:t>
            </w:r>
            <w:r>
              <w:rPr>
                <w:rFonts w:hint="eastAsia"/>
                <w:color w:val="000000" w:themeColor="text1"/>
                <w:highlight w:val="none"/>
                <w:u w:val="single"/>
                <w:vertAlign w:val="baseline"/>
                <w:lang w:val="en-US" w:bidi="zh-CN"/>
                <w14:textFill>
                  <w14:solidFill>
                    <w14:schemeClr w14:val="tx1"/>
                  </w14:solidFill>
                </w14:textFill>
              </w:rPr>
              <w:t>，正常库容85.6万m</w:t>
            </w:r>
            <w:r>
              <w:rPr>
                <w:rFonts w:hint="eastAsia"/>
                <w:color w:val="000000" w:themeColor="text1"/>
                <w:highlight w:val="none"/>
                <w:u w:val="single"/>
                <w:vertAlign w:val="superscript"/>
                <w:lang w:val="en-US" w:bidi="zh-CN"/>
                <w14:textFill>
                  <w14:solidFill>
                    <w14:schemeClr w14:val="tx1"/>
                  </w14:solidFill>
                </w14:textFill>
              </w:rPr>
              <w:t>3</w:t>
            </w:r>
            <w:r>
              <w:rPr>
                <w:rFonts w:hint="eastAsia"/>
                <w:color w:val="000000" w:themeColor="text1"/>
                <w:highlight w:val="none"/>
                <w:u w:val="single"/>
                <w:vertAlign w:val="baseline"/>
                <w:lang w:val="en-US" w:bidi="zh-CN"/>
                <w14:textFill>
                  <w14:solidFill>
                    <w14:schemeClr w14:val="tx1"/>
                  </w14:solidFill>
                </w14:textFill>
              </w:rPr>
              <w:t>。</w:t>
            </w:r>
          </w:p>
          <w:p>
            <w:pPr>
              <w:pStyle w:val="5"/>
              <w:widowControl w:val="0"/>
              <w:ind w:firstLine="480"/>
              <w:rPr>
                <w:rFonts w:hint="eastAsia"/>
                <w:color w:val="000000" w:themeColor="text1"/>
                <w:highlight w:val="none"/>
                <w:u w:val="single"/>
                <w:vertAlign w:val="baseline"/>
                <w:lang w:val="en-US" w:bidi="zh-CN"/>
                <w14:textFill>
                  <w14:solidFill>
                    <w14:schemeClr w14:val="tx1"/>
                  </w14:solidFill>
                </w14:textFill>
              </w:rPr>
            </w:pPr>
            <w:r>
              <w:rPr>
                <w:rFonts w:hint="eastAsia"/>
                <w:color w:val="000000" w:themeColor="text1"/>
                <w:highlight w:val="none"/>
                <w:u w:val="single"/>
                <w:vertAlign w:val="baseline"/>
                <w:lang w:val="en-US" w:bidi="zh-CN"/>
                <w14:textFill>
                  <w14:solidFill>
                    <w14:schemeClr w14:val="tx1"/>
                  </w14:solidFill>
                </w14:textFill>
              </w:rPr>
              <w:t>本项目以木形水库作为供水水源，设计供水规模为960m</w:t>
            </w:r>
            <w:r>
              <w:rPr>
                <w:rFonts w:hint="eastAsia"/>
                <w:color w:val="000000" w:themeColor="text1"/>
                <w:highlight w:val="none"/>
                <w:u w:val="single"/>
                <w:vertAlign w:val="superscript"/>
                <w:lang w:val="en-US" w:bidi="zh-CN"/>
                <w14:textFill>
                  <w14:solidFill>
                    <w14:schemeClr w14:val="tx1"/>
                  </w14:solidFill>
                </w14:textFill>
              </w:rPr>
              <w:t>3</w:t>
            </w:r>
            <w:r>
              <w:rPr>
                <w:rFonts w:hint="eastAsia"/>
                <w:color w:val="000000" w:themeColor="text1"/>
                <w:highlight w:val="none"/>
                <w:u w:val="single"/>
                <w:vertAlign w:val="baseline"/>
                <w:lang w:val="en-US" w:bidi="zh-CN"/>
                <w14:textFill>
                  <w14:solidFill>
                    <w14:schemeClr w14:val="tx1"/>
                  </w14:solidFill>
                </w14:textFill>
              </w:rPr>
              <w:t>/d，木形水库库容能满足本项目水量要求。</w:t>
            </w:r>
            <w:r>
              <w:rPr>
                <w:rFonts w:hint="eastAsia"/>
                <w:color w:val="auto"/>
                <w:highlight w:val="none"/>
                <w:u w:val="single"/>
                <w:vertAlign w:val="baseline"/>
                <w:lang w:val="en-US" w:bidi="zh-CN"/>
              </w:rPr>
              <w:t>根据湖南省临湘市水利建设项目管理中心提供的水质检测报告（附件7），木形水库水质符合《地表水环境质量标准》（GB3838-2002）中</w:t>
            </w:r>
            <w:r>
              <w:rPr>
                <w:rFonts w:hint="default" w:ascii="Times New Roman" w:hAnsi="Times New Roman" w:cs="Times New Roman"/>
                <w:color w:val="auto"/>
                <w:highlight w:val="none"/>
                <w:u w:val="single"/>
                <w:vertAlign w:val="baseline"/>
                <w:lang w:val="en-US" w:bidi="zh-CN"/>
              </w:rPr>
              <w:t>Ⅱ</w:t>
            </w:r>
            <w:r>
              <w:rPr>
                <w:rFonts w:hint="eastAsia"/>
                <w:color w:val="auto"/>
                <w:highlight w:val="none"/>
                <w:u w:val="single"/>
                <w:vertAlign w:val="baseline"/>
                <w:lang w:val="en-US" w:bidi="zh-CN"/>
              </w:rPr>
              <w:t>类标准要求</w:t>
            </w:r>
            <w:r>
              <w:rPr>
                <w:rFonts w:hint="eastAsia"/>
                <w:color w:val="auto"/>
                <w:highlight w:val="none"/>
                <w:u w:val="single"/>
                <w:vertAlign w:val="baseline"/>
                <w:lang w:val="en-US" w:bidi="zh-CN"/>
              </w:rPr>
              <w:t>（地表水饮用水水源地，总氮指标不参与评价）</w:t>
            </w:r>
            <w:r>
              <w:rPr>
                <w:rFonts w:hint="eastAsia"/>
                <w:color w:val="000000" w:themeColor="text1"/>
                <w:highlight w:val="none"/>
                <w:u w:val="single"/>
                <w:vertAlign w:val="baseline"/>
                <w:lang w:val="en-US" w:bidi="zh-CN"/>
                <w14:textFill>
                  <w14:solidFill>
                    <w14:schemeClr w14:val="tx1"/>
                  </w14:solidFill>
                </w14:textFill>
              </w:rPr>
              <w:t>，经常规净化处理可作为生活饮用水水源。（当水位在正常供水区范围时，可向农村人饮及灌区正常供水；当水库水位低于供水限制线时，以保生活为主，必须限制向灌区供水，以保证后期抗旱之需；当水库水位超过加大供水线时，供水流量可加大，以充蓄灌区内蓄水工程；当水库水位消落到死水位时，应停止供水，不能随意动用死库容。）</w:t>
            </w:r>
          </w:p>
          <w:p>
            <w:pPr>
              <w:pStyle w:val="5"/>
              <w:widowControl w:val="0"/>
              <w:ind w:firstLine="480"/>
              <w:rPr>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u w:val="single"/>
                <w:vertAlign w:val="baseline"/>
                <w:lang w:val="en-US" w:bidi="zh-CN"/>
                <w14:textFill>
                  <w14:solidFill>
                    <w14:schemeClr w14:val="tx1"/>
                  </w14:solidFill>
                </w14:textFill>
              </w:rPr>
              <w:t>临湘市忠防镇木形片区集中供水工程</w:t>
            </w:r>
            <w:r>
              <w:rPr>
                <w:rFonts w:hint="default" w:ascii="Times New Roman" w:hAnsi="Times New Roman" w:cs="Times New Roman"/>
                <w:color w:val="000000" w:themeColor="text1"/>
                <w:highlight w:val="none"/>
                <w:u w:val="single"/>
                <w:lang w:val="en-US" w:bidi="zh-CN"/>
                <w14:textFill>
                  <w14:solidFill>
                    <w14:schemeClr w14:val="tx1"/>
                  </w14:solidFill>
                </w14:textFill>
              </w:rPr>
              <w:t>设计供水规模为960m</w:t>
            </w:r>
            <w:r>
              <w:rPr>
                <w:rFonts w:hint="default" w:ascii="Times New Roman" w:hAnsi="Times New Roman" w:cs="Times New Roman"/>
                <w:color w:val="000000" w:themeColor="text1"/>
                <w:highlight w:val="none"/>
                <w:u w:val="single"/>
                <w:vertAlign w:val="superscript"/>
                <w:lang w:val="en-US" w:bidi="zh-CN"/>
                <w14:textFill>
                  <w14:solidFill>
                    <w14:schemeClr w14:val="tx1"/>
                  </w14:solidFill>
                </w14:textFill>
              </w:rPr>
              <w:t>3</w:t>
            </w:r>
            <w:r>
              <w:rPr>
                <w:rFonts w:hint="default" w:ascii="Times New Roman" w:hAnsi="Times New Roman" w:cs="Times New Roman"/>
                <w:color w:val="000000" w:themeColor="text1"/>
                <w:highlight w:val="none"/>
                <w:u w:val="single"/>
                <w:vertAlign w:val="baseline"/>
                <w:lang w:val="en-US" w:bidi="zh-CN"/>
                <w14:textFill>
                  <w14:solidFill>
                    <w14:schemeClr w14:val="tx1"/>
                  </w14:solidFill>
                </w14:textFill>
              </w:rPr>
              <w:t>/d</w:t>
            </w:r>
            <w:r>
              <w:rPr>
                <w:rFonts w:hint="eastAsia"/>
                <w:color w:val="000000" w:themeColor="text1"/>
                <w:highlight w:val="none"/>
                <w:u w:val="single"/>
                <w:vertAlign w:val="baseline"/>
                <w:lang w:val="en-US" w:bidi="zh-CN"/>
                <w14:textFill>
                  <w14:solidFill>
                    <w14:schemeClr w14:val="tx1"/>
                  </w14:solidFill>
                </w14:textFill>
              </w:rPr>
              <w:t>，主要是为解决项目区范围内的木形村、双港村及忠防社区、新田、响山等5个行政村共计约6800人的生产、生活用水</w:t>
            </w:r>
            <w:r>
              <w:rPr>
                <w:rFonts w:hint="eastAsia"/>
                <w:color w:val="auto"/>
                <w:highlight w:val="none"/>
                <w:u w:val="single"/>
                <w:vertAlign w:val="baseline"/>
                <w:lang w:val="en-US" w:bidi="zh-CN"/>
              </w:rPr>
              <w:t>。本次一期工程，主要为木形村村民提供生活用水，供水人数约为2000人</w:t>
            </w:r>
            <w:r>
              <w:rPr>
                <w:rFonts w:hint="eastAsia"/>
                <w:color w:val="000000" w:themeColor="text1"/>
                <w:highlight w:val="none"/>
                <w:u w:val="single"/>
                <w:vertAlign w:val="baseline"/>
                <w:lang w:val="en-US" w:bidi="zh-CN"/>
                <w14:textFill>
                  <w14:solidFill>
                    <w14:schemeClr w14:val="tx1"/>
                  </w14:solidFill>
                </w14:textFill>
              </w:rPr>
              <w:t>。建设内容包括取水工程、输水工程、净水工程、配水工程以及管理区。木形村原有供水管网长度约1800m，沿村庄道路分布。本项目新建供水管线350m沿左侧山体延伸至村庄主干道，与木形村原有供水管线连接。</w:t>
            </w:r>
          </w:p>
          <w:p>
            <w:pPr>
              <w:pStyle w:val="5"/>
              <w:widowControl w:val="0"/>
              <w:ind w:firstLine="480"/>
              <w:rPr>
                <w:rFonts w:hint="default" w:eastAsia="宋体"/>
                <w:color w:val="000000" w:themeColor="text1"/>
                <w:highlight w:val="none"/>
                <w:u w:val="single"/>
                <w:vertAlign w:val="baseline"/>
                <w:lang w:val="en-US" w:eastAsia="zh-CN"/>
                <w14:textFill>
                  <w14:solidFill>
                    <w14:schemeClr w14:val="tx1"/>
                  </w14:solidFill>
                </w14:textFill>
              </w:rPr>
            </w:pPr>
            <w:r>
              <w:rPr>
                <w:rFonts w:hint="eastAsia"/>
                <w:highlight w:val="none"/>
                <w:u w:val="single"/>
                <w:lang w:val="en-US" w:eastAsia="zh-CN"/>
              </w:rPr>
              <w:t>木形村原为临湘市脱贫攻坚面上村，现为临湘市乡村振兴示范村。在脱贫攻坚及乡村振兴大力帮扶下，暂时解决了老百姓“有水吃”的问题，但饮水质量离农村安全饮水标准还存在一定距离。木形村村民现有生产生活用水主要采用的是自家建设井水，没有净水设备，水质达不到生活饮用水卫生标准，且枯水期水量不能满足村民的基本生活，这严重影响了当地居民的生活。本项目的建设可以根本上解决木形村水量不足和用水安全问题，提高村民的生活质量和健康水平，减少疾病发生，以维护农村社会稳定。</w:t>
            </w:r>
          </w:p>
          <w:p>
            <w:pPr>
              <w:pStyle w:val="5"/>
              <w:widowControl w:val="0"/>
              <w:ind w:firstLine="482"/>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w:t>
            </w:r>
            <w:r>
              <w:rPr>
                <w:rFonts w:hint="eastAsia"/>
                <w:b/>
                <w:bCs/>
                <w:color w:val="000000" w:themeColor="text1"/>
                <w:highlight w:val="none"/>
                <w14:textFill>
                  <w14:solidFill>
                    <w14:schemeClr w14:val="tx1"/>
                  </w14:solidFill>
                </w14:textFill>
              </w:rPr>
              <w:t>项目概况</w:t>
            </w:r>
          </w:p>
          <w:p>
            <w:pPr>
              <w:keepNext/>
              <w:keepLines/>
              <w:autoSpaceDE/>
              <w:autoSpaceDN/>
              <w:adjustRightInd w:val="0"/>
              <w:snapToGrid w:val="0"/>
              <w:ind w:firstLine="480" w:firstLineChars="200"/>
              <w:jc w:val="both"/>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14:textFill>
                  <w14:solidFill>
                    <w14:schemeClr w14:val="tx1"/>
                  </w14:solidFill>
                </w14:textFill>
              </w:rPr>
              <w:t>项目名称：</w:t>
            </w:r>
            <w:r>
              <w:rPr>
                <w:rFonts w:hint="eastAsia"/>
                <w:color w:val="000000" w:themeColor="text1"/>
                <w:highlight w:val="none"/>
                <w:lang w:val="en-US" w:eastAsia="zh-CN"/>
                <w14:textFill>
                  <w14:solidFill>
                    <w14:schemeClr w14:val="tx1"/>
                  </w14:solidFill>
                </w14:textFill>
              </w:rPr>
              <w:t>临湘市忠防镇木形片区集中供水工程（一期）项目</w:t>
            </w:r>
          </w:p>
          <w:p>
            <w:pPr>
              <w:keepNext/>
              <w:keepLines/>
              <w:autoSpaceDE/>
              <w:autoSpaceDN/>
              <w:adjustRightInd w:val="0"/>
              <w:snapToGrid w:val="0"/>
              <w:ind w:firstLine="480" w:firstLineChars="200"/>
              <w:jc w:val="both"/>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14:textFill>
                  <w14:solidFill>
                    <w14:schemeClr w14:val="tx1"/>
                  </w14:solidFill>
                </w14:textFill>
              </w:rPr>
              <w:t>建设单位：</w:t>
            </w:r>
            <w:r>
              <w:rPr>
                <w:rFonts w:hint="eastAsia"/>
                <w:color w:val="000000" w:themeColor="text1"/>
                <w:highlight w:val="none"/>
                <w:lang w:val="en-US" w:eastAsia="zh-CN"/>
                <w14:textFill>
                  <w14:solidFill>
                    <w14:schemeClr w14:val="tx1"/>
                  </w14:solidFill>
                </w14:textFill>
              </w:rPr>
              <w:t>临湘市忠防镇人民政府</w:t>
            </w:r>
          </w:p>
          <w:p>
            <w:pPr>
              <w:keepNext/>
              <w:keepLines/>
              <w:autoSpaceDE/>
              <w:autoSpaceDN/>
              <w:adjustRightInd w:val="0"/>
              <w:snapToGrid w:val="0"/>
              <w:ind w:firstLine="480" w:firstLineChars="200"/>
              <w:jc w:val="both"/>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建设性质：新建</w:t>
            </w:r>
          </w:p>
          <w:p>
            <w:pPr>
              <w:keepNext/>
              <w:keepLines/>
              <w:autoSpaceDE/>
              <w:autoSpaceDN/>
              <w:adjustRightInd w:val="0"/>
              <w:snapToGrid w:val="0"/>
              <w:ind w:firstLine="480" w:firstLineChars="200"/>
              <w:jc w:val="both"/>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14:textFill>
                  <w14:solidFill>
                    <w14:schemeClr w14:val="tx1"/>
                  </w14:solidFill>
                </w14:textFill>
              </w:rPr>
              <w:t>建设地点：</w:t>
            </w:r>
            <w:r>
              <w:rPr>
                <w:rFonts w:hint="eastAsia"/>
                <w:color w:val="000000" w:themeColor="text1"/>
                <w:highlight w:val="none"/>
                <w:lang w:val="en-US" w:eastAsia="zh-CN"/>
                <w14:textFill>
                  <w14:solidFill>
                    <w14:schemeClr w14:val="tx1"/>
                  </w14:solidFill>
                </w14:textFill>
              </w:rPr>
              <w:t>临湘市忠防镇木形村</w:t>
            </w:r>
          </w:p>
          <w:p>
            <w:pPr>
              <w:keepNext/>
              <w:keepLines/>
              <w:autoSpaceDE/>
              <w:autoSpaceDN/>
              <w:adjustRightInd w:val="0"/>
              <w:snapToGrid w:val="0"/>
              <w:ind w:firstLine="480" w:firstLineChars="200"/>
              <w:jc w:val="both"/>
              <w:rPr>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建筑</w:t>
            </w:r>
            <w:r>
              <w:rPr>
                <w:rFonts w:hint="eastAsia"/>
                <w:color w:val="000000" w:themeColor="text1"/>
                <w:highlight w:val="none"/>
                <w:lang w:val="en-US"/>
                <w14:textFill>
                  <w14:solidFill>
                    <w14:schemeClr w14:val="tx1"/>
                  </w14:solidFill>
                </w14:textFill>
              </w:rPr>
              <w:t>面积：</w:t>
            </w:r>
            <w:r>
              <w:rPr>
                <w:rFonts w:hint="eastAsia"/>
                <w:color w:val="000000" w:themeColor="text1"/>
                <w:highlight w:val="none"/>
                <w:lang w:val="en-US" w:eastAsia="zh-CN"/>
                <w14:textFill>
                  <w14:solidFill>
                    <w14:schemeClr w14:val="tx1"/>
                  </w14:solidFill>
                </w14:textFill>
              </w:rPr>
              <w:t>1875</w:t>
            </w:r>
            <w:r>
              <w:rPr>
                <w:color w:val="000000" w:themeColor="text1"/>
                <w:highlight w:val="none"/>
                <w:lang w:val="en-US"/>
                <w14:textFill>
                  <w14:solidFill>
                    <w14:schemeClr w14:val="tx1"/>
                  </w14:solidFill>
                </w14:textFill>
              </w:rPr>
              <w:t>m</w:t>
            </w:r>
            <w:r>
              <w:rPr>
                <w:color w:val="000000" w:themeColor="text1"/>
                <w:highlight w:val="none"/>
                <w:vertAlign w:val="superscript"/>
                <w:lang w:val="en-US"/>
                <w14:textFill>
                  <w14:solidFill>
                    <w14:schemeClr w14:val="tx1"/>
                  </w14:solidFill>
                </w14:textFill>
              </w:rPr>
              <w:t>2</w:t>
            </w:r>
          </w:p>
          <w:p>
            <w:pPr>
              <w:keepNext/>
              <w:keepLines/>
              <w:autoSpaceDE/>
              <w:autoSpaceDN/>
              <w:adjustRightInd w:val="0"/>
              <w:snapToGrid w:val="0"/>
              <w:ind w:firstLine="480" w:firstLineChars="200"/>
              <w:jc w:val="both"/>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14:textFill>
                  <w14:solidFill>
                    <w14:schemeClr w14:val="tx1"/>
                  </w14:solidFill>
                </w14:textFill>
              </w:rPr>
              <w:t>建设规模：投资</w:t>
            </w:r>
            <w:r>
              <w:rPr>
                <w:rFonts w:hint="eastAsia"/>
                <w:color w:val="000000" w:themeColor="text1"/>
                <w:highlight w:val="none"/>
                <w:lang w:val="en-US" w:eastAsia="zh-CN"/>
                <w14:textFill>
                  <w14:solidFill>
                    <w14:schemeClr w14:val="tx1"/>
                  </w14:solidFill>
                </w14:textFill>
              </w:rPr>
              <w:t>993.37</w:t>
            </w:r>
            <w:r>
              <w:rPr>
                <w:rFonts w:hint="eastAsia"/>
                <w:color w:val="000000" w:themeColor="text1"/>
                <w:highlight w:val="none"/>
                <w:lang w:val="en-US"/>
                <w14:textFill>
                  <w14:solidFill>
                    <w14:schemeClr w14:val="tx1"/>
                  </w14:solidFill>
                </w14:textFill>
              </w:rPr>
              <w:t>万元，</w:t>
            </w:r>
            <w:r>
              <w:rPr>
                <w:rFonts w:hint="eastAsia"/>
                <w:color w:val="000000" w:themeColor="text1"/>
                <w:highlight w:val="none"/>
                <w:lang w:val="en-US" w:eastAsia="zh-CN"/>
                <w14:textFill>
                  <w14:solidFill>
                    <w14:schemeClr w14:val="tx1"/>
                  </w14:solidFill>
                </w14:textFill>
              </w:rPr>
              <w:t>建设木形片区集中供水工程，</w:t>
            </w:r>
            <w:r>
              <w:rPr>
                <w:rFonts w:hint="eastAsia"/>
                <w:color w:val="000000" w:themeColor="text1"/>
                <w:highlight w:val="none"/>
                <w:lang w:val="en-US" w:bidi="zh-CN"/>
                <w14:textFill>
                  <w14:solidFill>
                    <w14:schemeClr w14:val="tx1"/>
                  </w14:solidFill>
                </w14:textFill>
              </w:rPr>
              <w:t>设计供水规模为960m</w:t>
            </w:r>
            <w:r>
              <w:rPr>
                <w:rFonts w:hint="eastAsia"/>
                <w:color w:val="000000" w:themeColor="text1"/>
                <w:highlight w:val="none"/>
                <w:vertAlign w:val="superscript"/>
                <w:lang w:val="en-US" w:bidi="zh-CN"/>
                <w14:textFill>
                  <w14:solidFill>
                    <w14:schemeClr w14:val="tx1"/>
                  </w14:solidFill>
                </w14:textFill>
              </w:rPr>
              <w:t>3</w:t>
            </w:r>
            <w:r>
              <w:rPr>
                <w:rFonts w:hint="eastAsia"/>
                <w:color w:val="000000" w:themeColor="text1"/>
                <w:highlight w:val="none"/>
                <w:vertAlign w:val="baseline"/>
                <w:lang w:val="en-US" w:bidi="zh-CN"/>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解决项目区范围内的木形、双港村及忠防社区、新田、响山等5个行政村共计约6800人的生产、生活用水</w:t>
            </w:r>
            <w:r>
              <w:rPr>
                <w:rFonts w:hint="eastAsia"/>
                <w:color w:val="000000" w:themeColor="text1"/>
                <w:highlight w:val="none"/>
                <w:lang w:val="en-US"/>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本项目为一期建设工程，主要为木形村村民提供生活用水，供水人数约为2000人。</w:t>
            </w:r>
          </w:p>
          <w:p>
            <w:pPr>
              <w:pStyle w:val="5"/>
              <w:widowControl w:val="0"/>
              <w:ind w:firstLine="482"/>
              <w:rPr>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2</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本项目建设内容</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w:t>
            </w:r>
            <w:r>
              <w:rPr>
                <w:rFonts w:hint="eastAsia"/>
                <w:color w:val="000000" w:themeColor="text1"/>
                <w:highlight w:val="none"/>
                <w:lang w:val="en-US" w:bidi="zh-CN"/>
                <w14:textFill>
                  <w14:solidFill>
                    <w14:schemeClr w14:val="tx1"/>
                  </w14:solidFill>
                </w14:textFill>
              </w:rPr>
              <w:t>设计供水规模为960m</w:t>
            </w:r>
            <w:r>
              <w:rPr>
                <w:rFonts w:hint="eastAsia"/>
                <w:color w:val="000000" w:themeColor="text1"/>
                <w:highlight w:val="none"/>
                <w:vertAlign w:val="superscript"/>
                <w:lang w:val="en-US" w:bidi="zh-CN"/>
                <w14:textFill>
                  <w14:solidFill>
                    <w14:schemeClr w14:val="tx1"/>
                  </w14:solidFill>
                </w14:textFill>
              </w:rPr>
              <w:t>3</w:t>
            </w:r>
            <w:r>
              <w:rPr>
                <w:rFonts w:hint="eastAsia"/>
                <w:color w:val="000000" w:themeColor="text1"/>
                <w:highlight w:val="none"/>
                <w:vertAlign w:val="baseline"/>
                <w:lang w:val="en-US" w:bidi="zh-CN"/>
                <w14:textFill>
                  <w14:solidFill>
                    <w14:schemeClr w14:val="tx1"/>
                  </w14:solidFill>
                </w14:textFill>
              </w:rPr>
              <w:t>/d；占地面积1875m</w:t>
            </w:r>
            <w:r>
              <w:rPr>
                <w:rFonts w:hint="eastAsia"/>
                <w:color w:val="000000" w:themeColor="text1"/>
                <w:highlight w:val="none"/>
                <w:vertAlign w:val="superscript"/>
                <w:lang w:val="en-US" w:bidi="zh-CN"/>
                <w14:textFill>
                  <w14:solidFill>
                    <w14:schemeClr w14:val="tx1"/>
                  </w14:solidFill>
                </w14:textFill>
              </w:rPr>
              <w:t>2</w:t>
            </w:r>
            <w:r>
              <w:rPr>
                <w:rFonts w:hint="eastAsia"/>
                <w:color w:val="000000" w:themeColor="text1"/>
                <w:highlight w:val="none"/>
                <w:vertAlign w:val="baseline"/>
                <w:lang w:val="en-US" w:bidi="zh-CN"/>
                <w14:textFill>
                  <w14:solidFill>
                    <w14:schemeClr w14:val="tx1"/>
                  </w14:solidFill>
                </w14:textFill>
              </w:rPr>
              <w:t>，建设内容包括取水工程、输水工程、净水工程、配水工程以及管理区</w:t>
            </w:r>
            <w:r>
              <w:rPr>
                <w:rFonts w:hint="eastAsia"/>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项目具体建设内容及建设规模见下表：</w:t>
            </w:r>
          </w:p>
          <w:p>
            <w:pPr>
              <w:pStyle w:val="5"/>
              <w:widowControl w:val="0"/>
              <w:ind w:firstLine="0" w:firstLineChars="0"/>
              <w:jc w:val="center"/>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表</w:t>
            </w:r>
            <w:r>
              <w:rPr>
                <w:b/>
                <w:bCs/>
                <w:color w:val="000000" w:themeColor="text1"/>
                <w:highlight w:val="none"/>
                <w14:textFill>
                  <w14:solidFill>
                    <w14:schemeClr w14:val="tx1"/>
                  </w14:solidFill>
                </w14:textFill>
              </w:rPr>
              <w:t>2-</w:t>
            </w:r>
            <w:r>
              <w:rPr>
                <w:rFonts w:hint="eastAsia"/>
                <w:b/>
                <w:bCs/>
                <w:color w:val="000000" w:themeColor="text1"/>
                <w:highlight w:val="none"/>
                <w:lang w:val="en-US" w:eastAsia="zh-CN"/>
                <w14:textFill>
                  <w14:solidFill>
                    <w14:schemeClr w14:val="tx1"/>
                  </w14:solidFill>
                </w14:textFill>
              </w:rPr>
              <w:t>1</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项目工程组成一览表</w:t>
            </w:r>
          </w:p>
          <w:tbl>
            <w:tblPr>
              <w:tblStyle w:val="28"/>
              <w:tblW w:w="4997" w:type="pct"/>
              <w:tblInd w:w="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5"/>
              <w:gridCol w:w="350"/>
              <w:gridCol w:w="54"/>
              <w:gridCol w:w="1233"/>
              <w:gridCol w:w="6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396" w:type="pc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工程</w:t>
                  </w:r>
                </w:p>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类别</w:t>
                  </w:r>
                </w:p>
              </w:tc>
              <w:tc>
                <w:tcPr>
                  <w:tcW w:w="895" w:type="pct"/>
                  <w:gridSpan w:val="3"/>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工程名称</w:t>
                  </w:r>
                </w:p>
              </w:tc>
              <w:tc>
                <w:tcPr>
                  <w:tcW w:w="3708" w:type="pc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建设内容及规模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6" w:type="pct"/>
                  <w:vMerge w:val="restar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主体工程</w:t>
                  </w:r>
                </w:p>
              </w:tc>
              <w:tc>
                <w:tcPr>
                  <w:tcW w:w="220" w:type="pct"/>
                  <w:gridSpan w:val="2"/>
                  <w:vMerge w:val="restar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取水工程</w:t>
                  </w:r>
                </w:p>
              </w:tc>
              <w:tc>
                <w:tcPr>
                  <w:tcW w:w="674"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取水头部</w:t>
                  </w:r>
                </w:p>
              </w:tc>
              <w:tc>
                <w:tcPr>
                  <w:tcW w:w="3708"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新建浮筒泵取水头部一处；选定木形水库采取浮筒取水泵站取水，取水口位于木形水库左坝肩附近；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396" w:type="pct"/>
                  <w:vMerge w:val="continue"/>
                  <w:vAlign w:val="center"/>
                </w:tcPr>
                <w:p>
                  <w:pPr>
                    <w:pStyle w:val="38"/>
                    <w:widowControl w:val="0"/>
                    <w:rPr>
                      <w:highlight w:val="none"/>
                      <w:u w:val="single"/>
                    </w:rPr>
                  </w:pPr>
                </w:p>
              </w:tc>
              <w:tc>
                <w:tcPr>
                  <w:tcW w:w="220" w:type="pct"/>
                  <w:gridSpan w:val="2"/>
                  <w:vMerge w:val="continue"/>
                  <w:vAlign w:val="center"/>
                </w:tcPr>
                <w:p>
                  <w:pPr>
                    <w:pStyle w:val="38"/>
                    <w:widowControl w:val="0"/>
                    <w:rPr>
                      <w:highlight w:val="none"/>
                      <w:u w:val="single"/>
                    </w:rPr>
                  </w:pPr>
                </w:p>
              </w:tc>
              <w:tc>
                <w:tcPr>
                  <w:tcW w:w="674"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取水泵房</w:t>
                  </w:r>
                </w:p>
              </w:tc>
              <w:tc>
                <w:tcPr>
                  <w:tcW w:w="3708"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新建一座取水泵房，位于水厂北侧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396" w:type="pct"/>
                  <w:vMerge w:val="continue"/>
                  <w:vAlign w:val="center"/>
                </w:tcPr>
                <w:p>
                  <w:pPr>
                    <w:pStyle w:val="38"/>
                    <w:widowControl w:val="0"/>
                    <w:rPr>
                      <w:rFonts w:hint="eastAsia"/>
                      <w:color w:val="000000" w:themeColor="text1"/>
                      <w:highlight w:val="none"/>
                      <w:u w:val="single"/>
                      <w14:textFill>
                        <w14:solidFill>
                          <w14:schemeClr w14:val="tx1"/>
                        </w14:solidFill>
                      </w14:textFill>
                    </w:rPr>
                  </w:pPr>
                </w:p>
              </w:tc>
              <w:tc>
                <w:tcPr>
                  <w:tcW w:w="895" w:type="pct"/>
                  <w:gridSpan w:val="3"/>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输水工程</w:t>
                  </w:r>
                </w:p>
              </w:tc>
              <w:tc>
                <w:tcPr>
                  <w:tcW w:w="3708"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新建输水管道一条（DN160）共计30m；输水线路从水库取水钢管连接，沿左坝肩向上采用钢管至厂区进水管；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396" w:type="pct"/>
                  <w:vMerge w:val="continue"/>
                  <w:vAlign w:val="center"/>
                </w:tcPr>
                <w:p>
                  <w:pPr>
                    <w:pStyle w:val="38"/>
                    <w:widowControl w:val="0"/>
                    <w:rPr>
                      <w:rFonts w:hint="eastAsia"/>
                      <w:color w:val="000000" w:themeColor="text1"/>
                      <w:highlight w:val="none"/>
                      <w:u w:val="single"/>
                      <w14:textFill>
                        <w14:solidFill>
                          <w14:schemeClr w14:val="tx1"/>
                        </w14:solidFill>
                      </w14:textFill>
                    </w:rPr>
                  </w:pPr>
                </w:p>
              </w:tc>
              <w:tc>
                <w:tcPr>
                  <w:tcW w:w="895" w:type="pct"/>
                  <w:gridSpan w:val="3"/>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净水工程</w:t>
                  </w:r>
                </w:p>
              </w:tc>
              <w:tc>
                <w:tcPr>
                  <w:tcW w:w="3708" w:type="pct"/>
                  <w:vAlign w:val="center"/>
                </w:tcPr>
                <w:p>
                  <w:pPr>
                    <w:pStyle w:val="38"/>
                    <w:widowControl w:val="0"/>
                    <w:rPr>
                      <w:rFonts w:hint="eastAsia"/>
                      <w:color w:val="auto"/>
                      <w:highlight w:val="none"/>
                      <w:u w:val="single"/>
                      <w:vertAlign w:val="baseline"/>
                      <w:lang w:val="en-US" w:eastAsia="zh-CN"/>
                    </w:rPr>
                  </w:pPr>
                  <w:r>
                    <w:rPr>
                      <w:rFonts w:hint="eastAsia"/>
                      <w:color w:val="auto"/>
                      <w:highlight w:val="none"/>
                      <w:u w:val="single"/>
                      <w:lang w:val="en-US" w:eastAsia="zh-CN"/>
                    </w:rPr>
                    <w:t>新建智能模块化净水厂中心水厂一座（960m</w:t>
                  </w:r>
                  <w:r>
                    <w:rPr>
                      <w:rFonts w:hint="eastAsia"/>
                      <w:color w:val="auto"/>
                      <w:highlight w:val="none"/>
                      <w:u w:val="single"/>
                      <w:vertAlign w:val="superscript"/>
                      <w:lang w:val="en-US" w:eastAsia="zh-CN"/>
                    </w:rPr>
                    <w:t>3</w:t>
                  </w:r>
                  <w:r>
                    <w:rPr>
                      <w:rFonts w:hint="eastAsia"/>
                      <w:color w:val="auto"/>
                      <w:highlight w:val="none"/>
                      <w:u w:val="single"/>
                      <w:vertAlign w:val="baseline"/>
                      <w:lang w:val="en-US" w:eastAsia="zh-CN"/>
                    </w:rPr>
                    <w:t>/d</w:t>
                  </w:r>
                  <w:r>
                    <w:rPr>
                      <w:rFonts w:hint="eastAsia"/>
                      <w:color w:val="auto"/>
                      <w:highlight w:val="none"/>
                      <w:u w:val="single"/>
                      <w:lang w:val="en-US" w:eastAsia="zh-CN"/>
                    </w:rPr>
                    <w:t>），中心坐标： 113°31′49.624″,29°22′50.518″，占地面积1426m</w:t>
                  </w:r>
                  <w:r>
                    <w:rPr>
                      <w:rFonts w:hint="eastAsia"/>
                      <w:color w:val="auto"/>
                      <w:highlight w:val="none"/>
                      <w:u w:val="single"/>
                      <w:vertAlign w:val="superscript"/>
                      <w:lang w:val="en-US" w:eastAsia="zh-CN"/>
                    </w:rPr>
                    <w:t>2</w:t>
                  </w:r>
                  <w:r>
                    <w:rPr>
                      <w:rFonts w:hint="eastAsia"/>
                      <w:color w:val="auto"/>
                      <w:highlight w:val="none"/>
                      <w:u w:val="single"/>
                      <w:vertAlign w:val="baseline"/>
                      <w:lang w:val="en-US" w:eastAsia="zh-CN"/>
                    </w:rPr>
                    <w:t>，</w:t>
                  </w:r>
                </w:p>
                <w:p>
                  <w:pPr>
                    <w:pStyle w:val="38"/>
                    <w:widowControl w:val="0"/>
                    <w:rPr>
                      <w:rFonts w:hint="default"/>
                      <w:color w:val="auto"/>
                      <w:highlight w:val="none"/>
                      <w:u w:val="single"/>
                      <w:lang w:val="en-US" w:eastAsia="zh-CN"/>
                    </w:rPr>
                  </w:pPr>
                  <w:r>
                    <w:rPr>
                      <w:rFonts w:hint="eastAsia"/>
                      <w:color w:val="auto"/>
                      <w:highlight w:val="none"/>
                      <w:u w:val="single"/>
                      <w:lang w:val="en-US" w:eastAsia="zh-CN"/>
                    </w:rPr>
                    <w:t>净水工艺为：混凝+沉淀+过滤+消毒；主要建设内容包括：网格絮凝池、斜管沉淀池、滤砖滤池、清水池、加药间（控制室）、风机房、反冲洗泵房、排水沟、污泥池等。网格絮凝池、斜管沉淀池、滤砖滤池以及清水池为成套钢结构件，由工厂进行模块化制造，运至现场后进行安装，配备有原水浊度、流量、pH计等在线仪表以及智能投加系统，随进水水质变化自动调节加药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396" w:type="pct"/>
                  <w:vMerge w:val="continue"/>
                  <w:vAlign w:val="center"/>
                </w:tcPr>
                <w:p>
                  <w:pPr>
                    <w:pStyle w:val="38"/>
                    <w:widowControl w:val="0"/>
                    <w:rPr>
                      <w:rFonts w:hint="eastAsia"/>
                      <w:color w:val="000000" w:themeColor="text1"/>
                      <w:highlight w:val="none"/>
                      <w:u w:val="single"/>
                      <w14:textFill>
                        <w14:solidFill>
                          <w14:schemeClr w14:val="tx1"/>
                        </w14:solidFill>
                      </w14:textFill>
                    </w:rPr>
                  </w:pPr>
                </w:p>
              </w:tc>
              <w:tc>
                <w:tcPr>
                  <w:tcW w:w="895" w:type="pct"/>
                  <w:gridSpan w:val="3"/>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配水工程</w:t>
                  </w:r>
                </w:p>
              </w:tc>
              <w:tc>
                <w:tcPr>
                  <w:tcW w:w="3708" w:type="pct"/>
                  <w:vAlign w:val="center"/>
                </w:tcPr>
                <w:p>
                  <w:pPr>
                    <w:pStyle w:val="38"/>
                    <w:widowControl w:val="0"/>
                    <w:rPr>
                      <w:rFonts w:hint="default"/>
                      <w:color w:val="auto"/>
                      <w:highlight w:val="none"/>
                      <w:u w:val="single"/>
                      <w:lang w:val="en-US" w:eastAsia="zh-CN"/>
                    </w:rPr>
                  </w:pPr>
                  <w:r>
                    <w:rPr>
                      <w:rFonts w:hint="eastAsia"/>
                      <w:color w:val="auto"/>
                      <w:highlight w:val="none"/>
                      <w:u w:val="single"/>
                      <w:lang w:val="en-US" w:eastAsia="zh-CN"/>
                    </w:rPr>
                    <w:t>本次一期工程建设350m，并与木形村原有供水管网连接；配水主管沿木形水库下游左侧山体布置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restar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辅助工程</w:t>
                  </w:r>
                </w:p>
              </w:tc>
              <w:tc>
                <w:tcPr>
                  <w:tcW w:w="191" w:type="pct"/>
                  <w:vMerge w:val="restar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管理区</w:t>
                  </w:r>
                </w:p>
              </w:tc>
              <w:tc>
                <w:tcPr>
                  <w:tcW w:w="703" w:type="pct"/>
                  <w:gridSpan w:val="2"/>
                  <w:vAlign w:val="center"/>
                </w:tcPr>
                <w:p>
                  <w:pPr>
                    <w:pStyle w:val="38"/>
                    <w:widowControl w:val="0"/>
                    <w:rPr>
                      <w:rFonts w:hint="eastAsia"/>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办公</w:t>
                  </w:r>
                  <w:r>
                    <w:rPr>
                      <w:rFonts w:hint="eastAsia"/>
                      <w:color w:val="000000" w:themeColor="text1"/>
                      <w:highlight w:val="none"/>
                      <w:u w:val="single"/>
                      <w:lang w:val="en-US" w:eastAsia="zh-CN"/>
                      <w14:textFill>
                        <w14:solidFill>
                          <w14:schemeClr w14:val="tx1"/>
                        </w14:solidFill>
                      </w14:textFill>
                    </w:rPr>
                    <w:t>楼</w:t>
                  </w:r>
                </w:p>
              </w:tc>
              <w:tc>
                <w:tcPr>
                  <w:tcW w:w="3708" w:type="pct"/>
                  <w:vAlign w:val="center"/>
                </w:tcPr>
                <w:p>
                  <w:pPr>
                    <w:pStyle w:val="38"/>
                    <w:widowControl w:val="0"/>
                    <w:jc w:val="center"/>
                    <w:rPr>
                      <w:rFonts w:hint="eastAsia"/>
                      <w:color w:val="auto"/>
                      <w:highlight w:val="none"/>
                      <w:u w:val="single"/>
                      <w:vertAlign w:val="baseline"/>
                      <w:lang w:val="en-US" w:eastAsia="zh-CN"/>
                    </w:rPr>
                  </w:pPr>
                  <w:r>
                    <w:rPr>
                      <w:rFonts w:hint="eastAsia"/>
                      <w:color w:val="auto"/>
                      <w:highlight w:val="none"/>
                      <w:u w:val="single"/>
                      <w:vertAlign w:val="baseline"/>
                      <w:lang w:val="en-US" w:eastAsia="zh-CN"/>
                    </w:rPr>
                    <w:t>中心坐标：113°31′49.064″,29°22′54.187″；</w:t>
                  </w:r>
                </w:p>
                <w:p>
                  <w:pPr>
                    <w:pStyle w:val="38"/>
                    <w:widowControl w:val="0"/>
                    <w:jc w:val="center"/>
                    <w:rPr>
                      <w:rFonts w:hint="default" w:eastAsia="宋体"/>
                      <w:color w:val="auto"/>
                      <w:highlight w:val="none"/>
                      <w:u w:val="single"/>
                      <w:vertAlign w:val="baseline"/>
                      <w:lang w:val="en-US" w:eastAsia="zh-CN"/>
                    </w:rPr>
                  </w:pPr>
                  <w:r>
                    <w:rPr>
                      <w:rFonts w:hint="eastAsia"/>
                      <w:color w:val="auto"/>
                      <w:highlight w:val="none"/>
                      <w:u w:val="single"/>
                      <w:vertAlign w:val="baseline"/>
                      <w:lang w:val="en-US" w:eastAsia="zh-CN"/>
                    </w:rPr>
                    <w:t>两层，</w:t>
                  </w:r>
                  <w:r>
                    <w:rPr>
                      <w:rFonts w:hint="eastAsia"/>
                      <w:color w:val="auto"/>
                      <w:highlight w:val="none"/>
                      <w:u w:val="single"/>
                      <w:lang w:val="en-US" w:eastAsia="zh-CN"/>
                    </w:rPr>
                    <w:t>位于木形水库</w:t>
                  </w:r>
                  <w:r>
                    <w:rPr>
                      <w:rFonts w:hint="eastAsia"/>
                      <w:color w:val="auto"/>
                      <w:highlight w:val="none"/>
                      <w:u w:val="single"/>
                      <w:lang w:val="en-US" w:eastAsia="zh-CN"/>
                    </w:rPr>
                    <w:t>左坝肩，占地面积449m</w:t>
                  </w:r>
                  <w:r>
                    <w:rPr>
                      <w:rFonts w:hint="eastAsia"/>
                      <w:color w:val="auto"/>
                      <w:highlight w:val="none"/>
                      <w:u w:val="single"/>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pStyle w:val="38"/>
                    <w:widowControl w:val="0"/>
                    <w:rPr>
                      <w:rFonts w:hint="eastAsia"/>
                      <w:color w:val="000000" w:themeColor="text1"/>
                      <w:highlight w:val="none"/>
                      <w:u w:val="single"/>
                      <w14:textFill>
                        <w14:solidFill>
                          <w14:schemeClr w14:val="tx1"/>
                        </w14:solidFill>
                      </w14:textFill>
                    </w:rPr>
                  </w:pPr>
                </w:p>
              </w:tc>
              <w:tc>
                <w:tcPr>
                  <w:tcW w:w="191" w:type="pct"/>
                  <w:vMerge w:val="continue"/>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p>
              </w:tc>
              <w:tc>
                <w:tcPr>
                  <w:tcW w:w="703" w:type="pct"/>
                  <w:gridSpan w:val="2"/>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药剂仓库</w:t>
                  </w:r>
                </w:p>
              </w:tc>
              <w:tc>
                <w:tcPr>
                  <w:tcW w:w="3708" w:type="pct"/>
                  <w:vAlign w:val="center"/>
                </w:tcPr>
                <w:p>
                  <w:pPr>
                    <w:pStyle w:val="38"/>
                    <w:widowControl w:val="0"/>
                    <w:jc w:val="center"/>
                    <w:rPr>
                      <w:rFonts w:hint="default" w:eastAsia="宋体"/>
                      <w:color w:val="auto"/>
                      <w:highlight w:val="none"/>
                      <w:u w:val="single"/>
                      <w:lang w:val="en-US" w:eastAsia="zh-CN"/>
                    </w:rPr>
                  </w:pPr>
                  <w:r>
                    <w:rPr>
                      <w:rFonts w:hint="eastAsia"/>
                      <w:color w:val="auto"/>
                      <w:highlight w:val="none"/>
                      <w:u w:val="single"/>
                      <w:lang w:val="en-US" w:eastAsia="zh-CN"/>
                    </w:rPr>
                    <w:t>位于办公楼一楼，用于储存水处理用药剂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pStyle w:val="38"/>
                    <w:widowControl w:val="0"/>
                    <w:rPr>
                      <w:rFonts w:hint="eastAsia"/>
                      <w:color w:val="000000" w:themeColor="text1"/>
                      <w:highlight w:val="none"/>
                      <w:u w:val="single"/>
                      <w14:textFill>
                        <w14:solidFill>
                          <w14:schemeClr w14:val="tx1"/>
                        </w14:solidFill>
                      </w14:textFill>
                    </w:rPr>
                  </w:pPr>
                </w:p>
              </w:tc>
              <w:tc>
                <w:tcPr>
                  <w:tcW w:w="191" w:type="pct"/>
                  <w:vMerge w:val="continue"/>
                  <w:vAlign w:val="center"/>
                </w:tcPr>
                <w:p>
                  <w:pPr>
                    <w:pStyle w:val="38"/>
                    <w:widowControl w:val="0"/>
                    <w:rPr>
                      <w:rFonts w:hint="default"/>
                      <w:color w:val="000000" w:themeColor="text1"/>
                      <w:highlight w:val="none"/>
                      <w:u w:val="single"/>
                      <w:lang w:val="en-US" w:eastAsia="zh-CN"/>
                      <w14:textFill>
                        <w14:solidFill>
                          <w14:schemeClr w14:val="tx1"/>
                        </w14:solidFill>
                      </w14:textFill>
                    </w:rPr>
                  </w:pPr>
                </w:p>
              </w:tc>
              <w:tc>
                <w:tcPr>
                  <w:tcW w:w="703" w:type="pct"/>
                  <w:gridSpan w:val="2"/>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宿舍及食堂</w:t>
                  </w:r>
                </w:p>
              </w:tc>
              <w:tc>
                <w:tcPr>
                  <w:tcW w:w="3708" w:type="pct"/>
                  <w:vAlign w:val="center"/>
                </w:tcPr>
                <w:p>
                  <w:pPr>
                    <w:pStyle w:val="38"/>
                    <w:widowControl w:val="0"/>
                    <w:jc w:val="center"/>
                    <w:rPr>
                      <w:rFonts w:hint="eastAsia"/>
                      <w:color w:val="auto"/>
                      <w:highlight w:val="none"/>
                      <w:u w:val="single"/>
                      <w:lang w:val="en-US" w:eastAsia="zh-CN"/>
                    </w:rPr>
                  </w:pPr>
                  <w:r>
                    <w:rPr>
                      <w:rFonts w:hint="eastAsia"/>
                      <w:color w:val="auto"/>
                      <w:highlight w:val="none"/>
                      <w:u w:val="single"/>
                      <w:lang w:val="en-US" w:eastAsia="zh-CN"/>
                    </w:rPr>
                    <w:t>位于办公楼一楼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restar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公用工程</w:t>
                  </w:r>
                </w:p>
              </w:tc>
              <w:tc>
                <w:tcPr>
                  <w:tcW w:w="895" w:type="pct"/>
                  <w:gridSpan w:val="3"/>
                  <w:vAlign w:val="center"/>
                </w:tcPr>
                <w:p>
                  <w:pPr>
                    <w:spacing w:line="240" w:lineRule="auto"/>
                    <w:jc w:val="center"/>
                    <w:rPr>
                      <w:rFonts w:cs="Times New Roman"/>
                      <w:color w:val="000000" w:themeColor="text1"/>
                      <w:sz w:val="21"/>
                      <w:szCs w:val="21"/>
                      <w:highlight w:val="none"/>
                      <w:u w:val="single"/>
                      <w:lang w:val="en-US"/>
                      <w14:textFill>
                        <w14:solidFill>
                          <w14:schemeClr w14:val="tx1"/>
                        </w14:solidFill>
                      </w14:textFill>
                    </w:rPr>
                  </w:pPr>
                  <w:r>
                    <w:rPr>
                      <w:rFonts w:hint="eastAsia" w:cs="Times New Roman"/>
                      <w:color w:val="000000" w:themeColor="text1"/>
                      <w:sz w:val="21"/>
                      <w:szCs w:val="21"/>
                      <w:highlight w:val="none"/>
                      <w:u w:val="single"/>
                      <w:lang w:val="en-US"/>
                      <w14:textFill>
                        <w14:solidFill>
                          <w14:schemeClr w14:val="tx1"/>
                        </w14:solidFill>
                      </w14:textFill>
                    </w:rPr>
                    <w:t>供电</w:t>
                  </w:r>
                </w:p>
              </w:tc>
              <w:tc>
                <w:tcPr>
                  <w:tcW w:w="3708" w:type="pct"/>
                  <w:vAlign w:val="center"/>
                </w:tcPr>
                <w:p>
                  <w:pPr>
                    <w:pStyle w:val="38"/>
                    <w:widowControl w:val="0"/>
                    <w:rPr>
                      <w:rFonts w:hint="default" w:eastAsia="宋体"/>
                      <w:color w:val="auto"/>
                      <w:highlight w:val="none"/>
                      <w:u w:val="single"/>
                      <w:lang w:val="en-US" w:eastAsia="zh-CN"/>
                    </w:rPr>
                  </w:pPr>
                  <w:r>
                    <w:rPr>
                      <w:rFonts w:hint="eastAsia"/>
                      <w:color w:val="auto"/>
                      <w:highlight w:val="none"/>
                      <w:u w:val="single"/>
                    </w:rPr>
                    <w:t>依托</w:t>
                  </w:r>
                  <w:r>
                    <w:rPr>
                      <w:rFonts w:hint="eastAsia"/>
                      <w:color w:val="auto"/>
                      <w:highlight w:val="none"/>
                      <w:u w:val="single"/>
                      <w:lang w:val="en-US" w:eastAsia="zh-CN"/>
                    </w:rPr>
                    <w:t>当地</w:t>
                  </w:r>
                  <w:r>
                    <w:rPr>
                      <w:rFonts w:hint="eastAsia"/>
                      <w:color w:val="auto"/>
                      <w:highlight w:val="none"/>
                      <w:u w:val="single"/>
                    </w:rPr>
                    <w:t>电网</w:t>
                  </w:r>
                  <w:r>
                    <w:rPr>
                      <w:rFonts w:hint="eastAsia"/>
                      <w:color w:val="auto"/>
                      <w:highlight w:val="none"/>
                      <w:u w:val="single"/>
                      <w:lang w:eastAsia="zh-CN"/>
                    </w:rPr>
                    <w:t>，</w:t>
                  </w:r>
                  <w:r>
                    <w:rPr>
                      <w:rFonts w:hint="eastAsia"/>
                      <w:color w:val="auto"/>
                      <w:highlight w:val="none"/>
                      <w:u w:val="single"/>
                      <w:lang w:val="en-US" w:eastAsia="zh-CN"/>
                    </w:rPr>
                    <w:t>备有一台柴油发电机，仅区域停止供电时启用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396" w:type="pct"/>
                  <w:vMerge w:val="continue"/>
                  <w:vAlign w:val="center"/>
                </w:tcPr>
                <w:p>
                  <w:pPr>
                    <w:pStyle w:val="38"/>
                    <w:widowControl w:val="0"/>
                    <w:rPr>
                      <w:rFonts w:hint="eastAsia"/>
                      <w:color w:val="000000" w:themeColor="text1"/>
                      <w:highlight w:val="none"/>
                      <w:u w:val="single"/>
                      <w14:textFill>
                        <w14:solidFill>
                          <w14:schemeClr w14:val="tx1"/>
                        </w14:solidFill>
                      </w14:textFill>
                    </w:rPr>
                  </w:pPr>
                </w:p>
              </w:tc>
              <w:tc>
                <w:tcPr>
                  <w:tcW w:w="895" w:type="pct"/>
                  <w:gridSpan w:val="3"/>
                  <w:vAlign w:val="center"/>
                </w:tcPr>
                <w:p>
                  <w:pPr>
                    <w:spacing w:line="240" w:lineRule="auto"/>
                    <w:jc w:val="center"/>
                    <w:rPr>
                      <w:rFonts w:hint="eastAsia" w:eastAsia="宋体" w:cs="Times New Roman"/>
                      <w:color w:val="000000" w:themeColor="text1"/>
                      <w:sz w:val="21"/>
                      <w:szCs w:val="21"/>
                      <w:highlight w:val="none"/>
                      <w:u w:val="single"/>
                      <w:lang w:val="en-US" w:eastAsia="zh-CN"/>
                      <w14:textFill>
                        <w14:solidFill>
                          <w14:schemeClr w14:val="tx1"/>
                        </w14:solidFill>
                      </w14:textFill>
                    </w:rPr>
                  </w:pPr>
                  <w:r>
                    <w:rPr>
                      <w:rFonts w:hint="eastAsia" w:cs="Times New Roman"/>
                      <w:color w:val="000000" w:themeColor="text1"/>
                      <w:sz w:val="21"/>
                      <w:szCs w:val="21"/>
                      <w:highlight w:val="none"/>
                      <w:u w:val="single"/>
                      <w:lang w:val="en-US" w:eastAsia="zh-CN"/>
                      <w14:textFill>
                        <w14:solidFill>
                          <w14:schemeClr w14:val="tx1"/>
                        </w14:solidFill>
                      </w14:textFill>
                    </w:rPr>
                    <w:t>供水</w:t>
                  </w:r>
                </w:p>
              </w:tc>
              <w:tc>
                <w:tcPr>
                  <w:tcW w:w="3708" w:type="pct"/>
                  <w:vAlign w:val="center"/>
                </w:tcPr>
                <w:p>
                  <w:pPr>
                    <w:pStyle w:val="38"/>
                    <w:widowControl w:val="0"/>
                    <w:rPr>
                      <w:rFonts w:hint="default" w:eastAsia="宋体"/>
                      <w:color w:val="auto"/>
                      <w:highlight w:val="none"/>
                      <w:u w:val="single"/>
                      <w:lang w:val="en-US" w:eastAsia="zh-CN"/>
                    </w:rPr>
                  </w:pPr>
                  <w:r>
                    <w:rPr>
                      <w:rFonts w:hint="eastAsia"/>
                      <w:color w:val="auto"/>
                      <w:highlight w:val="none"/>
                      <w:u w:val="single"/>
                      <w:lang w:val="en-US" w:eastAsia="zh-CN"/>
                    </w:rPr>
                    <w:t>以木形水库为水源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396" w:type="pct"/>
                  <w:vMerge w:val="restar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环保工程</w:t>
                  </w:r>
                </w:p>
              </w:tc>
              <w:tc>
                <w:tcPr>
                  <w:tcW w:w="895" w:type="pct"/>
                  <w:gridSpan w:val="3"/>
                  <w:vAlign w:val="center"/>
                </w:tcPr>
                <w:p>
                  <w:pPr>
                    <w:spacing w:line="240" w:lineRule="auto"/>
                    <w:jc w:val="center"/>
                    <w:rPr>
                      <w:rFonts w:hint="default" w:eastAsia="宋体" w:cs="Times New Roman"/>
                      <w:color w:val="000000" w:themeColor="text1"/>
                      <w:sz w:val="21"/>
                      <w:szCs w:val="21"/>
                      <w:highlight w:val="none"/>
                      <w:u w:val="single"/>
                      <w:lang w:val="en-US" w:eastAsia="zh-CN"/>
                      <w14:textFill>
                        <w14:solidFill>
                          <w14:schemeClr w14:val="tx1"/>
                        </w14:solidFill>
                      </w14:textFill>
                    </w:rPr>
                  </w:pPr>
                  <w:r>
                    <w:rPr>
                      <w:rFonts w:hint="eastAsia" w:cs="Times New Roman"/>
                      <w:color w:val="000000" w:themeColor="text1"/>
                      <w:sz w:val="21"/>
                      <w:szCs w:val="21"/>
                      <w:highlight w:val="none"/>
                      <w:u w:val="single"/>
                      <w:lang w:val="en-US" w:eastAsia="zh-CN"/>
                      <w14:textFill>
                        <w14:solidFill>
                          <w14:schemeClr w14:val="tx1"/>
                        </w14:solidFill>
                      </w14:textFill>
                    </w:rPr>
                    <w:t>废气治理</w:t>
                  </w:r>
                </w:p>
              </w:tc>
              <w:tc>
                <w:tcPr>
                  <w:tcW w:w="3708" w:type="pct"/>
                  <w:vAlign w:val="center"/>
                </w:tcPr>
                <w:p>
                  <w:pPr>
                    <w:pStyle w:val="38"/>
                    <w:widowControl w:val="0"/>
                    <w:rPr>
                      <w:rFonts w:hint="default"/>
                      <w:color w:val="auto"/>
                      <w:highlight w:val="none"/>
                      <w:u w:val="single"/>
                      <w:lang w:val="en-US" w:bidi="zh-CN"/>
                    </w:rPr>
                  </w:pPr>
                  <w:r>
                    <w:rPr>
                      <w:rFonts w:hint="eastAsia"/>
                      <w:color w:val="auto"/>
                      <w:highlight w:val="none"/>
                      <w:u w:val="single"/>
                      <w:lang w:val="en-US" w:bidi="zh-CN"/>
                    </w:rPr>
                    <w:t>食堂油烟经油烟净化器处理后引至楼顶排放；柴油发电机废气经设备自带烟气处理设施处理后经引风机+15m排气筒排放</w:t>
                  </w:r>
                  <w:r>
                    <w:rPr>
                      <w:rFonts w:hint="eastAsia"/>
                      <w:color w:val="auto"/>
                      <w:highlight w:val="none"/>
                      <w:u w:val="single"/>
                      <w:lang w:val="en-US"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396" w:type="pct"/>
                  <w:vMerge w:val="continue"/>
                  <w:vAlign w:val="center"/>
                </w:tcPr>
                <w:p>
                  <w:pPr>
                    <w:pStyle w:val="38"/>
                    <w:widowControl w:val="0"/>
                    <w:rPr>
                      <w:color w:val="000000" w:themeColor="text1"/>
                      <w:highlight w:val="none"/>
                      <w:u w:val="single"/>
                      <w14:textFill>
                        <w14:solidFill>
                          <w14:schemeClr w14:val="tx1"/>
                        </w14:solidFill>
                      </w14:textFill>
                    </w:rPr>
                  </w:pPr>
                </w:p>
              </w:tc>
              <w:tc>
                <w:tcPr>
                  <w:tcW w:w="895" w:type="pct"/>
                  <w:gridSpan w:val="3"/>
                  <w:vAlign w:val="center"/>
                </w:tcPr>
                <w:p>
                  <w:pPr>
                    <w:spacing w:line="240" w:lineRule="auto"/>
                    <w:jc w:val="center"/>
                    <w:rPr>
                      <w:rFonts w:cs="Times New Roman"/>
                      <w:color w:val="000000" w:themeColor="text1"/>
                      <w:sz w:val="21"/>
                      <w:szCs w:val="21"/>
                      <w:highlight w:val="none"/>
                      <w:u w:val="single"/>
                      <w:lang w:val="en-US"/>
                      <w14:textFill>
                        <w14:solidFill>
                          <w14:schemeClr w14:val="tx1"/>
                        </w14:solidFill>
                      </w14:textFill>
                    </w:rPr>
                  </w:pPr>
                  <w:r>
                    <w:rPr>
                      <w:rFonts w:hint="eastAsia" w:cs="Times New Roman"/>
                      <w:color w:val="000000" w:themeColor="text1"/>
                      <w:sz w:val="21"/>
                      <w:szCs w:val="21"/>
                      <w:highlight w:val="none"/>
                      <w:u w:val="single"/>
                      <w:lang w:val="en-US"/>
                      <w14:textFill>
                        <w14:solidFill>
                          <w14:schemeClr w14:val="tx1"/>
                        </w14:solidFill>
                      </w14:textFill>
                    </w:rPr>
                    <w:t>废水治理</w:t>
                  </w:r>
                </w:p>
              </w:tc>
              <w:tc>
                <w:tcPr>
                  <w:tcW w:w="3708" w:type="pct"/>
                  <w:vAlign w:val="center"/>
                </w:tcPr>
                <w:p>
                  <w:pPr>
                    <w:pStyle w:val="38"/>
                    <w:widowControl w:val="0"/>
                    <w:rPr>
                      <w:color w:val="auto"/>
                      <w:highlight w:val="none"/>
                      <w:u w:val="single"/>
                    </w:rPr>
                  </w:pPr>
                  <w:r>
                    <w:rPr>
                      <w:rFonts w:hint="eastAsia"/>
                      <w:color w:val="auto"/>
                      <w:highlight w:val="none"/>
                      <w:u w:val="single"/>
                      <w:lang w:val="en-US" w:bidi="zh-CN"/>
                    </w:rPr>
                    <w:t>本项目不设置水质检验室，废水主要为生活污水、沉淀池排泥水及反冲洗废水。生活污水经三级化粪池处理后作为周边菜地农肥，不外排；反冲洗废水作为原水回用不外排；沉淀池排泥水收集至污泥池，上清液回流作为原水回用；浓缩污泥经污泥压滤机脱水处理，压滤水作为厂区绿化使用，不外排</w:t>
                  </w:r>
                  <w:r>
                    <w:rPr>
                      <w:rFonts w:hint="eastAsia"/>
                      <w:color w:val="auto"/>
                      <w:highlight w:val="none"/>
                      <w:u w:val="single"/>
                      <w:lang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6" w:type="pct"/>
                  <w:vMerge w:val="continue"/>
                  <w:vAlign w:val="center"/>
                </w:tcPr>
                <w:p>
                  <w:pPr>
                    <w:pStyle w:val="38"/>
                    <w:widowControl w:val="0"/>
                    <w:rPr>
                      <w:color w:val="000000" w:themeColor="text1"/>
                      <w:highlight w:val="none"/>
                      <w:u w:val="single"/>
                      <w14:textFill>
                        <w14:solidFill>
                          <w14:schemeClr w14:val="tx1"/>
                        </w14:solidFill>
                      </w14:textFill>
                    </w:rPr>
                  </w:pPr>
                </w:p>
              </w:tc>
              <w:tc>
                <w:tcPr>
                  <w:tcW w:w="895" w:type="pct"/>
                  <w:gridSpan w:val="3"/>
                  <w:vAlign w:val="center"/>
                </w:tcPr>
                <w:p>
                  <w:pPr>
                    <w:spacing w:line="240" w:lineRule="auto"/>
                    <w:jc w:val="center"/>
                    <w:rPr>
                      <w:rFonts w:cs="Times New Roman"/>
                      <w:color w:val="000000" w:themeColor="text1"/>
                      <w:sz w:val="21"/>
                      <w:szCs w:val="21"/>
                      <w:highlight w:val="none"/>
                      <w:u w:val="single"/>
                      <w:lang w:val="en-US"/>
                      <w14:textFill>
                        <w14:solidFill>
                          <w14:schemeClr w14:val="tx1"/>
                        </w14:solidFill>
                      </w14:textFill>
                    </w:rPr>
                  </w:pPr>
                  <w:r>
                    <w:rPr>
                      <w:rFonts w:hint="eastAsia" w:cs="Times New Roman"/>
                      <w:color w:val="000000" w:themeColor="text1"/>
                      <w:sz w:val="21"/>
                      <w:szCs w:val="21"/>
                      <w:highlight w:val="none"/>
                      <w:u w:val="single"/>
                      <w:lang w:val="en-US"/>
                      <w14:textFill>
                        <w14:solidFill>
                          <w14:schemeClr w14:val="tx1"/>
                        </w14:solidFill>
                      </w14:textFill>
                    </w:rPr>
                    <w:t>噪声治理</w:t>
                  </w:r>
                </w:p>
              </w:tc>
              <w:tc>
                <w:tcPr>
                  <w:tcW w:w="3708" w:type="pct"/>
                  <w:vAlign w:val="center"/>
                </w:tcPr>
                <w:p>
                  <w:pPr>
                    <w:pStyle w:val="38"/>
                    <w:widowControl w:val="0"/>
                    <w:rPr>
                      <w:rFonts w:hint="default" w:eastAsia="宋体"/>
                      <w:color w:val="auto"/>
                      <w:highlight w:val="none"/>
                      <w:u w:val="single"/>
                      <w:lang w:val="en-US" w:eastAsia="zh-CN"/>
                    </w:rPr>
                  </w:pPr>
                  <w:r>
                    <w:rPr>
                      <w:rFonts w:hint="eastAsia"/>
                      <w:color w:val="auto"/>
                      <w:highlight w:val="none"/>
                      <w:u w:val="single"/>
                      <w:lang w:val="en-US" w:eastAsia="zh-CN"/>
                    </w:rPr>
                    <w:t>建筑隔声、选用低噪声设备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pStyle w:val="38"/>
                    <w:widowControl w:val="0"/>
                    <w:rPr>
                      <w:color w:val="000000" w:themeColor="text1"/>
                      <w:highlight w:val="none"/>
                      <w:u w:val="single"/>
                      <w14:textFill>
                        <w14:solidFill>
                          <w14:schemeClr w14:val="tx1"/>
                        </w14:solidFill>
                      </w14:textFill>
                    </w:rPr>
                  </w:pPr>
                </w:p>
              </w:tc>
              <w:tc>
                <w:tcPr>
                  <w:tcW w:w="895" w:type="pct"/>
                  <w:gridSpan w:val="3"/>
                  <w:vAlign w:val="center"/>
                </w:tcPr>
                <w:p>
                  <w:pPr>
                    <w:spacing w:line="240" w:lineRule="auto"/>
                    <w:jc w:val="center"/>
                    <w:rPr>
                      <w:rFonts w:cs="Times New Roman"/>
                      <w:color w:val="000000" w:themeColor="text1"/>
                      <w:sz w:val="21"/>
                      <w:szCs w:val="21"/>
                      <w:highlight w:val="none"/>
                      <w:u w:val="single"/>
                      <w:lang w:val="en-US"/>
                      <w14:textFill>
                        <w14:solidFill>
                          <w14:schemeClr w14:val="tx1"/>
                        </w14:solidFill>
                      </w14:textFill>
                    </w:rPr>
                  </w:pPr>
                  <w:r>
                    <w:rPr>
                      <w:rFonts w:hint="eastAsia" w:cs="Times New Roman"/>
                      <w:color w:val="000000" w:themeColor="text1"/>
                      <w:sz w:val="21"/>
                      <w:szCs w:val="21"/>
                      <w:highlight w:val="none"/>
                      <w:u w:val="single"/>
                      <w:lang w:val="en-US"/>
                      <w14:textFill>
                        <w14:solidFill>
                          <w14:schemeClr w14:val="tx1"/>
                        </w14:solidFill>
                      </w14:textFill>
                    </w:rPr>
                    <w:t>固废治理</w:t>
                  </w:r>
                </w:p>
              </w:tc>
              <w:tc>
                <w:tcPr>
                  <w:tcW w:w="3708" w:type="pct"/>
                  <w:vAlign w:val="center"/>
                </w:tcPr>
                <w:p>
                  <w:pPr>
                    <w:pStyle w:val="38"/>
                    <w:widowControl w:val="0"/>
                    <w:rPr>
                      <w:rFonts w:hint="default"/>
                      <w:color w:val="auto"/>
                      <w:highlight w:val="none"/>
                      <w:u w:val="single"/>
                      <w:lang w:val="en-US"/>
                    </w:rPr>
                  </w:pPr>
                  <w:r>
                    <w:rPr>
                      <w:rFonts w:hint="eastAsia"/>
                      <w:color w:val="auto"/>
                      <w:highlight w:val="none"/>
                      <w:u w:val="single"/>
                    </w:rPr>
                    <w:t>厂区内设垃圾箱收集后，生活垃圾由环卫部门定期清运；</w:t>
                  </w:r>
                  <w:r>
                    <w:rPr>
                      <w:rFonts w:hint="eastAsia"/>
                      <w:color w:val="auto"/>
                      <w:highlight w:val="none"/>
                      <w:u w:val="single"/>
                      <w:lang w:val="en-US" w:eastAsia="zh-CN"/>
                    </w:rPr>
                    <w:t>污泥、废包装材料暂存于一般固废暂存间（20m</w:t>
                  </w:r>
                  <w:r>
                    <w:rPr>
                      <w:rFonts w:hint="eastAsia"/>
                      <w:color w:val="auto"/>
                      <w:highlight w:val="none"/>
                      <w:u w:val="single"/>
                      <w:vertAlign w:val="superscript"/>
                      <w:lang w:val="en-US" w:eastAsia="zh-CN"/>
                    </w:rPr>
                    <w:t>2</w:t>
                  </w:r>
                  <w:r>
                    <w:rPr>
                      <w:rFonts w:hint="eastAsia"/>
                      <w:color w:val="auto"/>
                      <w:highlight w:val="none"/>
                      <w:u w:val="single"/>
                      <w:lang w:val="en-US" w:eastAsia="zh-CN"/>
                    </w:rPr>
                    <w:t>），废包装材料定期交由环卫部门收集处理，污泥送与周边居民做菜地农肥；废机油、废机油桶暂存于危废暂存间（10m</w:t>
                  </w:r>
                  <w:r>
                    <w:rPr>
                      <w:rFonts w:hint="eastAsia"/>
                      <w:color w:val="auto"/>
                      <w:highlight w:val="none"/>
                      <w:u w:val="single"/>
                      <w:vertAlign w:val="superscript"/>
                      <w:lang w:val="en-US" w:eastAsia="zh-CN"/>
                    </w:rPr>
                    <w:t>2</w:t>
                  </w:r>
                  <w:r>
                    <w:rPr>
                      <w:rFonts w:hint="eastAsia"/>
                      <w:color w:val="auto"/>
                      <w:highlight w:val="none"/>
                      <w:u w:val="single"/>
                      <w:lang w:val="en-US" w:eastAsia="zh-CN"/>
                    </w:rPr>
                    <w:t>）定期交由有资质单位处置。固废间均位于管理区一楼药剂仓库东侧。</w:t>
                  </w:r>
                </w:p>
              </w:tc>
            </w:tr>
          </w:tbl>
          <w:p>
            <w:pPr>
              <w:pStyle w:val="5"/>
              <w:widowControl w:val="0"/>
              <w:ind w:firstLine="480"/>
              <w:rPr>
                <w:rFonts w:hint="default"/>
                <w:b/>
                <w:bCs/>
                <w:color w:val="auto"/>
                <w:sz w:val="21"/>
                <w:szCs w:val="21"/>
                <w:highlight w:val="none"/>
                <w:u w:val="single"/>
                <w:lang w:val="en-US" w:eastAsia="zh-CN"/>
              </w:rPr>
            </w:pPr>
            <w:r>
              <w:rPr>
                <w:rFonts w:hint="eastAsia"/>
                <w:b/>
                <w:bCs/>
                <w:color w:val="000000" w:themeColor="text1"/>
                <w:sz w:val="21"/>
                <w:szCs w:val="21"/>
                <w:highlight w:val="none"/>
                <w:u w:val="single"/>
                <w:lang w:val="en-US" w:eastAsia="zh-CN"/>
                <w14:textFill>
                  <w14:solidFill>
                    <w14:schemeClr w14:val="tx1"/>
                  </w14:solidFill>
                </w14:textFill>
              </w:rPr>
              <w:t>根据水利部门管理要求，千吨万人供水规模要求建设水质检验室，本项目为小型供水工程，供水规模不满足要求，因此不要求建设水质检验室。为保障用水安全，每季度临湘市疾病疾病预防控制中心会</w:t>
            </w:r>
            <w:r>
              <w:rPr>
                <w:rFonts w:hint="eastAsia"/>
                <w:b/>
                <w:bCs/>
                <w:color w:val="auto"/>
                <w:sz w:val="21"/>
                <w:szCs w:val="21"/>
                <w:highlight w:val="none"/>
                <w:u w:val="single"/>
                <w:lang w:val="en-US" w:eastAsia="zh-CN"/>
              </w:rPr>
              <w:t>对水厂出水水质进行检测</w:t>
            </w:r>
            <w:r>
              <w:rPr>
                <w:rFonts w:hint="eastAsia"/>
                <w:b/>
                <w:bCs/>
                <w:color w:val="auto"/>
                <w:sz w:val="21"/>
                <w:szCs w:val="21"/>
                <w:highlight w:val="none"/>
                <w:u w:val="single"/>
                <w:lang w:val="en-US" w:eastAsia="zh-CN"/>
              </w:rPr>
              <w:t>，临湘市水质检测中心、岳阳市水文局则会定期对水源地水质进行检测，评估饮用水安全状况。</w:t>
            </w:r>
          </w:p>
          <w:p>
            <w:pPr>
              <w:pStyle w:val="5"/>
              <w:widowControl w:val="0"/>
              <w:ind w:firstLine="482"/>
              <w:rPr>
                <w:rFonts w:hint="default" w:eastAsia="宋体"/>
                <w:b/>
                <w:bCs/>
                <w:color w:val="auto"/>
                <w:highlight w:val="none"/>
                <w:lang w:val="en-US" w:eastAsia="zh-CN"/>
              </w:rPr>
            </w:pPr>
            <w:r>
              <w:rPr>
                <w:rFonts w:hint="eastAsia"/>
                <w:b/>
                <w:bCs/>
                <w:color w:val="auto"/>
                <w:highlight w:val="none"/>
                <w:lang w:eastAsia="zh-CN"/>
              </w:rPr>
              <w:t>（</w:t>
            </w:r>
            <w:r>
              <w:rPr>
                <w:rFonts w:hint="eastAsia"/>
                <w:b/>
                <w:bCs/>
                <w:color w:val="auto"/>
                <w:highlight w:val="none"/>
                <w:lang w:val="en-US" w:eastAsia="zh-CN"/>
              </w:rPr>
              <w:t>3</w:t>
            </w:r>
            <w:r>
              <w:rPr>
                <w:rFonts w:hint="eastAsia"/>
                <w:b/>
                <w:bCs/>
                <w:color w:val="auto"/>
                <w:highlight w:val="none"/>
                <w:lang w:eastAsia="zh-CN"/>
              </w:rPr>
              <w:t>）</w:t>
            </w:r>
            <w:r>
              <w:rPr>
                <w:rFonts w:hint="eastAsia"/>
                <w:b/>
                <w:bCs/>
                <w:color w:val="auto"/>
                <w:highlight w:val="none"/>
                <w:lang w:val="en-US" w:eastAsia="zh-CN"/>
              </w:rPr>
              <w:t>产品方案</w:t>
            </w:r>
          </w:p>
          <w:p>
            <w:pPr>
              <w:pStyle w:val="5"/>
              <w:widowControl w:val="0"/>
              <w:ind w:firstLine="0" w:firstLineChars="0"/>
              <w:jc w:val="center"/>
              <w:rPr>
                <w:b/>
                <w:bCs/>
                <w:color w:val="auto"/>
                <w:highlight w:val="none"/>
              </w:rPr>
            </w:pPr>
            <w:r>
              <w:rPr>
                <w:rFonts w:hint="eastAsia"/>
                <w:b/>
                <w:bCs/>
                <w:color w:val="auto"/>
                <w:highlight w:val="none"/>
              </w:rPr>
              <w:t>表</w:t>
            </w:r>
            <w:r>
              <w:rPr>
                <w:b/>
                <w:bCs/>
                <w:color w:val="auto"/>
                <w:highlight w:val="none"/>
              </w:rPr>
              <w:t>2-</w:t>
            </w:r>
            <w:r>
              <w:rPr>
                <w:rFonts w:hint="eastAsia"/>
                <w:b/>
                <w:bCs/>
                <w:color w:val="auto"/>
                <w:highlight w:val="none"/>
                <w:lang w:val="en-US" w:eastAsia="zh-CN"/>
              </w:rPr>
              <w:t>2</w:t>
            </w:r>
            <w:r>
              <w:rPr>
                <w:b/>
                <w:bCs/>
                <w:color w:val="auto"/>
                <w:highlight w:val="none"/>
              </w:rPr>
              <w:t xml:space="preserve">  </w:t>
            </w:r>
            <w:r>
              <w:rPr>
                <w:rFonts w:hint="eastAsia"/>
                <w:b/>
                <w:bCs/>
                <w:color w:val="auto"/>
                <w:highlight w:val="none"/>
              </w:rPr>
              <w:t>本项目主要产品方案一览表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6"/>
              <w:gridCol w:w="1413"/>
              <w:gridCol w:w="1572"/>
              <w:gridCol w:w="1665"/>
              <w:gridCol w:w="34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vAlign w:val="center"/>
                </w:tcPr>
                <w:p>
                  <w:pPr>
                    <w:pStyle w:val="38"/>
                    <w:widowControl w:val="0"/>
                    <w:jc w:val="center"/>
                    <w:rPr>
                      <w:color w:val="auto"/>
                      <w:highlight w:val="none"/>
                    </w:rPr>
                  </w:pPr>
                  <w:r>
                    <w:rPr>
                      <w:rFonts w:hint="eastAsia"/>
                      <w:color w:val="auto"/>
                      <w:highlight w:val="none"/>
                    </w:rPr>
                    <w:t>序号</w:t>
                  </w:r>
                </w:p>
              </w:tc>
              <w:tc>
                <w:tcPr>
                  <w:tcW w:w="1413" w:type="dxa"/>
                  <w:vAlign w:val="center"/>
                </w:tcPr>
                <w:p>
                  <w:pPr>
                    <w:pStyle w:val="38"/>
                    <w:widowControl w:val="0"/>
                    <w:jc w:val="center"/>
                    <w:rPr>
                      <w:color w:val="auto"/>
                      <w:highlight w:val="none"/>
                    </w:rPr>
                  </w:pPr>
                  <w:r>
                    <w:rPr>
                      <w:rFonts w:hint="eastAsia"/>
                      <w:color w:val="auto"/>
                      <w:highlight w:val="none"/>
                    </w:rPr>
                    <w:t>产品名称</w:t>
                  </w:r>
                </w:p>
              </w:tc>
              <w:tc>
                <w:tcPr>
                  <w:tcW w:w="1572" w:type="dxa"/>
                  <w:vAlign w:val="center"/>
                </w:tcPr>
                <w:p>
                  <w:pPr>
                    <w:pStyle w:val="38"/>
                    <w:widowControl w:val="0"/>
                    <w:jc w:val="center"/>
                    <w:rPr>
                      <w:rFonts w:hint="default" w:eastAsia="宋体"/>
                      <w:color w:val="auto"/>
                      <w:highlight w:val="none"/>
                      <w:lang w:val="en-US" w:eastAsia="zh-CN"/>
                    </w:rPr>
                  </w:pPr>
                  <w:r>
                    <w:rPr>
                      <w:rFonts w:hint="eastAsia"/>
                      <w:color w:val="auto"/>
                      <w:highlight w:val="none"/>
                      <w:lang w:val="en-US" w:eastAsia="zh-CN"/>
                    </w:rPr>
                    <w:t>处理能力</w:t>
                  </w:r>
                </w:p>
              </w:tc>
              <w:tc>
                <w:tcPr>
                  <w:tcW w:w="1665" w:type="dxa"/>
                  <w:vAlign w:val="center"/>
                </w:tcPr>
                <w:p>
                  <w:pPr>
                    <w:pStyle w:val="38"/>
                    <w:widowControl w:val="0"/>
                    <w:jc w:val="center"/>
                    <w:rPr>
                      <w:color w:val="auto"/>
                      <w:highlight w:val="none"/>
                    </w:rPr>
                  </w:pPr>
                  <w:r>
                    <w:rPr>
                      <w:rFonts w:hint="eastAsia"/>
                      <w:color w:val="auto"/>
                      <w:highlight w:val="none"/>
                    </w:rPr>
                    <w:t>单位</w:t>
                  </w:r>
                </w:p>
              </w:tc>
              <w:tc>
                <w:tcPr>
                  <w:tcW w:w="3455" w:type="dxa"/>
                  <w:vAlign w:val="center"/>
                </w:tcPr>
                <w:p>
                  <w:pPr>
                    <w:pStyle w:val="38"/>
                    <w:widowControl w:val="0"/>
                    <w:jc w:val="center"/>
                    <w:rPr>
                      <w:rFonts w:hint="default" w:eastAsia="宋体"/>
                      <w:color w:val="auto"/>
                      <w:highlight w:val="none"/>
                      <w:lang w:val="en-US" w:eastAsia="zh-CN"/>
                    </w:rPr>
                  </w:pPr>
                  <w:r>
                    <w:rPr>
                      <w:rFonts w:hint="eastAsia"/>
                      <w:color w:val="auto"/>
                      <w:highlight w:val="no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vAlign w:val="center"/>
                </w:tcPr>
                <w:p>
                  <w:pPr>
                    <w:pStyle w:val="38"/>
                    <w:widowControl w:val="0"/>
                    <w:jc w:val="center"/>
                    <w:rPr>
                      <w:color w:val="auto"/>
                      <w:highlight w:val="none"/>
                    </w:rPr>
                  </w:pPr>
                  <w:r>
                    <w:rPr>
                      <w:rFonts w:hint="eastAsia"/>
                      <w:color w:val="auto"/>
                      <w:highlight w:val="none"/>
                    </w:rPr>
                    <w:t>1</w:t>
                  </w:r>
                </w:p>
              </w:tc>
              <w:tc>
                <w:tcPr>
                  <w:tcW w:w="1413" w:type="dxa"/>
                  <w:vAlign w:val="center"/>
                </w:tcPr>
                <w:p>
                  <w:pPr>
                    <w:pStyle w:val="38"/>
                    <w:widowControl w:val="0"/>
                    <w:jc w:val="center"/>
                    <w:rPr>
                      <w:rFonts w:hint="eastAsia" w:eastAsia="宋体"/>
                      <w:color w:val="auto"/>
                      <w:highlight w:val="none"/>
                      <w:lang w:eastAsia="zh-CN"/>
                    </w:rPr>
                  </w:pPr>
                  <w:r>
                    <w:rPr>
                      <w:rFonts w:hint="eastAsia"/>
                      <w:color w:val="auto"/>
                      <w:highlight w:val="none"/>
                      <w:lang w:val="en-US" w:eastAsia="zh-CN"/>
                    </w:rPr>
                    <w:t>自来水</w:t>
                  </w:r>
                </w:p>
              </w:tc>
              <w:tc>
                <w:tcPr>
                  <w:tcW w:w="1572" w:type="dxa"/>
                  <w:vAlign w:val="center"/>
                </w:tcPr>
                <w:p>
                  <w:pPr>
                    <w:pStyle w:val="38"/>
                    <w:widowControl w:val="0"/>
                    <w:jc w:val="center"/>
                    <w:rPr>
                      <w:rFonts w:hint="default" w:eastAsia="宋体"/>
                      <w:color w:val="auto"/>
                      <w:highlight w:val="none"/>
                      <w:lang w:val="en-US" w:eastAsia="zh-CN"/>
                    </w:rPr>
                  </w:pPr>
                  <w:r>
                    <w:rPr>
                      <w:rFonts w:hint="eastAsia"/>
                      <w:color w:val="auto"/>
                      <w:highlight w:val="none"/>
                      <w:lang w:val="en-US" w:eastAsia="zh-CN"/>
                    </w:rPr>
                    <w:t>960</w:t>
                  </w:r>
                </w:p>
              </w:tc>
              <w:tc>
                <w:tcPr>
                  <w:tcW w:w="1665" w:type="dxa"/>
                  <w:vAlign w:val="center"/>
                </w:tcPr>
                <w:p>
                  <w:pPr>
                    <w:pStyle w:val="38"/>
                    <w:widowControl w:val="0"/>
                    <w:jc w:val="center"/>
                    <w:rPr>
                      <w:rFonts w:hint="default" w:eastAsia="宋体"/>
                      <w:color w:val="auto"/>
                      <w:highlight w:val="none"/>
                      <w:vertAlign w:val="baseline"/>
                      <w:lang w:val="en-US" w:eastAsia="zh-CN"/>
                    </w:rPr>
                  </w:pPr>
                  <w:r>
                    <w:rPr>
                      <w:rFonts w:hint="eastAsia"/>
                      <w:color w:val="auto"/>
                      <w:highlight w:val="none"/>
                      <w:lang w:val="en-US" w:eastAsia="zh-CN"/>
                    </w:rPr>
                    <w:t>m</w:t>
                  </w:r>
                  <w:r>
                    <w:rPr>
                      <w:rFonts w:hint="eastAsia"/>
                      <w:color w:val="auto"/>
                      <w:highlight w:val="none"/>
                      <w:vertAlign w:val="superscript"/>
                      <w:lang w:val="en-US" w:eastAsia="zh-CN"/>
                    </w:rPr>
                    <w:t>3</w:t>
                  </w:r>
                  <w:r>
                    <w:rPr>
                      <w:rFonts w:hint="eastAsia"/>
                      <w:color w:val="auto"/>
                      <w:highlight w:val="none"/>
                      <w:vertAlign w:val="baseline"/>
                      <w:lang w:val="en-US" w:eastAsia="zh-CN"/>
                    </w:rPr>
                    <w:t>/d</w:t>
                  </w:r>
                </w:p>
              </w:tc>
              <w:tc>
                <w:tcPr>
                  <w:tcW w:w="3455" w:type="dxa"/>
                  <w:vAlign w:val="center"/>
                </w:tcPr>
                <w:p>
                  <w:pPr>
                    <w:pStyle w:val="38"/>
                    <w:widowControl w:val="0"/>
                    <w:jc w:val="center"/>
                    <w:rPr>
                      <w:rFonts w:hint="default"/>
                      <w:color w:val="auto"/>
                      <w:highlight w:val="none"/>
                      <w:lang w:val="en-US" w:eastAsia="zh-CN"/>
                    </w:rPr>
                  </w:pPr>
                  <w:r>
                    <w:rPr>
                      <w:rFonts w:hint="eastAsia"/>
                      <w:color w:val="auto"/>
                      <w:highlight w:val="none"/>
                      <w:lang w:val="en-US" w:eastAsia="zh-CN"/>
                    </w:rPr>
                    <w:t>水厂出水水质需满足《生活饮用水卫生标准》（GB5749-2022）</w:t>
                  </w:r>
                </w:p>
              </w:tc>
            </w:tr>
          </w:tbl>
          <w:p>
            <w:pPr>
              <w:pStyle w:val="5"/>
              <w:widowControl w:val="0"/>
              <w:ind w:firstLine="482"/>
              <w:rPr>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4</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主要原辅材料</w:t>
            </w:r>
          </w:p>
          <w:p>
            <w:pPr>
              <w:pStyle w:val="5"/>
              <w:widowControl w:val="0"/>
              <w:ind w:firstLine="0" w:firstLineChars="0"/>
              <w:jc w:val="center"/>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表</w:t>
            </w:r>
            <w:r>
              <w:rPr>
                <w:b/>
                <w:bCs/>
                <w:color w:val="000000" w:themeColor="text1"/>
                <w:highlight w:val="none"/>
                <w14:textFill>
                  <w14:solidFill>
                    <w14:schemeClr w14:val="tx1"/>
                  </w14:solidFill>
                </w14:textFill>
              </w:rPr>
              <w:t>2-</w:t>
            </w:r>
            <w:r>
              <w:rPr>
                <w:rFonts w:hint="eastAsia"/>
                <w:b/>
                <w:bCs/>
                <w:color w:val="000000" w:themeColor="text1"/>
                <w:highlight w:val="none"/>
                <w:lang w:val="en-US" w:eastAsia="zh-CN"/>
                <w14:textFill>
                  <w14:solidFill>
                    <w14:schemeClr w14:val="tx1"/>
                  </w14:solidFill>
                </w14:textFill>
              </w:rPr>
              <w:t>3</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本项目主要原辅材料</w:t>
            </w:r>
            <w:r>
              <w:rPr>
                <w:rFonts w:hint="eastAsia"/>
                <w:b/>
                <w:bCs/>
                <w:color w:val="000000" w:themeColor="text1"/>
                <w:highlight w:val="none"/>
                <w:lang w:val="en-US" w:eastAsia="zh-CN"/>
                <w14:textFill>
                  <w14:solidFill>
                    <w14:schemeClr w14:val="tx1"/>
                  </w14:solidFill>
                </w14:textFill>
              </w:rPr>
              <w:t>及能源</w:t>
            </w:r>
            <w:r>
              <w:rPr>
                <w:rFonts w:hint="eastAsia"/>
                <w:b/>
                <w:bCs/>
                <w:color w:val="000000" w:themeColor="text1"/>
                <w:highlight w:val="none"/>
                <w14:textFill>
                  <w14:solidFill>
                    <w14:schemeClr w14:val="tx1"/>
                  </w14:solidFill>
                </w14:textFill>
              </w:rPr>
              <w:t>消耗一览表</w:t>
            </w:r>
          </w:p>
          <w:tbl>
            <w:tblPr>
              <w:tblStyle w:val="28"/>
              <w:tblW w:w="492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1"/>
              <w:gridCol w:w="1308"/>
              <w:gridCol w:w="1051"/>
              <w:gridCol w:w="1294"/>
              <w:gridCol w:w="1076"/>
              <w:gridCol w:w="1822"/>
              <w:gridCol w:w="1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289" w:type="pct"/>
                  <w:vAlign w:val="center"/>
                </w:tcPr>
                <w:p>
                  <w:pPr>
                    <w:pStyle w:val="38"/>
                    <w:widowControl w:val="0"/>
                    <w:spacing w:line="240" w:lineRule="auto"/>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序号</w:t>
                  </w:r>
                </w:p>
              </w:tc>
              <w:tc>
                <w:tcPr>
                  <w:tcW w:w="725" w:type="pct"/>
                  <w:vAlign w:val="center"/>
                </w:tcPr>
                <w:p>
                  <w:pPr>
                    <w:pStyle w:val="38"/>
                    <w:widowControl w:val="0"/>
                    <w:spacing w:line="240" w:lineRule="auto"/>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名称</w:t>
                  </w:r>
                </w:p>
              </w:tc>
              <w:tc>
                <w:tcPr>
                  <w:tcW w:w="583" w:type="pct"/>
                  <w:vAlign w:val="center"/>
                </w:tcPr>
                <w:p>
                  <w:pPr>
                    <w:pStyle w:val="38"/>
                    <w:widowControl w:val="0"/>
                    <w:spacing w:line="240" w:lineRule="auto"/>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年用量</w:t>
                  </w:r>
                </w:p>
              </w:tc>
              <w:tc>
                <w:tcPr>
                  <w:tcW w:w="717" w:type="pct"/>
                  <w:vAlign w:val="center"/>
                </w:tcPr>
                <w:p>
                  <w:pPr>
                    <w:pStyle w:val="38"/>
                    <w:widowControl w:val="0"/>
                    <w:spacing w:line="240" w:lineRule="auto"/>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厂区暂存量</w:t>
                  </w:r>
                </w:p>
              </w:tc>
              <w:tc>
                <w:tcPr>
                  <w:tcW w:w="596" w:type="pct"/>
                  <w:vAlign w:val="center"/>
                </w:tcPr>
                <w:p>
                  <w:pPr>
                    <w:pStyle w:val="38"/>
                    <w:widowControl w:val="0"/>
                    <w:spacing w:line="240" w:lineRule="auto"/>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单位</w:t>
                  </w:r>
                </w:p>
              </w:tc>
              <w:tc>
                <w:tcPr>
                  <w:tcW w:w="1010" w:type="pct"/>
                  <w:vAlign w:val="center"/>
                </w:tcPr>
                <w:p>
                  <w:pPr>
                    <w:pStyle w:val="38"/>
                    <w:widowControl w:val="0"/>
                    <w:spacing w:line="240" w:lineRule="auto"/>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14:textFill>
                        <w14:solidFill>
                          <w14:schemeClr w14:val="tx1"/>
                        </w14:solidFill>
                      </w14:textFill>
                    </w:rPr>
                    <w:t>贮存方式</w:t>
                  </w:r>
                  <w:r>
                    <w:rPr>
                      <w:rFonts w:hint="eastAsia"/>
                      <w:color w:val="000000" w:themeColor="text1"/>
                      <w:highlight w:val="none"/>
                      <w:u w:val="none"/>
                      <w:lang w:val="en-US" w:eastAsia="zh-CN"/>
                      <w14:textFill>
                        <w14:solidFill>
                          <w14:schemeClr w14:val="tx1"/>
                        </w14:solidFill>
                      </w14:textFill>
                    </w:rPr>
                    <w:t>及储存地点</w:t>
                  </w:r>
                </w:p>
              </w:tc>
              <w:tc>
                <w:tcPr>
                  <w:tcW w:w="1076" w:type="pct"/>
                  <w:vAlign w:val="center"/>
                </w:tcPr>
                <w:p>
                  <w:pPr>
                    <w:pStyle w:val="38"/>
                    <w:widowControl w:val="0"/>
                    <w:spacing w:line="240" w:lineRule="auto"/>
                    <w:rPr>
                      <w:rFonts w:hint="eastAsia" w:eastAsia="宋体"/>
                      <w:color w:val="000000" w:themeColor="text1"/>
                      <w:highlight w:val="none"/>
                      <w:u w:val="none"/>
                      <w:lang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9" w:type="pct"/>
                  <w:vAlign w:val="center"/>
                </w:tcPr>
                <w:p>
                  <w:pPr>
                    <w:pStyle w:val="38"/>
                    <w:widowControl w:val="0"/>
                    <w:spacing w:line="240" w:lineRule="auto"/>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1</w:t>
                  </w:r>
                </w:p>
              </w:tc>
              <w:tc>
                <w:tcPr>
                  <w:tcW w:w="725" w:type="pct"/>
                  <w:vAlign w:val="center"/>
                </w:tcPr>
                <w:p>
                  <w:pPr>
                    <w:pStyle w:val="38"/>
                    <w:widowControl w:val="0"/>
                    <w:spacing w:line="240" w:lineRule="auto"/>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聚合氯化铝（PAC）</w:t>
                  </w:r>
                </w:p>
              </w:tc>
              <w:tc>
                <w:tcPr>
                  <w:tcW w:w="583" w:type="pct"/>
                  <w:vAlign w:val="center"/>
                </w:tcPr>
                <w:p>
                  <w:pPr>
                    <w:pStyle w:val="38"/>
                    <w:widowControl w:val="0"/>
                    <w:spacing w:line="240" w:lineRule="auto"/>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10.5</w:t>
                  </w:r>
                </w:p>
              </w:tc>
              <w:tc>
                <w:tcPr>
                  <w:tcW w:w="717" w:type="pct"/>
                  <w:vAlign w:val="center"/>
                </w:tcPr>
                <w:p>
                  <w:pPr>
                    <w:pStyle w:val="38"/>
                    <w:widowControl w:val="0"/>
                    <w:spacing w:line="240" w:lineRule="auto"/>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1</w:t>
                  </w:r>
                </w:p>
              </w:tc>
              <w:tc>
                <w:tcPr>
                  <w:tcW w:w="596" w:type="pct"/>
                  <w:vAlign w:val="center"/>
                </w:tcPr>
                <w:p>
                  <w:pPr>
                    <w:pStyle w:val="38"/>
                    <w:widowControl w:val="0"/>
                    <w:spacing w:line="240" w:lineRule="auto"/>
                    <w:rPr>
                      <w:rFonts w:hint="eastAsia"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t</w:t>
                  </w:r>
                </w:p>
              </w:tc>
              <w:tc>
                <w:tcPr>
                  <w:tcW w:w="1010" w:type="pct"/>
                  <w:vAlign w:val="center"/>
                </w:tcPr>
                <w:p>
                  <w:pPr>
                    <w:pStyle w:val="38"/>
                    <w:widowControl w:val="0"/>
                    <w:spacing w:line="240" w:lineRule="auto"/>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药剂仓库</w:t>
                  </w:r>
                </w:p>
              </w:tc>
              <w:tc>
                <w:tcPr>
                  <w:tcW w:w="1076" w:type="pct"/>
                  <w:vAlign w:val="center"/>
                </w:tcPr>
                <w:p>
                  <w:pPr>
                    <w:pStyle w:val="38"/>
                    <w:widowControl w:val="0"/>
                    <w:spacing w:line="240" w:lineRule="auto"/>
                    <w:rPr>
                      <w:rFonts w:hint="eastAsia"/>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絮凝工艺</w:t>
                  </w:r>
                </w:p>
                <w:p>
                  <w:pPr>
                    <w:pStyle w:val="38"/>
                    <w:widowControl w:val="0"/>
                    <w:spacing w:line="240" w:lineRule="auto"/>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投加量30mg/L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9" w:type="pct"/>
                  <w:vAlign w:val="center"/>
                </w:tcPr>
                <w:p>
                  <w:pPr>
                    <w:pStyle w:val="38"/>
                    <w:widowControl w:val="0"/>
                    <w:spacing w:line="240" w:lineRule="auto"/>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2</w:t>
                  </w:r>
                </w:p>
              </w:tc>
              <w:tc>
                <w:tcPr>
                  <w:tcW w:w="725" w:type="pct"/>
                  <w:vAlign w:val="center"/>
                </w:tcPr>
                <w:p>
                  <w:pPr>
                    <w:pStyle w:val="38"/>
                    <w:widowControl w:val="0"/>
                    <w:spacing w:line="240" w:lineRule="auto"/>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食盐</w:t>
                  </w:r>
                </w:p>
              </w:tc>
              <w:tc>
                <w:tcPr>
                  <w:tcW w:w="583" w:type="pct"/>
                  <w:vAlign w:val="center"/>
                </w:tcPr>
                <w:p>
                  <w:pPr>
                    <w:pStyle w:val="38"/>
                    <w:widowControl w:val="0"/>
                    <w:spacing w:line="240" w:lineRule="auto"/>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717" w:type="pct"/>
                  <w:vAlign w:val="center"/>
                </w:tcPr>
                <w:p>
                  <w:pPr>
                    <w:pStyle w:val="38"/>
                    <w:widowControl w:val="0"/>
                    <w:spacing w:line="240" w:lineRule="auto"/>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0.5</w:t>
                  </w:r>
                </w:p>
              </w:tc>
              <w:tc>
                <w:tcPr>
                  <w:tcW w:w="596" w:type="pct"/>
                  <w:vAlign w:val="center"/>
                </w:tcPr>
                <w:p>
                  <w:pPr>
                    <w:pStyle w:val="38"/>
                    <w:widowControl w:val="0"/>
                    <w:spacing w:line="240" w:lineRule="auto"/>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t</w:t>
                  </w:r>
                </w:p>
              </w:tc>
              <w:tc>
                <w:tcPr>
                  <w:tcW w:w="1010" w:type="pct"/>
                  <w:vAlign w:val="center"/>
                </w:tcPr>
                <w:p>
                  <w:pPr>
                    <w:pStyle w:val="38"/>
                    <w:widowControl w:val="0"/>
                    <w:spacing w:line="240" w:lineRule="auto"/>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药剂仓库</w:t>
                  </w:r>
                </w:p>
              </w:tc>
              <w:tc>
                <w:tcPr>
                  <w:tcW w:w="1076" w:type="pct"/>
                  <w:vAlign w:val="center"/>
                </w:tcPr>
                <w:p>
                  <w:pPr>
                    <w:pStyle w:val="38"/>
                    <w:widowControl w:val="0"/>
                    <w:spacing w:line="240" w:lineRule="auto"/>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消毒工艺</w:t>
                  </w:r>
                </w:p>
                <w:p>
                  <w:pPr>
                    <w:pStyle w:val="38"/>
                    <w:widowControl w:val="0"/>
                    <w:spacing w:line="240" w:lineRule="auto"/>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制备次氯酸钠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9" w:type="pct"/>
                  <w:vAlign w:val="center"/>
                </w:tcPr>
                <w:p>
                  <w:pPr>
                    <w:pStyle w:val="38"/>
                    <w:widowControl w:val="0"/>
                    <w:spacing w:line="240" w:lineRule="auto"/>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3</w:t>
                  </w:r>
                </w:p>
              </w:tc>
              <w:tc>
                <w:tcPr>
                  <w:tcW w:w="725" w:type="pct"/>
                  <w:vAlign w:val="center"/>
                </w:tcPr>
                <w:p>
                  <w:pPr>
                    <w:pStyle w:val="38"/>
                    <w:widowControl w:val="0"/>
                    <w:spacing w:line="240" w:lineRule="auto"/>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原水</w:t>
                  </w:r>
                </w:p>
              </w:tc>
              <w:tc>
                <w:tcPr>
                  <w:tcW w:w="583" w:type="pct"/>
                  <w:vAlign w:val="center"/>
                </w:tcPr>
                <w:p>
                  <w:pPr>
                    <w:pStyle w:val="38"/>
                    <w:widowControl w:val="0"/>
                    <w:spacing w:line="240" w:lineRule="auto"/>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35.04</w:t>
                  </w:r>
                </w:p>
              </w:tc>
              <w:tc>
                <w:tcPr>
                  <w:tcW w:w="717" w:type="pct"/>
                  <w:vAlign w:val="center"/>
                </w:tcPr>
                <w:p>
                  <w:pPr>
                    <w:pStyle w:val="38"/>
                    <w:widowControl w:val="0"/>
                    <w:spacing w:line="240" w:lineRule="auto"/>
                    <w:rPr>
                      <w:rFonts w:hint="eastAsia"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w:t>
                  </w:r>
                </w:p>
              </w:tc>
              <w:tc>
                <w:tcPr>
                  <w:tcW w:w="596" w:type="pct"/>
                  <w:vAlign w:val="center"/>
                </w:tcPr>
                <w:p>
                  <w:pPr>
                    <w:pStyle w:val="38"/>
                    <w:widowControl w:val="0"/>
                    <w:spacing w:line="240" w:lineRule="auto"/>
                    <w:rPr>
                      <w:rFonts w:hint="default" w:eastAsia="宋体"/>
                      <w:color w:val="000000" w:themeColor="text1"/>
                      <w:highlight w:val="none"/>
                      <w:u w:val="none"/>
                      <w:vertAlign w:val="baseli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万m</w:t>
                  </w:r>
                  <w:r>
                    <w:rPr>
                      <w:rFonts w:hint="eastAsia"/>
                      <w:color w:val="000000" w:themeColor="text1"/>
                      <w:highlight w:val="none"/>
                      <w:u w:val="none"/>
                      <w:vertAlign w:val="superscript"/>
                      <w:lang w:val="en-US" w:eastAsia="zh-CN"/>
                      <w14:textFill>
                        <w14:solidFill>
                          <w14:schemeClr w14:val="tx1"/>
                        </w14:solidFill>
                      </w14:textFill>
                    </w:rPr>
                    <w:t>3</w:t>
                  </w:r>
                </w:p>
              </w:tc>
              <w:tc>
                <w:tcPr>
                  <w:tcW w:w="1010" w:type="pct"/>
                  <w:vAlign w:val="center"/>
                </w:tcPr>
                <w:p>
                  <w:pPr>
                    <w:pStyle w:val="38"/>
                    <w:widowControl w:val="0"/>
                    <w:spacing w:line="240" w:lineRule="auto"/>
                    <w:rPr>
                      <w:rFonts w:hint="eastAsia"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w:t>
                  </w:r>
                </w:p>
              </w:tc>
              <w:tc>
                <w:tcPr>
                  <w:tcW w:w="1076" w:type="pct"/>
                  <w:vAlign w:val="center"/>
                </w:tcPr>
                <w:p>
                  <w:pPr>
                    <w:pStyle w:val="38"/>
                    <w:widowControl w:val="0"/>
                    <w:spacing w:line="240" w:lineRule="auto"/>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取自木形水库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9" w:type="pct"/>
                  <w:vAlign w:val="center"/>
                </w:tcPr>
                <w:p>
                  <w:pPr>
                    <w:pStyle w:val="38"/>
                    <w:widowControl w:val="0"/>
                    <w:spacing w:line="240" w:lineRule="auto"/>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4</w:t>
                  </w:r>
                </w:p>
              </w:tc>
              <w:tc>
                <w:tcPr>
                  <w:tcW w:w="725" w:type="pct"/>
                  <w:vAlign w:val="center"/>
                </w:tcPr>
                <w:p>
                  <w:pPr>
                    <w:pStyle w:val="38"/>
                    <w:widowControl w:val="0"/>
                    <w:spacing w:line="240" w:lineRule="auto"/>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电</w:t>
                  </w:r>
                </w:p>
              </w:tc>
              <w:tc>
                <w:tcPr>
                  <w:tcW w:w="583" w:type="pct"/>
                  <w:vAlign w:val="center"/>
                </w:tcPr>
                <w:p>
                  <w:pPr>
                    <w:pStyle w:val="38"/>
                    <w:widowControl w:val="0"/>
                    <w:spacing w:line="240" w:lineRule="auto"/>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50</w:t>
                  </w:r>
                </w:p>
              </w:tc>
              <w:tc>
                <w:tcPr>
                  <w:tcW w:w="717" w:type="pct"/>
                  <w:vAlign w:val="center"/>
                </w:tcPr>
                <w:p>
                  <w:pPr>
                    <w:pStyle w:val="38"/>
                    <w:widowControl w:val="0"/>
                    <w:spacing w:line="240" w:lineRule="auto"/>
                    <w:rPr>
                      <w:rFonts w:hint="eastAsia"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w:t>
                  </w:r>
                </w:p>
              </w:tc>
              <w:tc>
                <w:tcPr>
                  <w:tcW w:w="596" w:type="pct"/>
                  <w:vAlign w:val="center"/>
                </w:tcPr>
                <w:p>
                  <w:pPr>
                    <w:pStyle w:val="38"/>
                    <w:widowControl w:val="0"/>
                    <w:spacing w:line="240" w:lineRule="auto"/>
                    <w:rPr>
                      <w:color w:val="000000" w:themeColor="text1"/>
                      <w:highlight w:val="none"/>
                      <w:u w:val="none"/>
                      <w14:textFill>
                        <w14:solidFill>
                          <w14:schemeClr w14:val="tx1"/>
                        </w14:solidFill>
                      </w14:textFill>
                    </w:rPr>
                  </w:pPr>
                  <w:r>
                    <w:rPr>
                      <w:color w:val="000000" w:themeColor="text1"/>
                      <w:highlight w:val="none"/>
                      <w:u w:val="none"/>
                      <w:lang w:bidi="zh-CN"/>
                      <w14:textFill>
                        <w14:solidFill>
                          <w14:schemeClr w14:val="tx1"/>
                        </w14:solidFill>
                      </w14:textFill>
                    </w:rPr>
                    <w:t>万kw·h/a</w:t>
                  </w:r>
                </w:p>
              </w:tc>
              <w:tc>
                <w:tcPr>
                  <w:tcW w:w="1010" w:type="pct"/>
                  <w:vAlign w:val="center"/>
                </w:tcPr>
                <w:p>
                  <w:pPr>
                    <w:pStyle w:val="38"/>
                    <w:widowControl w:val="0"/>
                    <w:spacing w:line="240" w:lineRule="auto"/>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市政管网</w:t>
                  </w:r>
                </w:p>
              </w:tc>
              <w:tc>
                <w:tcPr>
                  <w:tcW w:w="1076" w:type="pct"/>
                  <w:vAlign w:val="center"/>
                </w:tcPr>
                <w:p>
                  <w:pPr>
                    <w:pStyle w:val="38"/>
                    <w:widowControl w:val="0"/>
                    <w:spacing w:line="240" w:lineRule="auto"/>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生产能源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9" w:type="pct"/>
                  <w:vAlign w:val="center"/>
                </w:tcPr>
                <w:p>
                  <w:pPr>
                    <w:pStyle w:val="38"/>
                    <w:widowControl w:val="0"/>
                    <w:spacing w:line="240" w:lineRule="auto"/>
                    <w:rPr>
                      <w:rFonts w:hint="eastAsia"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5</w:t>
                  </w:r>
                </w:p>
              </w:tc>
              <w:tc>
                <w:tcPr>
                  <w:tcW w:w="725" w:type="pct"/>
                  <w:vAlign w:val="center"/>
                </w:tcPr>
                <w:p>
                  <w:pPr>
                    <w:pStyle w:val="38"/>
                    <w:widowControl w:val="0"/>
                    <w:spacing w:line="240" w:lineRule="auto"/>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备用柴油</w:t>
                  </w:r>
                </w:p>
              </w:tc>
              <w:tc>
                <w:tcPr>
                  <w:tcW w:w="583" w:type="pct"/>
                  <w:vAlign w:val="center"/>
                </w:tcPr>
                <w:p>
                  <w:pPr>
                    <w:pStyle w:val="38"/>
                    <w:widowControl w:val="0"/>
                    <w:spacing w:line="240" w:lineRule="auto"/>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0.5</w:t>
                  </w:r>
                </w:p>
              </w:tc>
              <w:tc>
                <w:tcPr>
                  <w:tcW w:w="717" w:type="pct"/>
                  <w:vAlign w:val="center"/>
                </w:tcPr>
                <w:p>
                  <w:pPr>
                    <w:pStyle w:val="38"/>
                    <w:widowControl w:val="0"/>
                    <w:spacing w:line="240" w:lineRule="auto"/>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0.5</w:t>
                  </w:r>
                </w:p>
              </w:tc>
              <w:tc>
                <w:tcPr>
                  <w:tcW w:w="596" w:type="pct"/>
                  <w:vAlign w:val="center"/>
                </w:tcPr>
                <w:p>
                  <w:pPr>
                    <w:pStyle w:val="38"/>
                    <w:widowControl w:val="0"/>
                    <w:spacing w:line="240" w:lineRule="auto"/>
                    <w:rPr>
                      <w:rFonts w:hint="default"/>
                      <w:color w:val="000000" w:themeColor="text1"/>
                      <w:highlight w:val="none"/>
                      <w:u w:val="none"/>
                      <w:lang w:val="en-US" w:bidi="zh-CN"/>
                      <w14:textFill>
                        <w14:solidFill>
                          <w14:schemeClr w14:val="tx1"/>
                        </w14:solidFill>
                      </w14:textFill>
                    </w:rPr>
                  </w:pPr>
                  <w:r>
                    <w:rPr>
                      <w:rFonts w:hint="eastAsia"/>
                      <w:color w:val="000000" w:themeColor="text1"/>
                      <w:highlight w:val="none"/>
                      <w:u w:val="none"/>
                      <w:lang w:val="en-US" w:bidi="zh-CN"/>
                      <w14:textFill>
                        <w14:solidFill>
                          <w14:schemeClr w14:val="tx1"/>
                        </w14:solidFill>
                      </w14:textFill>
                    </w:rPr>
                    <w:t>t</w:t>
                  </w:r>
                </w:p>
              </w:tc>
              <w:tc>
                <w:tcPr>
                  <w:tcW w:w="1010" w:type="pct"/>
                  <w:vAlign w:val="center"/>
                </w:tcPr>
                <w:p>
                  <w:pPr>
                    <w:pStyle w:val="38"/>
                    <w:widowControl w:val="0"/>
                    <w:spacing w:line="240" w:lineRule="auto"/>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发电机房</w:t>
                  </w:r>
                </w:p>
              </w:tc>
              <w:tc>
                <w:tcPr>
                  <w:tcW w:w="1076" w:type="pct"/>
                  <w:vAlign w:val="center"/>
                </w:tcPr>
                <w:p>
                  <w:pPr>
                    <w:pStyle w:val="38"/>
                    <w:widowControl w:val="0"/>
                    <w:spacing w:line="240" w:lineRule="auto"/>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仅停电时使用</w:t>
                  </w:r>
                </w:p>
              </w:tc>
            </w:tr>
          </w:tbl>
          <w:p>
            <w:pPr>
              <w:pStyle w:val="5"/>
              <w:widowControl w:val="0"/>
              <w:ind w:firstLine="480"/>
              <w:rPr>
                <w:rFonts w:hint="eastAsia" w:ascii="Times New Roman" w:hAnsi="Times New Roman" w:eastAsia="宋体" w:cs="Times New Roman"/>
                <w:b/>
                <w:bCs/>
                <w:color w:val="000000" w:themeColor="text1"/>
                <w:sz w:val="21"/>
                <w:szCs w:val="21"/>
                <w:highlight w:val="none"/>
                <w:u w:val="single"/>
                <w:lang w:val="en-US" w:eastAsia="zh-CN" w:bidi="ar-SA"/>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u w:val="single"/>
                <w:lang w:val="en-US" w:eastAsia="zh-CN" w:bidi="ar-SA"/>
                <w14:textFill>
                  <w14:solidFill>
                    <w14:schemeClr w14:val="tx1"/>
                  </w14:solidFill>
                </w14:textFill>
              </w:rPr>
              <w:t>本评价要求</w:t>
            </w:r>
            <w:r>
              <w:rPr>
                <w:rFonts w:hint="eastAsia" w:cs="Times New Roman"/>
                <w:b/>
                <w:bCs/>
                <w:color w:val="000000" w:themeColor="text1"/>
                <w:sz w:val="21"/>
                <w:szCs w:val="21"/>
                <w:highlight w:val="none"/>
                <w:u w:val="single"/>
                <w:lang w:val="en-US" w:eastAsia="zh-CN" w:bidi="ar-SA"/>
                <w14:textFill>
                  <w14:solidFill>
                    <w14:schemeClr w14:val="tx1"/>
                  </w14:solidFill>
                </w14:textFill>
              </w:rPr>
              <w:t>项目使用的原水必须满足《地表水环境质量标准》（GB3838-2002）中Ⅱ类水质标准要求。</w:t>
            </w:r>
          </w:p>
          <w:p>
            <w:pPr>
              <w:pStyle w:val="5"/>
              <w:widowControl w:val="0"/>
              <w:ind w:firstLine="0" w:firstLineChars="0"/>
              <w:jc w:val="center"/>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表</w:t>
            </w:r>
            <w:r>
              <w:rPr>
                <w:b/>
                <w:bCs/>
                <w:color w:val="000000" w:themeColor="text1"/>
                <w:highlight w:val="none"/>
                <w14:textFill>
                  <w14:solidFill>
                    <w14:schemeClr w14:val="tx1"/>
                  </w14:solidFill>
                </w14:textFill>
              </w:rPr>
              <w:t>2-</w:t>
            </w:r>
            <w:r>
              <w:rPr>
                <w:rFonts w:hint="eastAsia"/>
                <w:b/>
                <w:bCs/>
                <w:color w:val="000000" w:themeColor="text1"/>
                <w:highlight w:val="none"/>
                <w:lang w:val="en-US" w:eastAsia="zh-CN"/>
                <w14:textFill>
                  <w14:solidFill>
                    <w14:schemeClr w14:val="tx1"/>
                  </w14:solidFill>
                </w14:textFill>
              </w:rPr>
              <w:t>4</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主要原辅材料</w:t>
            </w:r>
            <w:r>
              <w:rPr>
                <w:rFonts w:hint="eastAsia"/>
                <w:b/>
                <w:bCs/>
                <w:color w:val="000000" w:themeColor="text1"/>
                <w:highlight w:val="none"/>
                <w:lang w:val="en-US" w:eastAsia="zh-CN"/>
                <w14:textFill>
                  <w14:solidFill>
                    <w14:schemeClr w14:val="tx1"/>
                  </w14:solidFill>
                </w14:textFill>
              </w:rPr>
              <w:t>理化性质</w:t>
            </w:r>
            <w:r>
              <w:rPr>
                <w:rFonts w:hint="eastAsia"/>
                <w:b/>
                <w:bCs/>
                <w:color w:val="000000" w:themeColor="text1"/>
                <w:highlight w:val="none"/>
                <w14:textFill>
                  <w14:solidFill>
                    <w14:schemeClr w14:val="tx1"/>
                  </w14:solidFill>
                </w14:textFill>
              </w:rPr>
              <w:t>一览表</w:t>
            </w:r>
          </w:p>
          <w:tbl>
            <w:tblPr>
              <w:tblStyle w:val="28"/>
              <w:tblW w:w="48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5"/>
              <w:gridCol w:w="77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632" w:type="pct"/>
                  <w:vAlign w:val="center"/>
                </w:tcPr>
                <w:p>
                  <w:pPr>
                    <w:pStyle w:val="38"/>
                    <w:widowControl w:val="0"/>
                    <w:spacing w:line="240" w:lineRule="auto"/>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名称</w:t>
                  </w:r>
                </w:p>
              </w:tc>
              <w:tc>
                <w:tcPr>
                  <w:tcW w:w="4367" w:type="pct"/>
                  <w:vAlign w:val="center"/>
                </w:tcPr>
                <w:p>
                  <w:pPr>
                    <w:pStyle w:val="38"/>
                    <w:widowControl w:val="0"/>
                    <w:spacing w:line="240" w:lineRule="auto"/>
                    <w:rPr>
                      <w:rFonts w:hint="default" w:ascii="Times New Roman" w:hAnsi="Times New Roman" w:eastAsia="宋体" w:cs="Times New Roman"/>
                      <w:color w:val="000000" w:themeColor="text1"/>
                      <w:highlight w:val="none"/>
                      <w:u w:val="none"/>
                      <w:lang w:eastAsia="zh-CN"/>
                      <w14:textFill>
                        <w14:solidFill>
                          <w14:schemeClr w14:val="tx1"/>
                        </w14:solidFill>
                      </w14:textFill>
                    </w:rPr>
                  </w:pPr>
                  <w:r>
                    <w:rPr>
                      <w:rFonts w:hint="default" w:ascii="Times New Roman" w:hAnsi="Times New Roman" w:cs="Times New Roman"/>
                      <w:color w:val="000000" w:themeColor="text1"/>
                      <w:highlight w:val="none"/>
                      <w:u w:val="none"/>
                      <w:lang w:val="en-US" w:eastAsia="zh-CN"/>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2" w:type="pct"/>
                  <w:vAlign w:val="center"/>
                </w:tcPr>
                <w:p>
                  <w:pPr>
                    <w:pStyle w:val="38"/>
                    <w:widowControl w:val="0"/>
                    <w:spacing w:line="240" w:lineRule="auto"/>
                    <w:rPr>
                      <w:rFonts w:hint="default" w:ascii="Times New Roman" w:hAnsi="Times New Roman" w:eastAsia="宋体" w:cs="Times New Roman"/>
                      <w:color w:val="000000" w:themeColor="text1"/>
                      <w:highlight w:val="none"/>
                      <w:u w:val="none"/>
                      <w:lang w:val="en-US" w:eastAsia="zh-CN"/>
                      <w14:textFill>
                        <w14:solidFill>
                          <w14:schemeClr w14:val="tx1"/>
                        </w14:solidFill>
                      </w14:textFill>
                    </w:rPr>
                  </w:pPr>
                  <w:r>
                    <w:rPr>
                      <w:rFonts w:hint="default" w:ascii="Times New Roman" w:hAnsi="Times New Roman" w:cs="Times New Roman"/>
                      <w:color w:val="000000" w:themeColor="text1"/>
                      <w:highlight w:val="none"/>
                      <w:u w:val="none"/>
                      <w:lang w:val="en-US" w:eastAsia="zh-CN"/>
                      <w14:textFill>
                        <w14:solidFill>
                          <w14:schemeClr w14:val="tx1"/>
                        </w14:solidFill>
                      </w14:textFill>
                    </w:rPr>
                    <w:t>聚合氯化铝（PAC）</w:t>
                  </w:r>
                </w:p>
              </w:tc>
              <w:tc>
                <w:tcPr>
                  <w:tcW w:w="4367" w:type="pct"/>
                  <w:vAlign w:val="center"/>
                </w:tcPr>
                <w:p>
                  <w:pPr>
                    <w:pStyle w:val="38"/>
                    <w:widowControl w:val="0"/>
                    <w:spacing w:line="240" w:lineRule="auto"/>
                    <w:rPr>
                      <w:rFonts w:hint="default" w:ascii="Times New Roman" w:hAnsi="Times New Roman" w:eastAsia="宋体" w:cs="Times New Roman"/>
                      <w:color w:val="000000" w:themeColor="text1"/>
                      <w:highlight w:val="none"/>
                      <w:u w:val="none"/>
                      <w:lang w:val="en-US" w:eastAsia="zh-CN"/>
                      <w14:textFill>
                        <w14:solidFill>
                          <w14:schemeClr w14:val="tx1"/>
                        </w14:solidFill>
                      </w14:textFill>
                    </w:rPr>
                  </w:pPr>
                  <w:r>
                    <w:rPr>
                      <w:rFonts w:hint="default" w:ascii="Times New Roman" w:hAnsi="Times New Roman" w:cs="Times New Roman"/>
                      <w:color w:val="000000" w:themeColor="text1"/>
                      <w:highlight w:val="none"/>
                      <w:u w:val="none"/>
                      <w:lang w:val="en-US" w:eastAsia="zh-CN"/>
                      <w14:textFill>
                        <w14:solidFill>
                          <w14:schemeClr w14:val="tx1"/>
                        </w14:solidFill>
                      </w14:textFill>
                    </w:rPr>
                    <w:t>聚合氯化铝是一种供水材料，无机高分子混凝剂，又被简称为聚铝，化学式 Al2Cln(OH)6-n，无色或黄色树脂状固体，其溶液为无色或黄褐色透明液体。易溶于水及稀酒精，不溶于无水酒精及甘油，熔点190℃(253kPa)。絮凝剂，主要用于净化饮用水和给水的特殊水质处理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jc w:val="center"/>
              </w:trPr>
              <w:tc>
                <w:tcPr>
                  <w:tcW w:w="632" w:type="pct"/>
                  <w:vAlign w:val="center"/>
                </w:tcPr>
                <w:p>
                  <w:pPr>
                    <w:pStyle w:val="38"/>
                    <w:widowControl w:val="0"/>
                    <w:spacing w:line="240" w:lineRule="auto"/>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食盐</w:t>
                  </w:r>
                </w:p>
              </w:tc>
              <w:tc>
                <w:tcPr>
                  <w:tcW w:w="4367" w:type="pct"/>
                  <w:vAlign w:val="center"/>
                </w:tcPr>
                <w:p>
                  <w:pPr>
                    <w:pStyle w:val="38"/>
                    <w:widowControl w:val="0"/>
                    <w:spacing w:line="240" w:lineRule="auto"/>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分子式：NaCl；分子量：58.5；密度：2.165；熔点：801℃；沸点：1442℃。味咸，含杂质时易潮解；溶于水或甘油，难溶于乙醇，不溶于盐酸，水溶液中性并且导电。固态的氯化钠不导电，但熔融态的氯化钠导电。在水中的溶解度随着温度的升高略有增大。当温度低于 0.15℃时可获得二水合物 NaCl·2H</w:t>
                  </w:r>
                  <w:r>
                    <w:rPr>
                      <w:rFonts w:hint="default" w:ascii="Times New Roman" w:hAnsi="Times New Roman" w:cs="Times New Roman"/>
                      <w:color w:val="000000" w:themeColor="text1"/>
                      <w:highlight w:val="none"/>
                      <w:u w:val="single"/>
                      <w:vertAlign w:val="subscript"/>
                      <w14:textFill>
                        <w14:solidFill>
                          <w14:schemeClr w14:val="tx1"/>
                        </w14:solidFill>
                      </w14:textFill>
                    </w:rPr>
                    <w:t>2</w:t>
                  </w:r>
                  <w:r>
                    <w:rPr>
                      <w:rFonts w:hint="default" w:ascii="Times New Roman" w:hAnsi="Times New Roman" w:cs="Times New Roman"/>
                      <w:color w:val="000000" w:themeColor="text1"/>
                      <w:highlight w:val="none"/>
                      <w:u w:val="single"/>
                      <w14:textFill>
                        <w14:solidFill>
                          <w14:schemeClr w14:val="tx1"/>
                        </w14:solidFill>
                      </w14:textFill>
                    </w:rPr>
                    <w:t>O。氯化钠大量存在于海水和天然盐湖中，可用来制取氯气、氢气、盐酸、氢氧化钠、氯酸盐、次氯酸盐、漂白粉及金属钠等，是重要的化工原料；本项目采用食盐电解制备净水厂消毒剂次氯酸钠</w:t>
                  </w:r>
                  <w:r>
                    <w:rPr>
                      <w:rFonts w:hint="eastAsia" w:ascii="Times New Roman" w:hAnsi="Times New Roman" w:cs="Times New Roman"/>
                      <w:color w:val="000000" w:themeColor="text1"/>
                      <w:highlight w:val="none"/>
                      <w:u w:val="single"/>
                      <w:lang w:val="en-US" w:eastAsia="zh-CN"/>
                      <w14:textFill>
                        <w14:solidFill>
                          <w14:schemeClr w14:val="tx1"/>
                        </w14:solidFill>
                      </w14:textFill>
                    </w:rPr>
                    <w:t>。</w:t>
                  </w:r>
                </w:p>
              </w:tc>
            </w:tr>
          </w:tbl>
          <w:p>
            <w:pPr>
              <w:pStyle w:val="5"/>
              <w:widowControl w:val="0"/>
              <w:ind w:firstLine="482"/>
              <w:rPr>
                <w:rFonts w:hint="eastAsia" w:eastAsia="宋体"/>
                <w:b/>
                <w:bCs/>
                <w:color w:val="000000" w:themeColor="text1"/>
                <w:highlight w:val="none"/>
                <w:lang w:eastAsia="zh-CN"/>
                <w14:textFill>
                  <w14:solidFill>
                    <w14:schemeClr w14:val="tx1"/>
                  </w14:solidFill>
                </w14:textFill>
              </w:rPr>
            </w:pP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5</w:t>
            </w:r>
            <w:r>
              <w:rPr>
                <w:rFonts w:hint="eastAsia"/>
                <w:b/>
                <w:bCs/>
                <w:color w:val="000000" w:themeColor="text1"/>
                <w:highlight w:val="none"/>
                <w:lang w:eastAsia="zh-CN"/>
                <w14:textFill>
                  <w14:solidFill>
                    <w14:schemeClr w14:val="tx1"/>
                  </w14:solidFill>
                </w14:textFill>
              </w:rPr>
              <w:t>）</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主要</w:t>
            </w:r>
            <w:r>
              <w:rPr>
                <w:rFonts w:hint="eastAsia"/>
                <w:b/>
                <w:bCs/>
                <w:color w:val="000000" w:themeColor="text1"/>
                <w:highlight w:val="none"/>
                <w:lang w:val="en-US" w:eastAsia="zh-CN"/>
                <w14:textFill>
                  <w14:solidFill>
                    <w14:schemeClr w14:val="tx1"/>
                  </w14:solidFill>
                </w14:textFill>
              </w:rPr>
              <w:t>设备</w:t>
            </w:r>
          </w:p>
          <w:p>
            <w:pPr>
              <w:pStyle w:val="5"/>
              <w:widowControl w:val="0"/>
              <w:ind w:firstLine="0" w:firstLineChars="0"/>
              <w:jc w:val="center"/>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表</w:t>
            </w:r>
            <w:r>
              <w:rPr>
                <w:b/>
                <w:bCs/>
                <w:color w:val="000000" w:themeColor="text1"/>
                <w:highlight w:val="none"/>
                <w14:textFill>
                  <w14:solidFill>
                    <w14:schemeClr w14:val="tx1"/>
                  </w14:solidFill>
                </w14:textFill>
              </w:rPr>
              <w:t>2-</w:t>
            </w:r>
            <w:r>
              <w:rPr>
                <w:rFonts w:hint="eastAsia"/>
                <w:b/>
                <w:bCs/>
                <w:color w:val="000000" w:themeColor="text1"/>
                <w:highlight w:val="none"/>
                <w:lang w:val="en-US" w:eastAsia="zh-CN"/>
                <w14:textFill>
                  <w14:solidFill>
                    <w14:schemeClr w14:val="tx1"/>
                  </w14:solidFill>
                </w14:textFill>
              </w:rPr>
              <w:t>5</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项目主要设备一览表</w:t>
            </w:r>
          </w:p>
          <w:tbl>
            <w:tblPr>
              <w:tblStyle w:val="28"/>
              <w:tblW w:w="48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1919"/>
              <w:gridCol w:w="684"/>
              <w:gridCol w:w="721"/>
              <w:gridCol w:w="3645"/>
              <w:gridCol w:w="1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99" w:type="pc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序号</w:t>
                  </w:r>
                </w:p>
              </w:tc>
              <w:tc>
                <w:tcPr>
                  <w:tcW w:w="1072" w:type="pc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名称</w:t>
                  </w:r>
                </w:p>
              </w:tc>
              <w:tc>
                <w:tcPr>
                  <w:tcW w:w="382" w:type="pc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数量</w:t>
                  </w:r>
                </w:p>
              </w:tc>
              <w:tc>
                <w:tcPr>
                  <w:tcW w:w="403" w:type="pc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单位</w:t>
                  </w:r>
                </w:p>
              </w:tc>
              <w:tc>
                <w:tcPr>
                  <w:tcW w:w="2037" w:type="pc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规格型号</w:t>
                  </w:r>
                </w:p>
              </w:tc>
              <w:tc>
                <w:tcPr>
                  <w:tcW w:w="704"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000" w:type="pct"/>
                  <w:gridSpan w:val="6"/>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b/>
                      <w:bCs/>
                      <w:color w:val="000000" w:themeColor="text1"/>
                      <w:highlight w:val="none"/>
                      <w:u w:val="single"/>
                      <w:lang w:val="en-US" w:eastAsia="zh-CN"/>
                      <w14:textFill>
                        <w14:solidFill>
                          <w14:schemeClr w14:val="tx1"/>
                        </w14:solidFill>
                      </w14:textFill>
                    </w:rPr>
                    <w:t>取水工程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1</w:t>
                  </w:r>
                </w:p>
              </w:tc>
              <w:tc>
                <w:tcPr>
                  <w:tcW w:w="1072"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取水泵</w:t>
                  </w:r>
                </w:p>
              </w:tc>
              <w:tc>
                <w:tcPr>
                  <w:tcW w:w="382" w:type="pct"/>
                  <w:vAlign w:val="center"/>
                </w:tcPr>
                <w:p>
                  <w:pPr>
                    <w:pStyle w:val="38"/>
                    <w:widowControl w:val="0"/>
                    <w:rPr>
                      <w:rFonts w:hint="eastAsia" w:eastAsia="宋体"/>
                      <w:color w:val="000000" w:themeColor="text1"/>
                      <w:highlight w:val="none"/>
                      <w:u w:val="single"/>
                      <w:lang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w:t>
                  </w:r>
                </w:p>
              </w:tc>
              <w:tc>
                <w:tcPr>
                  <w:tcW w:w="403" w:type="pct"/>
                  <w:vAlign w:val="center"/>
                </w:tcPr>
                <w:p>
                  <w:pPr>
                    <w:pStyle w:val="38"/>
                    <w:widowControl w:val="0"/>
                    <w:rPr>
                      <w:rFonts w:hint="eastAsia" w:eastAsia="宋体"/>
                      <w:color w:val="000000" w:themeColor="text1"/>
                      <w:highlight w:val="none"/>
                      <w:u w:val="single"/>
                      <w:lang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台</w:t>
                  </w:r>
                </w:p>
              </w:tc>
              <w:tc>
                <w:tcPr>
                  <w:tcW w:w="2037" w:type="pct"/>
                  <w:vAlign w:val="center"/>
                </w:tcPr>
                <w:p>
                  <w:pPr>
                    <w:pStyle w:val="38"/>
                    <w:widowControl w:val="0"/>
                    <w:rPr>
                      <w:rFonts w:hint="default" w:eastAsia="宋体"/>
                      <w:color w:val="000000" w:themeColor="text1"/>
                      <w:highlight w:val="none"/>
                      <w:u w:val="single"/>
                      <w:vertAlign w:val="baselin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200QJ50-39/3；流量：50m</w:t>
                  </w:r>
                  <w:r>
                    <w:rPr>
                      <w:rFonts w:hint="eastAsia"/>
                      <w:color w:val="000000" w:themeColor="text1"/>
                      <w:highlight w:val="none"/>
                      <w:u w:val="single"/>
                      <w:vertAlign w:val="superscript"/>
                      <w:lang w:val="en-US" w:eastAsia="zh-CN"/>
                      <w14:textFill>
                        <w14:solidFill>
                          <w14:schemeClr w14:val="tx1"/>
                        </w14:solidFill>
                      </w14:textFill>
                    </w:rPr>
                    <w:t>3</w:t>
                  </w:r>
                  <w:r>
                    <w:rPr>
                      <w:rFonts w:hint="eastAsia"/>
                      <w:color w:val="000000" w:themeColor="text1"/>
                      <w:highlight w:val="none"/>
                      <w:u w:val="single"/>
                      <w:vertAlign w:val="baseline"/>
                      <w:lang w:val="en-US" w:eastAsia="zh-CN"/>
                      <w14:textFill>
                        <w14:solidFill>
                          <w14:schemeClr w14:val="tx1"/>
                        </w14:solidFill>
                      </w14:textFill>
                    </w:rPr>
                    <w:t>/h；9.2kw</w:t>
                  </w:r>
                </w:p>
              </w:tc>
              <w:tc>
                <w:tcPr>
                  <w:tcW w:w="704"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一用一备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000" w:type="pct"/>
                  <w:gridSpan w:val="6"/>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b/>
                      <w:bCs/>
                      <w:color w:val="000000" w:themeColor="text1"/>
                      <w:highlight w:val="none"/>
                      <w:u w:val="single"/>
                      <w:lang w:val="en-US" w:eastAsia="zh-CN"/>
                      <w14:textFill>
                        <w14:solidFill>
                          <w14:schemeClr w14:val="tx1"/>
                        </w14:solidFill>
                      </w14:textFill>
                    </w:rPr>
                    <w:t>输水工程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w:t>
                  </w:r>
                </w:p>
              </w:tc>
              <w:tc>
                <w:tcPr>
                  <w:tcW w:w="107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原水输送管道</w:t>
                  </w:r>
                </w:p>
              </w:tc>
              <w:tc>
                <w:tcPr>
                  <w:tcW w:w="38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30</w:t>
                  </w:r>
                </w:p>
              </w:tc>
              <w:tc>
                <w:tcPr>
                  <w:tcW w:w="403"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米</w:t>
                  </w:r>
                </w:p>
              </w:tc>
              <w:tc>
                <w:tcPr>
                  <w:tcW w:w="2037" w:type="pct"/>
                  <w:vAlign w:val="center"/>
                </w:tcPr>
                <w:p>
                  <w:pPr>
                    <w:pStyle w:val="38"/>
                    <w:widowControl w:val="0"/>
                    <w:rPr>
                      <w:rFonts w:hint="default"/>
                      <w:color w:val="000000" w:themeColor="text1"/>
                      <w:highlight w:val="none"/>
                      <w:u w:val="single"/>
                      <w:vertAlign w:val="baselin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管径160mm，管材PE，0.8MPa，输水流量42m</w:t>
                  </w:r>
                  <w:r>
                    <w:rPr>
                      <w:rFonts w:hint="eastAsia"/>
                      <w:color w:val="000000" w:themeColor="text1"/>
                      <w:highlight w:val="none"/>
                      <w:u w:val="single"/>
                      <w:vertAlign w:val="superscript"/>
                      <w:lang w:val="en-US" w:eastAsia="zh-CN"/>
                      <w14:textFill>
                        <w14:solidFill>
                          <w14:schemeClr w14:val="tx1"/>
                        </w14:solidFill>
                      </w14:textFill>
                    </w:rPr>
                    <w:t>3</w:t>
                  </w:r>
                  <w:r>
                    <w:rPr>
                      <w:rFonts w:hint="eastAsia"/>
                      <w:color w:val="000000" w:themeColor="text1"/>
                      <w:highlight w:val="none"/>
                      <w:u w:val="single"/>
                      <w:vertAlign w:val="baseline"/>
                      <w:lang w:val="en-US" w:eastAsia="zh-CN"/>
                      <w14:textFill>
                        <w14:solidFill>
                          <w14:schemeClr w14:val="tx1"/>
                        </w14:solidFill>
                      </w14:textFill>
                    </w:rPr>
                    <w:t>/h</w:t>
                  </w:r>
                </w:p>
              </w:tc>
              <w:tc>
                <w:tcPr>
                  <w:tcW w:w="704"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5000" w:type="pct"/>
                  <w:gridSpan w:val="6"/>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b/>
                      <w:bCs/>
                      <w:color w:val="000000" w:themeColor="text1"/>
                      <w:highlight w:val="none"/>
                      <w:u w:val="single"/>
                      <w:lang w:val="en-US" w:eastAsia="zh-CN"/>
                      <w14:textFill>
                        <w14:solidFill>
                          <w14:schemeClr w14:val="tx1"/>
                        </w14:solidFill>
                      </w14:textFill>
                    </w:rPr>
                    <w:t>净水工程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3</w:t>
                  </w:r>
                </w:p>
              </w:tc>
              <w:tc>
                <w:tcPr>
                  <w:tcW w:w="1072" w:type="pct"/>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管道混合器</w:t>
                  </w:r>
                </w:p>
              </w:tc>
              <w:tc>
                <w:tcPr>
                  <w:tcW w:w="382" w:type="pct"/>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403" w:type="pct"/>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套</w:t>
                  </w:r>
                </w:p>
              </w:tc>
              <w:tc>
                <w:tcPr>
                  <w:tcW w:w="2037" w:type="pct"/>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c>
                <w:tcPr>
                  <w:tcW w:w="704" w:type="pct"/>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4</w:t>
                  </w:r>
                </w:p>
              </w:tc>
              <w:tc>
                <w:tcPr>
                  <w:tcW w:w="1072"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网格絮凝池</w:t>
                  </w:r>
                </w:p>
              </w:tc>
              <w:tc>
                <w:tcPr>
                  <w:tcW w:w="382"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403"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个</w:t>
                  </w:r>
                </w:p>
              </w:tc>
              <w:tc>
                <w:tcPr>
                  <w:tcW w:w="2037"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尺寸：1.8m*2.9m*5.1m；</w:t>
                  </w:r>
                </w:p>
              </w:tc>
              <w:tc>
                <w:tcPr>
                  <w:tcW w:w="704"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eastAsia" w:eastAsia="宋体"/>
                      <w:color w:val="000000" w:themeColor="text1"/>
                      <w:highlight w:val="none"/>
                      <w:u w:val="single"/>
                      <w:lang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5</w:t>
                  </w:r>
                </w:p>
              </w:tc>
              <w:tc>
                <w:tcPr>
                  <w:tcW w:w="1072"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斜管沉淀池</w:t>
                  </w:r>
                </w:p>
              </w:tc>
              <w:tc>
                <w:tcPr>
                  <w:tcW w:w="382"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403"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个</w:t>
                  </w:r>
                </w:p>
              </w:tc>
              <w:tc>
                <w:tcPr>
                  <w:tcW w:w="2037" w:type="pct"/>
                  <w:vAlign w:val="center"/>
                </w:tcPr>
                <w:p>
                  <w:pPr>
                    <w:pStyle w:val="38"/>
                    <w:widowControl w:val="0"/>
                    <w:rPr>
                      <w:rFonts w:hint="default" w:eastAsia="宋体"/>
                      <w:color w:val="000000" w:themeColor="text1"/>
                      <w:highlight w:val="none"/>
                      <w:u w:val="single"/>
                      <w:vertAlign w:val="baselin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面积：9.86m</w:t>
                  </w:r>
                  <w:r>
                    <w:rPr>
                      <w:rFonts w:hint="eastAsia"/>
                      <w:color w:val="000000" w:themeColor="text1"/>
                      <w:highlight w:val="none"/>
                      <w:u w:val="single"/>
                      <w:vertAlign w:val="superscript"/>
                      <w:lang w:val="en-US" w:eastAsia="zh-CN"/>
                      <w14:textFill>
                        <w14:solidFill>
                          <w14:schemeClr w14:val="tx1"/>
                        </w14:solidFill>
                      </w14:textFill>
                    </w:rPr>
                    <w:t>2</w:t>
                  </w:r>
                </w:p>
              </w:tc>
              <w:tc>
                <w:tcPr>
                  <w:tcW w:w="704"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eastAsia" w:eastAsia="宋体"/>
                      <w:color w:val="000000" w:themeColor="text1"/>
                      <w:highlight w:val="none"/>
                      <w:u w:val="single"/>
                      <w:lang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6</w:t>
                  </w:r>
                </w:p>
              </w:tc>
              <w:tc>
                <w:tcPr>
                  <w:tcW w:w="1072"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滤砖滤池</w:t>
                  </w:r>
                </w:p>
              </w:tc>
              <w:tc>
                <w:tcPr>
                  <w:tcW w:w="382"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403"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个</w:t>
                  </w:r>
                </w:p>
              </w:tc>
              <w:tc>
                <w:tcPr>
                  <w:tcW w:w="2037" w:type="pct"/>
                  <w:vAlign w:val="center"/>
                </w:tcPr>
                <w:p>
                  <w:pPr>
                    <w:pStyle w:val="38"/>
                    <w:widowControl w:val="0"/>
                    <w:jc w:val="center"/>
                    <w:rPr>
                      <w:rFonts w:hint="default" w:eastAsia="宋体"/>
                      <w:color w:val="000000" w:themeColor="text1"/>
                      <w:highlight w:val="none"/>
                      <w:u w:val="single"/>
                      <w:vertAlign w:val="baselin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面积：5.8m</w:t>
                  </w:r>
                  <w:r>
                    <w:rPr>
                      <w:rFonts w:hint="eastAsia"/>
                      <w:color w:val="000000" w:themeColor="text1"/>
                      <w:highlight w:val="none"/>
                      <w:u w:val="single"/>
                      <w:vertAlign w:val="superscript"/>
                      <w:lang w:val="en-US" w:eastAsia="zh-CN"/>
                      <w14:textFill>
                        <w14:solidFill>
                          <w14:schemeClr w14:val="tx1"/>
                        </w14:solidFill>
                      </w14:textFill>
                    </w:rPr>
                    <w:t>2</w:t>
                  </w:r>
                </w:p>
              </w:tc>
              <w:tc>
                <w:tcPr>
                  <w:tcW w:w="704"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7</w:t>
                  </w:r>
                </w:p>
              </w:tc>
              <w:tc>
                <w:tcPr>
                  <w:tcW w:w="1072" w:type="pct"/>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清水池</w:t>
                  </w:r>
                </w:p>
              </w:tc>
              <w:tc>
                <w:tcPr>
                  <w:tcW w:w="382" w:type="pct"/>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403" w:type="pct"/>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个</w:t>
                  </w:r>
                </w:p>
              </w:tc>
              <w:tc>
                <w:tcPr>
                  <w:tcW w:w="2037" w:type="pct"/>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10.3m*10.3m*3.3m</w:t>
                  </w:r>
                </w:p>
              </w:tc>
              <w:tc>
                <w:tcPr>
                  <w:tcW w:w="704" w:type="pct"/>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eastAsia" w:eastAsia="宋体"/>
                      <w:color w:val="000000" w:themeColor="text1"/>
                      <w:highlight w:val="none"/>
                      <w:u w:val="single"/>
                      <w:lang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8</w:t>
                  </w:r>
                </w:p>
              </w:tc>
              <w:tc>
                <w:tcPr>
                  <w:tcW w:w="1072"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卧式反冲洗水泵</w:t>
                  </w:r>
                </w:p>
              </w:tc>
              <w:tc>
                <w:tcPr>
                  <w:tcW w:w="382"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w:t>
                  </w:r>
                </w:p>
              </w:tc>
              <w:tc>
                <w:tcPr>
                  <w:tcW w:w="403"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台</w:t>
                  </w:r>
                </w:p>
              </w:tc>
              <w:tc>
                <w:tcPr>
                  <w:tcW w:w="2037"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11kw</w:t>
                  </w:r>
                </w:p>
              </w:tc>
              <w:tc>
                <w:tcPr>
                  <w:tcW w:w="704" w:type="pc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一用一备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9" w:type="pct"/>
                  <w:vAlign w:val="center"/>
                </w:tcPr>
                <w:p>
                  <w:pPr>
                    <w:pStyle w:val="38"/>
                    <w:widowControl w:val="0"/>
                    <w:rPr>
                      <w:rFonts w:hint="eastAsia" w:eastAsia="宋体"/>
                      <w:color w:val="000000" w:themeColor="text1"/>
                      <w:highlight w:val="none"/>
                      <w:u w:val="single"/>
                      <w:lang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9</w:t>
                  </w:r>
                </w:p>
              </w:tc>
              <w:tc>
                <w:tcPr>
                  <w:tcW w:w="1072"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风机</w:t>
                  </w:r>
                </w:p>
              </w:tc>
              <w:tc>
                <w:tcPr>
                  <w:tcW w:w="382"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w:t>
                  </w:r>
                </w:p>
              </w:tc>
              <w:tc>
                <w:tcPr>
                  <w:tcW w:w="403"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台</w:t>
                  </w:r>
                </w:p>
              </w:tc>
              <w:tc>
                <w:tcPr>
                  <w:tcW w:w="2037" w:type="pct"/>
                  <w:vAlign w:val="center"/>
                </w:tcPr>
                <w:p>
                  <w:pPr>
                    <w:pStyle w:val="38"/>
                    <w:widowControl w:val="0"/>
                    <w:rPr>
                      <w:rFonts w:hint="default" w:eastAsia="宋体"/>
                      <w:color w:val="000000" w:themeColor="text1"/>
                      <w:highlight w:val="none"/>
                      <w:u w:val="single"/>
                      <w:vertAlign w:val="baselin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鼓风机，11kw，流量6m</w:t>
                  </w:r>
                  <w:r>
                    <w:rPr>
                      <w:rFonts w:hint="eastAsia"/>
                      <w:color w:val="000000" w:themeColor="text1"/>
                      <w:highlight w:val="none"/>
                      <w:u w:val="single"/>
                      <w:vertAlign w:val="superscript"/>
                      <w:lang w:val="en-US" w:eastAsia="zh-CN"/>
                      <w14:textFill>
                        <w14:solidFill>
                          <w14:schemeClr w14:val="tx1"/>
                        </w14:solidFill>
                      </w14:textFill>
                    </w:rPr>
                    <w:t>3</w:t>
                  </w:r>
                  <w:r>
                    <w:rPr>
                      <w:rFonts w:hint="eastAsia"/>
                      <w:color w:val="000000" w:themeColor="text1"/>
                      <w:highlight w:val="none"/>
                      <w:u w:val="single"/>
                      <w:vertAlign w:val="baseline"/>
                      <w:lang w:val="en-US" w:eastAsia="zh-CN"/>
                      <w14:textFill>
                        <w14:solidFill>
                          <w14:schemeClr w14:val="tx1"/>
                        </w14:solidFill>
                      </w14:textFill>
                    </w:rPr>
                    <w:t>/min</w:t>
                  </w:r>
                </w:p>
              </w:tc>
              <w:tc>
                <w:tcPr>
                  <w:tcW w:w="704"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一用一备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w:t>
                  </w:r>
                </w:p>
              </w:tc>
              <w:tc>
                <w:tcPr>
                  <w:tcW w:w="1072"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污泥池</w:t>
                  </w:r>
                </w:p>
              </w:tc>
              <w:tc>
                <w:tcPr>
                  <w:tcW w:w="382"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403"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个</w:t>
                  </w:r>
                </w:p>
              </w:tc>
              <w:tc>
                <w:tcPr>
                  <w:tcW w:w="2037"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1.8m*1.8m*2m</w:t>
                  </w:r>
                </w:p>
              </w:tc>
              <w:tc>
                <w:tcPr>
                  <w:tcW w:w="704"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11</w:t>
                  </w:r>
                </w:p>
              </w:tc>
              <w:tc>
                <w:tcPr>
                  <w:tcW w:w="1072"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加药泵</w:t>
                  </w:r>
                </w:p>
              </w:tc>
              <w:tc>
                <w:tcPr>
                  <w:tcW w:w="382"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3</w:t>
                  </w:r>
                </w:p>
              </w:tc>
              <w:tc>
                <w:tcPr>
                  <w:tcW w:w="403"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台</w:t>
                  </w:r>
                </w:p>
              </w:tc>
              <w:tc>
                <w:tcPr>
                  <w:tcW w:w="2037"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26.2L/h</w:t>
                  </w:r>
                </w:p>
              </w:tc>
              <w:tc>
                <w:tcPr>
                  <w:tcW w:w="704"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两用一备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12</w:t>
                  </w:r>
                </w:p>
              </w:tc>
              <w:tc>
                <w:tcPr>
                  <w:tcW w:w="1072"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次氯酸钠发生器</w:t>
                  </w:r>
                </w:p>
              </w:tc>
              <w:tc>
                <w:tcPr>
                  <w:tcW w:w="382"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403"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个</w:t>
                  </w:r>
                </w:p>
              </w:tc>
              <w:tc>
                <w:tcPr>
                  <w:tcW w:w="2037"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c>
                <w:tcPr>
                  <w:tcW w:w="704"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eastAsia" w:eastAsia="宋体"/>
                      <w:color w:val="000000" w:themeColor="text1"/>
                      <w:highlight w:val="none"/>
                      <w:u w:val="single"/>
                      <w:lang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13</w:t>
                  </w:r>
                </w:p>
              </w:tc>
              <w:tc>
                <w:tcPr>
                  <w:tcW w:w="1072"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聚合氯化铝原液桶</w:t>
                  </w:r>
                </w:p>
              </w:tc>
              <w:tc>
                <w:tcPr>
                  <w:tcW w:w="382"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403"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个</w:t>
                  </w:r>
                </w:p>
              </w:tc>
              <w:tc>
                <w:tcPr>
                  <w:tcW w:w="2037"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500L</w:t>
                  </w:r>
                </w:p>
              </w:tc>
              <w:tc>
                <w:tcPr>
                  <w:tcW w:w="704"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eastAsia" w:eastAsia="宋体"/>
                      <w:color w:val="000000" w:themeColor="text1"/>
                      <w:highlight w:val="none"/>
                      <w:u w:val="single"/>
                      <w:lang w:eastAsia="zh-CN"/>
                      <w14:textFill>
                        <w14:solidFill>
                          <w14:schemeClr w14:val="tx1"/>
                        </w14:solidFill>
                      </w14:textFill>
                    </w:rPr>
                  </w:pPr>
                  <w:r>
                    <w:rPr>
                      <w:rFonts w:hint="eastAsia"/>
                      <w:color w:val="000000" w:themeColor="text1"/>
                      <w:highlight w:val="none"/>
                      <w:u w:val="single"/>
                      <w14:textFill>
                        <w14:solidFill>
                          <w14:schemeClr w14:val="tx1"/>
                        </w14:solidFill>
                      </w14:textFill>
                    </w:rPr>
                    <w:t>1</w:t>
                  </w:r>
                  <w:r>
                    <w:rPr>
                      <w:rFonts w:hint="eastAsia"/>
                      <w:color w:val="000000" w:themeColor="text1"/>
                      <w:highlight w:val="none"/>
                      <w:u w:val="single"/>
                      <w:lang w:val="en-US" w:eastAsia="zh-CN"/>
                      <w14:textFill>
                        <w14:solidFill>
                          <w14:schemeClr w14:val="tx1"/>
                        </w14:solidFill>
                      </w14:textFill>
                    </w:rPr>
                    <w:t>4</w:t>
                  </w:r>
                </w:p>
              </w:tc>
              <w:tc>
                <w:tcPr>
                  <w:tcW w:w="1072" w:type="pct"/>
                  <w:vAlign w:val="center"/>
                </w:tcPr>
                <w:p>
                  <w:pPr>
                    <w:pStyle w:val="38"/>
                    <w:widowControl w:val="0"/>
                    <w:rPr>
                      <w:rFonts w:hint="default"/>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聚合氯化铝稀释桶</w:t>
                  </w:r>
                </w:p>
              </w:tc>
              <w:tc>
                <w:tcPr>
                  <w:tcW w:w="382"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w:t>
                  </w:r>
                </w:p>
              </w:tc>
              <w:tc>
                <w:tcPr>
                  <w:tcW w:w="403"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个</w:t>
                  </w:r>
                </w:p>
              </w:tc>
              <w:tc>
                <w:tcPr>
                  <w:tcW w:w="2037" w:type="pc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60L</w:t>
                  </w:r>
                </w:p>
              </w:tc>
              <w:tc>
                <w:tcPr>
                  <w:tcW w:w="704" w:type="pct"/>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15</w:t>
                  </w:r>
                </w:p>
              </w:tc>
              <w:tc>
                <w:tcPr>
                  <w:tcW w:w="107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污泥压滤机</w:t>
                  </w:r>
                </w:p>
              </w:tc>
              <w:tc>
                <w:tcPr>
                  <w:tcW w:w="38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403"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台</w:t>
                  </w:r>
                </w:p>
              </w:tc>
              <w:tc>
                <w:tcPr>
                  <w:tcW w:w="2037"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c>
                <w:tcPr>
                  <w:tcW w:w="704"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16</w:t>
                  </w:r>
                </w:p>
              </w:tc>
              <w:tc>
                <w:tcPr>
                  <w:tcW w:w="107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自动控制系统</w:t>
                  </w:r>
                </w:p>
              </w:tc>
              <w:tc>
                <w:tcPr>
                  <w:tcW w:w="38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403"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套</w:t>
                  </w:r>
                </w:p>
              </w:tc>
              <w:tc>
                <w:tcPr>
                  <w:tcW w:w="2037"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c>
                <w:tcPr>
                  <w:tcW w:w="704"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17</w:t>
                  </w:r>
                </w:p>
              </w:tc>
              <w:tc>
                <w:tcPr>
                  <w:tcW w:w="107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仪表系统</w:t>
                  </w:r>
                </w:p>
              </w:tc>
              <w:tc>
                <w:tcPr>
                  <w:tcW w:w="38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403"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套</w:t>
                  </w:r>
                </w:p>
              </w:tc>
              <w:tc>
                <w:tcPr>
                  <w:tcW w:w="2037"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c>
                <w:tcPr>
                  <w:tcW w:w="704"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18</w:t>
                  </w:r>
                </w:p>
              </w:tc>
              <w:tc>
                <w:tcPr>
                  <w:tcW w:w="107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智慧水厂管控平台</w:t>
                  </w:r>
                </w:p>
              </w:tc>
              <w:tc>
                <w:tcPr>
                  <w:tcW w:w="38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403"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套</w:t>
                  </w:r>
                </w:p>
              </w:tc>
              <w:tc>
                <w:tcPr>
                  <w:tcW w:w="2037"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c>
                <w:tcPr>
                  <w:tcW w:w="704"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19</w:t>
                  </w:r>
                </w:p>
              </w:tc>
              <w:tc>
                <w:tcPr>
                  <w:tcW w:w="107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备用发电机</w:t>
                  </w:r>
                </w:p>
              </w:tc>
              <w:tc>
                <w:tcPr>
                  <w:tcW w:w="38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c>
                <w:tcPr>
                  <w:tcW w:w="403"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台</w:t>
                  </w:r>
                </w:p>
              </w:tc>
              <w:tc>
                <w:tcPr>
                  <w:tcW w:w="2037"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c>
                <w:tcPr>
                  <w:tcW w:w="704"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配水工程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20</w:t>
                  </w:r>
                </w:p>
              </w:tc>
              <w:tc>
                <w:tcPr>
                  <w:tcW w:w="107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输水管道</w:t>
                  </w:r>
                </w:p>
              </w:tc>
              <w:tc>
                <w:tcPr>
                  <w:tcW w:w="382"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350</w:t>
                  </w:r>
                </w:p>
              </w:tc>
              <w:tc>
                <w:tcPr>
                  <w:tcW w:w="403"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m</w:t>
                  </w:r>
                </w:p>
              </w:tc>
              <w:tc>
                <w:tcPr>
                  <w:tcW w:w="2037"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c>
                <w:tcPr>
                  <w:tcW w:w="704" w:type="pc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与木形村原有供水管网连接</w:t>
                  </w:r>
                </w:p>
              </w:tc>
            </w:tr>
          </w:tbl>
          <w:p>
            <w:pPr>
              <w:pStyle w:val="5"/>
              <w:widowControl w:val="0"/>
              <w:ind w:firstLine="482"/>
              <w:rPr>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6</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公用工程</w:t>
            </w:r>
          </w:p>
          <w:p>
            <w:pPr>
              <w:pStyle w:val="5"/>
              <w:widowControl w:val="0"/>
              <w:ind w:firstLine="480"/>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1</w:t>
            </w:r>
            <w:r>
              <w:rPr>
                <w:rFonts w:hint="eastAsia"/>
                <w:color w:val="000000" w:themeColor="text1"/>
                <w:highlight w:val="none"/>
                <w:u w:val="single"/>
                <w14:textFill>
                  <w14:solidFill>
                    <w14:schemeClr w14:val="tx1"/>
                  </w14:solidFill>
                </w14:textFill>
              </w:rPr>
              <w:t>）给水</w:t>
            </w:r>
          </w:p>
          <w:p>
            <w:pPr>
              <w:pStyle w:val="5"/>
              <w:widowControl w:val="0"/>
              <w:ind w:firstLine="480"/>
              <w:rPr>
                <w:rFonts w:cs="Times New Roman"/>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项目</w:t>
            </w:r>
            <w:r>
              <w:rPr>
                <w:rFonts w:hint="eastAsia"/>
                <w:color w:val="000000" w:themeColor="text1"/>
                <w:highlight w:val="none"/>
                <w:u w:val="single"/>
                <w:lang w:val="en-US" w:eastAsia="zh-CN"/>
                <w14:textFill>
                  <w14:solidFill>
                    <w14:schemeClr w14:val="tx1"/>
                  </w14:solidFill>
                </w14:textFill>
              </w:rPr>
              <w:t>用水均由本水厂供给，用水主要为员工生活用水。本项目劳动定员6人，场内设置食堂、宿舍，参照《湖南省用水定额》（DB43/T388-2020）145L/人·d估算，则本项目用水量为0.87m</w:t>
            </w:r>
            <w:r>
              <w:rPr>
                <w:rFonts w:hint="eastAsia"/>
                <w:color w:val="000000" w:themeColor="text1"/>
                <w:highlight w:val="none"/>
                <w:u w:val="single"/>
                <w:vertAlign w:val="superscript"/>
                <w:lang w:val="en-US" w:eastAsia="zh-CN"/>
                <w14:textFill>
                  <w14:solidFill>
                    <w14:schemeClr w14:val="tx1"/>
                  </w14:solidFill>
                </w14:textFill>
              </w:rPr>
              <w:t>3</w:t>
            </w:r>
            <w:r>
              <w:rPr>
                <w:rFonts w:hint="eastAsia"/>
                <w:color w:val="000000" w:themeColor="text1"/>
                <w:highlight w:val="none"/>
                <w:u w:val="single"/>
                <w:lang w:val="en-US" w:eastAsia="zh-CN"/>
                <w14:textFill>
                  <w14:solidFill>
                    <w14:schemeClr w14:val="tx1"/>
                  </w14:solidFill>
                </w14:textFill>
              </w:rPr>
              <w:t>/d（317.55m</w:t>
            </w:r>
            <w:r>
              <w:rPr>
                <w:rFonts w:hint="eastAsia"/>
                <w:color w:val="000000" w:themeColor="text1"/>
                <w:highlight w:val="none"/>
                <w:u w:val="single"/>
                <w:vertAlign w:val="superscript"/>
                <w:lang w:val="en-US" w:eastAsia="zh-CN"/>
                <w14:textFill>
                  <w14:solidFill>
                    <w14:schemeClr w14:val="tx1"/>
                  </w14:solidFill>
                </w14:textFill>
              </w:rPr>
              <w:t>3</w:t>
            </w:r>
            <w:r>
              <w:rPr>
                <w:rFonts w:hint="eastAsia"/>
                <w:color w:val="000000" w:themeColor="text1"/>
                <w:highlight w:val="none"/>
                <w:u w:val="single"/>
                <w:lang w:val="en-US" w:eastAsia="zh-CN"/>
                <w14:textFill>
                  <w14:solidFill>
                    <w14:schemeClr w14:val="tx1"/>
                  </w14:solidFill>
                </w14:textFill>
              </w:rPr>
              <w:t>/a）。</w:t>
            </w:r>
          </w:p>
          <w:p>
            <w:pPr>
              <w:pStyle w:val="5"/>
              <w:widowControl w:val="0"/>
              <w:ind w:firstLine="480"/>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2</w:t>
            </w:r>
            <w:r>
              <w:rPr>
                <w:rFonts w:hint="eastAsia"/>
                <w:color w:val="000000" w:themeColor="text1"/>
                <w:highlight w:val="none"/>
                <w:u w:val="single"/>
                <w14:textFill>
                  <w14:solidFill>
                    <w14:schemeClr w14:val="tx1"/>
                  </w14:solidFill>
                </w14:textFill>
              </w:rPr>
              <w:t>）排水</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u w:val="single"/>
                <w14:textFill>
                  <w14:solidFill>
                    <w14:schemeClr w14:val="tx1"/>
                  </w14:solidFill>
                </w14:textFill>
              </w:rPr>
              <w:t>本项目采用雨、污分流制。</w:t>
            </w:r>
            <w:r>
              <w:rPr>
                <w:rFonts w:hint="eastAsia"/>
                <w:color w:val="000000" w:themeColor="text1"/>
                <w:highlight w:val="none"/>
                <w:u w:val="single"/>
                <w:lang w:val="en-US" w:eastAsia="zh-CN"/>
                <w14:textFill>
                  <w14:solidFill>
                    <w14:schemeClr w14:val="tx1"/>
                  </w14:solidFill>
                </w14:textFill>
              </w:rPr>
              <w:t>生活污水经三级化粪池处理用作周边菜地农肥，不外排；反冲洗废水作为原水回用不外排；沉淀池排泥水收集至污泥池，上清液回流作为原水回用；浓缩污泥经污泥压滤机脱水处理，压滤水作为厂区绿化使用，不外排。</w:t>
            </w:r>
          </w:p>
          <w:p>
            <w:pPr>
              <w:pStyle w:val="5"/>
              <w:widowControl w:val="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）供电</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项目用电由区域电网供应。备有一台柴油发电机，仅区域停止供电时启用</w:t>
            </w:r>
          </w:p>
          <w:p>
            <w:pPr>
              <w:pStyle w:val="5"/>
              <w:widowControl w:val="0"/>
              <w:ind w:firstLine="482"/>
              <w:rPr>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7</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劳动定员及工作制度</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本项目劳动定员</w:t>
            </w:r>
            <w:r>
              <w:rPr>
                <w:rFonts w:hint="eastAsia"/>
                <w:color w:val="000000" w:themeColor="text1"/>
                <w:highlight w:val="none"/>
                <w:lang w:val="en-US" w:eastAsia="zh-CN"/>
                <w14:textFill>
                  <w14:solidFill>
                    <w14:schemeClr w14:val="tx1"/>
                  </w14:solidFill>
                </w14:textFill>
              </w:rPr>
              <w:t>6</w:t>
            </w:r>
            <w:r>
              <w:rPr>
                <w:rFonts w:hint="eastAsia"/>
                <w:color w:val="000000" w:themeColor="text1"/>
                <w:highlight w:val="none"/>
                <w14:textFill>
                  <w14:solidFill>
                    <w14:schemeClr w14:val="tx1"/>
                  </w14:solidFill>
                </w14:textFill>
              </w:rPr>
              <w:t>人，年工作</w:t>
            </w:r>
            <w:r>
              <w:rPr>
                <w:rFonts w:hint="eastAsia"/>
                <w:color w:val="000000" w:themeColor="text1"/>
                <w:highlight w:val="none"/>
                <w:lang w:val="en-US" w:eastAsia="zh-CN"/>
                <w14:textFill>
                  <w14:solidFill>
                    <w14:schemeClr w14:val="tx1"/>
                  </w14:solidFill>
                </w14:textFill>
              </w:rPr>
              <w:t>365</w:t>
            </w:r>
            <w:r>
              <w:rPr>
                <w:rFonts w:hint="eastAsia"/>
                <w:color w:val="000000" w:themeColor="text1"/>
                <w:highlight w:val="none"/>
                <w14:textFill>
                  <w14:solidFill>
                    <w14:schemeClr w14:val="tx1"/>
                  </w14:solidFill>
                </w14:textFill>
              </w:rPr>
              <w:t>天，</w:t>
            </w:r>
            <w:r>
              <w:rPr>
                <w:rFonts w:hint="eastAsia"/>
                <w:color w:val="000000" w:themeColor="text1"/>
                <w:highlight w:val="none"/>
                <w:lang w:val="en-US" w:eastAsia="zh-CN"/>
                <w14:textFill>
                  <w14:solidFill>
                    <w14:schemeClr w14:val="tx1"/>
                  </w14:solidFill>
                </w14:textFill>
              </w:rPr>
              <w:t>三班</w:t>
            </w:r>
            <w:r>
              <w:rPr>
                <w:rFonts w:hint="eastAsia"/>
                <w:color w:val="000000" w:themeColor="text1"/>
                <w:highlight w:val="none"/>
                <w14:textFill>
                  <w14:solidFill>
                    <w14:schemeClr w14:val="tx1"/>
                  </w14:solidFill>
                </w14:textFill>
              </w:rPr>
              <w:t>制，</w:t>
            </w:r>
            <w:r>
              <w:rPr>
                <w:rFonts w:hint="eastAsia"/>
                <w:color w:val="000000" w:themeColor="text1"/>
                <w:highlight w:val="none"/>
                <w:lang w:val="en-US" w:eastAsia="zh-CN"/>
                <w14:textFill>
                  <w14:solidFill>
                    <w14:schemeClr w14:val="tx1"/>
                  </w14:solidFill>
                </w14:textFill>
              </w:rPr>
              <w:t>8小时一班</w:t>
            </w:r>
            <w:r>
              <w:rPr>
                <w:rFonts w:hint="eastAsia"/>
                <w:color w:val="000000" w:themeColor="text1"/>
                <w:highlight w:val="none"/>
                <w14:textFill>
                  <w14:solidFill>
                    <w14:schemeClr w14:val="tx1"/>
                  </w14:solidFill>
                </w14:textFill>
              </w:rPr>
              <w:t>。厂区内设有食堂、宿舍。</w:t>
            </w:r>
          </w:p>
          <w:p>
            <w:pPr>
              <w:pStyle w:val="5"/>
              <w:widowControl w:val="0"/>
              <w:ind w:firstLine="482"/>
              <w:rPr>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8</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厂区平面布置</w:t>
            </w:r>
          </w:p>
          <w:p>
            <w:pPr>
              <w:pStyle w:val="5"/>
              <w:widowControl w:val="0"/>
              <w:ind w:firstLine="480"/>
              <w:rPr>
                <w:rFonts w:hint="eastAsia"/>
                <w:color w:val="000000" w:themeColor="text1"/>
                <w:highlight w:val="none"/>
                <w:vertAlign w:val="baseline"/>
                <w:lang w:val="en-US" w:eastAsia="zh-CN"/>
                <w14:textFill>
                  <w14:solidFill>
                    <w14:schemeClr w14:val="tx1"/>
                  </w14:solidFill>
                </w14:textFill>
              </w:rPr>
            </w:pPr>
            <w:r>
              <w:rPr>
                <w:rFonts w:hint="eastAsia" w:cs="Times New Roman"/>
                <w:color w:val="000000" w:themeColor="text1"/>
                <w:highlight w:val="none"/>
                <w14:textFill>
                  <w14:solidFill>
                    <w14:schemeClr w14:val="tx1"/>
                  </w14:solidFill>
                </w14:textFill>
              </w:rPr>
              <w:t>本项目位于</w:t>
            </w:r>
            <w:r>
              <w:rPr>
                <w:rFonts w:hint="eastAsia" w:cs="Times New Roman"/>
                <w:color w:val="000000" w:themeColor="text1"/>
                <w:highlight w:val="none"/>
                <w:lang w:val="en-US" w:bidi="zh-CN"/>
                <w14:textFill>
                  <w14:solidFill>
                    <w14:schemeClr w14:val="tx1"/>
                  </w14:solidFill>
                </w14:textFill>
              </w:rPr>
              <w:t>临湘市忠防镇木形村</w:t>
            </w:r>
            <w:r>
              <w:rPr>
                <w:rFonts w:hint="eastAsia" w:cs="Times New Roman"/>
                <w:color w:val="000000" w:themeColor="text1"/>
                <w:highlight w:val="none"/>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用地主要分为两部分：智能一体化水厂和管理区</w:t>
            </w: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智能一体化水厂位于木形水库大坝</w:t>
            </w:r>
            <w:r>
              <w:rPr>
                <w:rFonts w:hint="eastAsia"/>
                <w:color w:val="auto"/>
                <w:highlight w:val="none"/>
                <w:lang w:val="en-US" w:eastAsia="zh-CN"/>
              </w:rPr>
              <w:t>南侧</w:t>
            </w:r>
            <w:r>
              <w:rPr>
                <w:rFonts w:hint="eastAsia"/>
                <w:color w:val="000000" w:themeColor="text1"/>
                <w:highlight w:val="none"/>
                <w:lang w:val="en-US" w:eastAsia="zh-CN"/>
                <w14:textFill>
                  <w14:solidFill>
                    <w14:schemeClr w14:val="tx1"/>
                  </w14:solidFill>
                </w14:textFill>
              </w:rPr>
              <w:t>5m处，</w:t>
            </w:r>
            <w:r>
              <w:rPr>
                <w:rFonts w:hint="default" w:ascii="Times New Roman" w:hAnsi="Times New Roman" w:cs="Times New Roman"/>
                <w:color w:val="000000" w:themeColor="text1"/>
                <w:highlight w:val="none"/>
                <w:lang w:val="en-US" w:eastAsia="zh-CN"/>
                <w14:textFill>
                  <w14:solidFill>
                    <w14:schemeClr w14:val="tx1"/>
                  </w14:solidFill>
                </w14:textFill>
              </w:rPr>
              <w:t>中心坐标： 113°31′49.624″,29°22′50.518″</w:t>
            </w:r>
            <w:r>
              <w:rPr>
                <w:rFonts w:hint="eastAsia"/>
                <w:color w:val="000000" w:themeColor="text1"/>
                <w:highlight w:val="none"/>
                <w:lang w:val="en-US" w:eastAsia="zh-CN"/>
                <w14:textFill>
                  <w14:solidFill>
                    <w14:schemeClr w14:val="tx1"/>
                  </w14:solidFill>
                </w14:textFill>
              </w:rPr>
              <w:t>，占地面积1426m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vertAlign w:val="baseli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由北向南，自西向东依次为取水泵房、絮凝池、沉淀池、过滤池、加药间（控制室）、反洗泵房、清水池等；管理区位于大坝西侧60m处</w:t>
            </w:r>
            <w:r>
              <w:rPr>
                <w:rFonts w:hint="default" w:ascii="Times New Roman" w:hAnsi="Times New Roman"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u w:val="single"/>
                <w:vertAlign w:val="baseline"/>
                <w:lang w:val="en-US" w:eastAsia="zh-CN"/>
                <w14:textFill>
                  <w14:solidFill>
                    <w14:schemeClr w14:val="tx1"/>
                  </w14:solidFill>
                </w14:textFill>
              </w:rPr>
              <w:t>中心坐标：113°31′49.064″,29°22′54.187″</w:t>
            </w:r>
            <w:r>
              <w:rPr>
                <w:rFonts w:hint="default" w:ascii="Times New Roman" w:hAnsi="Times New Roman" w:cs="Times New Roman"/>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，占地面积449m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vertAlign w:val="baseline"/>
                <w:lang w:val="en-US" w:eastAsia="zh-CN"/>
                <w14:textFill>
                  <w14:solidFill>
                    <w14:schemeClr w14:val="tx1"/>
                  </w14:solidFill>
                </w14:textFill>
              </w:rPr>
              <w:t>，共两层，一楼主要为员工宿舍、厨房餐厅、及药剂仓库、一般固废暂存间以及危废暂存间，二楼为办</w:t>
            </w:r>
            <w:r>
              <w:rPr>
                <w:rFonts w:hint="eastAsia"/>
                <w:color w:val="auto"/>
                <w:highlight w:val="none"/>
                <w:vertAlign w:val="baseline"/>
                <w:lang w:val="en-US" w:eastAsia="zh-CN"/>
              </w:rPr>
              <w:t>公室。</w:t>
            </w:r>
            <w:r>
              <w:rPr>
                <w:rFonts w:hint="eastAsia"/>
                <w:color w:val="auto"/>
                <w:highlight w:val="none"/>
                <w:lang w:val="en-US" w:eastAsia="zh-CN"/>
              </w:rPr>
              <w:t>水厂及管理区整体地势均低于木形水库两岸地势，水厂四周修建围墙及排水沟，可以确保厂内污染物不会进入水库中；管理区四周修建围墙，地面全部硬化，药剂仓库、一般固废间以及危废暂存间地面按要求做好防渗漏措施</w:t>
            </w:r>
            <w:r>
              <w:rPr>
                <w:rFonts w:hint="eastAsia"/>
                <w:color w:val="auto"/>
                <w:highlight w:val="none"/>
                <w:vertAlign w:val="baseline"/>
                <w:lang w:val="en-US" w:eastAsia="zh-CN"/>
              </w:rPr>
              <w:t>。具体详见附图2、附图3以及附图4</w:t>
            </w:r>
            <w:r>
              <w:rPr>
                <w:rFonts w:hint="eastAsia"/>
                <w:color w:val="000000" w:themeColor="text1"/>
                <w:highlight w:val="none"/>
                <w:vertAlign w:val="baseline"/>
                <w:lang w:val="en-US" w:eastAsia="zh-CN"/>
                <w14:textFill>
                  <w14:solidFill>
                    <w14:schemeClr w14:val="tx1"/>
                  </w14:solidFill>
                </w14:textFill>
              </w:rPr>
              <w:t>。</w:t>
            </w:r>
          </w:p>
          <w:p>
            <w:pPr>
              <w:pStyle w:val="5"/>
              <w:widowControl w:val="0"/>
              <w:ind w:firstLine="48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本评价要求项目管理区及水厂不得建设在木形水库集水面积内。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trPr>
        <w:tc>
          <w:tcPr>
            <w:tcW w:w="293" w:type="pct"/>
          </w:tcPr>
          <w:p>
            <w:pPr>
              <w:pStyle w:val="3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工艺流程和产排污环节</w:t>
            </w:r>
          </w:p>
        </w:tc>
        <w:tc>
          <w:tcPr>
            <w:tcW w:w="4706" w:type="pct"/>
          </w:tcPr>
          <w:p>
            <w:pPr>
              <w:pStyle w:val="4"/>
              <w:widowControl w:val="0"/>
              <w:ind w:left="0" w:leftChars="0" w:firstLine="0" w:firstLineChars="0"/>
              <w:jc w:val="both"/>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2、工艺流程</w:t>
            </w:r>
          </w:p>
          <w:p>
            <w:pPr>
              <w:pStyle w:val="5"/>
              <w:widowControl w:val="0"/>
              <w:ind w:firstLine="0" w:firstLineChars="0"/>
              <w:jc w:val="both"/>
              <w:rPr>
                <w:rFonts w:hint="default" w:cs="Times New Roman"/>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施工期工艺流程</w:t>
            </w:r>
          </w:p>
          <w:p>
            <w:pPr>
              <w:pStyle w:val="5"/>
              <w:widowControl w:val="0"/>
              <w:ind w:firstLine="0" w:firstLineChars="0"/>
              <w:jc w:val="both"/>
              <w:rPr>
                <w:highlight w:val="none"/>
              </w:rPr>
            </w:pPr>
            <w:r>
              <w:rPr>
                <w:highlight w:val="none"/>
              </w:rPr>
              <w:drawing>
                <wp:inline distT="0" distB="0" distL="114300" distR="114300">
                  <wp:extent cx="5814060" cy="1943735"/>
                  <wp:effectExtent l="0" t="0" r="15240" b="18415"/>
                  <wp:docPr id="1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
                          <pic:cNvPicPr>
                            <a:picLocks noChangeAspect="1"/>
                          </pic:cNvPicPr>
                        </pic:nvPicPr>
                        <pic:blipFill>
                          <a:blip r:embed="rId14"/>
                          <a:stretch>
                            <a:fillRect/>
                          </a:stretch>
                        </pic:blipFill>
                        <pic:spPr>
                          <a:xfrm>
                            <a:off x="0" y="0"/>
                            <a:ext cx="5814060" cy="1943735"/>
                          </a:xfrm>
                          <a:prstGeom prst="rect">
                            <a:avLst/>
                          </a:prstGeom>
                          <a:noFill/>
                          <a:ln>
                            <a:noFill/>
                          </a:ln>
                        </pic:spPr>
                      </pic:pic>
                    </a:graphicData>
                  </a:graphic>
                </wp:inline>
              </w:drawing>
            </w:r>
          </w:p>
          <w:p>
            <w:pPr>
              <w:pStyle w:val="5"/>
              <w:widowControl w:val="0"/>
              <w:ind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图1 项目水厂及办公楼施工工艺流程及产污环节示意图</w:t>
            </w:r>
          </w:p>
          <w:p>
            <w:pPr>
              <w:pStyle w:val="5"/>
              <w:widowControl w:val="0"/>
              <w:ind w:left="0" w:leftChars="0" w:firstLine="0" w:firstLineChars="0"/>
              <w:rPr>
                <w:rFonts w:hint="eastAsia" w:cs="Times New Roman"/>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工艺流程简述：</w:t>
            </w:r>
          </w:p>
          <w:p>
            <w:pPr>
              <w:pStyle w:val="5"/>
              <w:widowControl w:val="0"/>
              <w:ind w:firstLine="480"/>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1）场地平整：平整过程会产生扬尘、噪声以及建筑垃圾；</w:t>
            </w:r>
          </w:p>
          <w:p>
            <w:pPr>
              <w:pStyle w:val="5"/>
              <w:widowControl w:val="0"/>
              <w:ind w:firstLine="480"/>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2）土方开挖及构筑物建筑：在平整后场地，根据各构筑物设计方案进行土方开挖及建筑，此过程会产生扬尘、噪声、废水以及建筑垃圾；</w:t>
            </w:r>
          </w:p>
          <w:p>
            <w:pPr>
              <w:pStyle w:val="5"/>
              <w:widowControl w:val="0"/>
              <w:ind w:firstLine="480"/>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3）设备安装：在建设好的构筑物内进行各处理设备的安装、调试，此过程会产生建筑垃圾及噪声。</w:t>
            </w:r>
          </w:p>
          <w:p>
            <w:pPr>
              <w:pStyle w:val="5"/>
              <w:widowControl w:val="0"/>
              <w:ind w:left="0" w:leftChars="0" w:firstLine="0" w:firstLineChars="0"/>
              <w:rPr>
                <w:rFonts w:hint="eastAsia" w:cs="Times New Roman"/>
                <w:color w:val="000000" w:themeColor="text1"/>
                <w:highlight w:val="none"/>
                <w:lang w:val="en-US" w:eastAsia="zh-CN"/>
                <w14:textFill>
                  <w14:solidFill>
                    <w14:schemeClr w14:val="tx1"/>
                  </w14:solidFill>
                </w14:textFill>
              </w:rPr>
            </w:pPr>
            <w:r>
              <w:rPr>
                <w:highlight w:val="none"/>
              </w:rPr>
              <w:drawing>
                <wp:inline distT="0" distB="0" distL="114300" distR="114300">
                  <wp:extent cx="5810250" cy="1413510"/>
                  <wp:effectExtent l="0" t="0" r="0" b="0"/>
                  <wp:docPr id="1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3"/>
                          <pic:cNvPicPr>
                            <a:picLocks noChangeAspect="1"/>
                          </pic:cNvPicPr>
                        </pic:nvPicPr>
                        <pic:blipFill>
                          <a:blip r:embed="rId15">
                            <a:clrChange>
                              <a:clrFrom>
                                <a:srgbClr val="FFFFFF">
                                  <a:alpha val="100000"/>
                                </a:srgbClr>
                              </a:clrFrom>
                              <a:clrTo>
                                <a:srgbClr val="FFFFFF">
                                  <a:alpha val="100000"/>
                                  <a:alpha val="0"/>
                                </a:srgbClr>
                              </a:clrTo>
                            </a:clrChange>
                          </a:blip>
                          <a:stretch>
                            <a:fillRect/>
                          </a:stretch>
                        </pic:blipFill>
                        <pic:spPr>
                          <a:xfrm>
                            <a:off x="0" y="0"/>
                            <a:ext cx="5810250" cy="1413510"/>
                          </a:xfrm>
                          <a:prstGeom prst="rect">
                            <a:avLst/>
                          </a:prstGeom>
                          <a:noFill/>
                          <a:ln>
                            <a:noFill/>
                          </a:ln>
                        </pic:spPr>
                      </pic:pic>
                    </a:graphicData>
                  </a:graphic>
                </wp:inline>
              </w:drawing>
            </w:r>
          </w:p>
          <w:p>
            <w:pPr>
              <w:pStyle w:val="5"/>
              <w:widowControl w:val="0"/>
              <w:ind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图2 项目管道施工工艺流程及产污环节示意图</w:t>
            </w:r>
          </w:p>
          <w:p>
            <w:pPr>
              <w:pStyle w:val="5"/>
              <w:widowControl w:val="0"/>
              <w:ind w:left="0" w:leftChars="0" w:firstLine="0" w:firstLineChars="0"/>
              <w:rPr>
                <w:rFonts w:hint="default"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工艺流程简述：</w:t>
            </w:r>
          </w:p>
          <w:p>
            <w:pPr>
              <w:pStyle w:val="5"/>
              <w:widowControl w:val="0"/>
              <w:numPr>
                <w:ilvl w:val="0"/>
                <w:numId w:val="4"/>
              </w:numPr>
              <w:ind w:firstLine="480"/>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沟槽开挖：测量定位线经复核无误后，即可进行沟槽开挖，开挖采用机械，局部较小的部位可采用人力；此过程会产生扬尘、噪声以及固废；</w:t>
            </w:r>
          </w:p>
          <w:p>
            <w:pPr>
              <w:pStyle w:val="5"/>
              <w:widowControl w:val="0"/>
              <w:numPr>
                <w:ilvl w:val="0"/>
                <w:numId w:val="4"/>
              </w:numPr>
              <w:ind w:firstLine="480"/>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管道安装：进场的管道经验收合格后，将管道埋入管沟中，并采用热熔连接的方式将各段管道进行连接；此过程会产生少量建筑垃圾及噪声；</w:t>
            </w:r>
          </w:p>
          <w:p>
            <w:pPr>
              <w:pStyle w:val="5"/>
              <w:widowControl w:val="0"/>
              <w:numPr>
                <w:ilvl w:val="0"/>
                <w:numId w:val="4"/>
              </w:numPr>
              <w:ind w:left="0" w:leftChars="0" w:firstLine="480" w:firstLineChars="200"/>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稳管及闭水试验：稳管是将安装好的管道采用管身回填压土的方式稳定其管位不再发生变化，然后进行闭水试验检验是否有漏水情况，此过程会产生废水；</w:t>
            </w:r>
          </w:p>
          <w:p>
            <w:pPr>
              <w:pStyle w:val="5"/>
              <w:widowControl w:val="0"/>
              <w:numPr>
                <w:ilvl w:val="0"/>
                <w:numId w:val="4"/>
              </w:numPr>
              <w:ind w:left="0" w:leftChars="0" w:firstLine="480" w:firstLineChars="200"/>
              <w:rPr>
                <w:rFonts w:hint="default" w:cs="Times New Roman"/>
                <w:color w:val="000000" w:themeColor="text1"/>
                <w:highlight w:val="none"/>
                <w:lang w:val="en-US" w:eastAsia="zh-CN"/>
                <w14:textFill>
                  <w14:solidFill>
                    <w14:schemeClr w14:val="tx1"/>
                  </w14:solidFill>
                </w14:textFill>
              </w:rPr>
            </w:pPr>
            <w:r>
              <w:rPr>
                <w:rFonts w:hint="default" w:cs="Times New Roman"/>
                <w:color w:val="000000" w:themeColor="text1"/>
                <w:highlight w:val="none"/>
                <w:lang w:val="en-US" w:eastAsia="zh-CN"/>
                <w14:textFill>
                  <w14:solidFill>
                    <w14:schemeClr w14:val="tx1"/>
                  </w14:solidFill>
                </w14:textFill>
              </w:rPr>
              <w:t>沟槽土方回填</w:t>
            </w:r>
            <w:r>
              <w:rPr>
                <w:rFonts w:hint="eastAsia" w:cs="Times New Roman"/>
                <w:color w:val="000000" w:themeColor="text1"/>
                <w:highlight w:val="none"/>
                <w:lang w:val="en-US" w:eastAsia="zh-CN"/>
                <w14:textFill>
                  <w14:solidFill>
                    <w14:schemeClr w14:val="tx1"/>
                  </w14:solidFill>
                </w14:textFill>
              </w:rPr>
              <w:t>：沟槽回填时，管道两侧应同时均匀回填，以免管线水平移位，此过程会产生扬尘及噪声。</w:t>
            </w:r>
          </w:p>
          <w:p>
            <w:pPr>
              <w:pStyle w:val="5"/>
              <w:widowControl w:val="0"/>
              <w:ind w:left="0" w:leftChars="0" w:firstLine="0" w:firstLineChars="0"/>
              <w:jc w:val="center"/>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drawing>
                <wp:inline distT="0" distB="0" distL="114300" distR="114300">
                  <wp:extent cx="5554980" cy="1816735"/>
                  <wp:effectExtent l="0" t="0" r="7620" b="12065"/>
                  <wp:docPr id="122" name="图片 122" descr="浮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浮筒"/>
                          <pic:cNvPicPr>
                            <a:picLocks noChangeAspect="1"/>
                          </pic:cNvPicPr>
                        </pic:nvPicPr>
                        <pic:blipFill>
                          <a:blip r:embed="rId16"/>
                          <a:srcRect l="2164" t="17933" r="2219" b="14559"/>
                          <a:stretch>
                            <a:fillRect/>
                          </a:stretch>
                        </pic:blipFill>
                        <pic:spPr>
                          <a:xfrm>
                            <a:off x="0" y="0"/>
                            <a:ext cx="5554980" cy="1816735"/>
                          </a:xfrm>
                          <a:prstGeom prst="rect">
                            <a:avLst/>
                          </a:prstGeom>
                        </pic:spPr>
                      </pic:pic>
                    </a:graphicData>
                  </a:graphic>
                </wp:inline>
              </w:drawing>
            </w:r>
          </w:p>
          <w:p>
            <w:pPr>
              <w:pStyle w:val="5"/>
              <w:widowControl w:val="0"/>
              <w:ind w:firstLine="480"/>
              <w:jc w:val="center"/>
              <w:rPr>
                <w:rFonts w:hint="eastAsia" w:cs="Times New Roman"/>
                <w:b/>
                <w:bCs/>
                <w:color w:val="000000" w:themeColor="text1"/>
                <w:sz w:val="21"/>
                <w:szCs w:val="21"/>
                <w:highlight w:val="none"/>
                <w:lang w:val="en-US" w:eastAsia="zh-CN"/>
                <w14:textFill>
                  <w14:solidFill>
                    <w14:schemeClr w14:val="tx1"/>
                  </w14:solidFill>
                </w14:textFill>
              </w:rPr>
            </w:pPr>
            <w:r>
              <w:rPr>
                <w:rFonts w:hint="eastAsia"/>
                <w:b/>
                <w:bCs/>
                <w:sz w:val="21"/>
                <w:szCs w:val="21"/>
                <w:highlight w:val="none"/>
                <w:lang w:val="en-US" w:eastAsia="zh-CN"/>
              </w:rPr>
              <w:t>图3 项目</w:t>
            </w:r>
            <w:r>
              <w:rPr>
                <w:rFonts w:hint="eastAsia" w:cs="Times New Roman"/>
                <w:b/>
                <w:bCs/>
                <w:color w:val="000000" w:themeColor="text1"/>
                <w:sz w:val="21"/>
                <w:szCs w:val="21"/>
                <w:highlight w:val="none"/>
                <w:lang w:val="en-US" w:eastAsia="zh-CN"/>
                <w14:textFill>
                  <w14:solidFill>
                    <w14:schemeClr w14:val="tx1"/>
                  </w14:solidFill>
                </w14:textFill>
              </w:rPr>
              <w:t>浮筒式取水泵</w:t>
            </w:r>
          </w:p>
          <w:p>
            <w:pPr>
              <w:pStyle w:val="5"/>
              <w:widowControl w:val="0"/>
              <w:ind w:firstLine="480"/>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本工程取水采用浮筒式取水泵，在木形水库大坝岸坡上安装固定输水斜管，采用阶梯式连接，浮筒取水泵与岸坡固定输水斜管采用橡胶软管连接。浮筒式取水泵首先用吊车或者吊装工具吊大坝岸边，将橡胶软管与输水斜管连接安装好后，再慢慢将浮筒式取水泵放至理想位置。此过程会产生少量建筑垃圾及噪声。</w:t>
            </w:r>
          </w:p>
          <w:p>
            <w:pPr>
              <w:pStyle w:val="5"/>
              <w:widowControl w:val="0"/>
              <w:ind w:firstLine="480"/>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浮筒式取水泵结构简单，安装检修方便。安装过程无需涉水，不会对水库库底底泥产生扰动，故基本不会对木形水库的水质产生影响。</w:t>
            </w:r>
          </w:p>
          <w:p>
            <w:pPr>
              <w:pStyle w:val="5"/>
              <w:widowControl w:val="0"/>
              <w:ind w:firstLine="480"/>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（2）运营期</w:t>
            </w:r>
          </w:p>
          <w:p>
            <w:pPr>
              <w:pStyle w:val="5"/>
              <w:widowControl w:val="0"/>
              <w:ind w:firstLine="480"/>
              <w:rPr>
                <w:rFonts w:hint="default" w:cs="Times New Roman"/>
                <w:color w:val="000000" w:themeColor="text1"/>
                <w:highlight w:val="none"/>
                <w:vertAlign w:val="baseli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本项目供水规模为960m</w:t>
            </w:r>
            <w:r>
              <w:rPr>
                <w:rFonts w:hint="eastAsia" w:cs="Times New Roman"/>
                <w:color w:val="000000" w:themeColor="text1"/>
                <w:highlight w:val="none"/>
                <w:vertAlign w:val="superscript"/>
                <w:lang w:val="en-US" w:eastAsia="zh-CN"/>
                <w14:textFill>
                  <w14:solidFill>
                    <w14:schemeClr w14:val="tx1"/>
                  </w14:solidFill>
                </w14:textFill>
              </w:rPr>
              <w:t>3</w:t>
            </w:r>
            <w:r>
              <w:rPr>
                <w:rFonts w:hint="eastAsia" w:cs="Times New Roman"/>
                <w:color w:val="000000" w:themeColor="text1"/>
                <w:highlight w:val="none"/>
                <w:vertAlign w:val="baseline"/>
                <w:lang w:val="en-US" w:eastAsia="zh-CN"/>
                <w14:textFill>
                  <w14:solidFill>
                    <w14:schemeClr w14:val="tx1"/>
                  </w14:solidFill>
                </w14:textFill>
              </w:rPr>
              <w:t>/d，其水处理工艺如下</w:t>
            </w:r>
          </w:p>
          <w:p>
            <w:pPr>
              <w:pStyle w:val="5"/>
              <w:widowControl w:val="0"/>
              <w:ind w:left="0" w:leftChars="0" w:firstLine="0" w:firstLineChars="0"/>
              <w:rPr>
                <w:rFonts w:hint="eastAsia" w:cs="Times New Roman"/>
                <w:color w:val="000000" w:themeColor="text1"/>
                <w:highlight w:val="none"/>
                <w:lang w:val="en-US" w:eastAsia="zh-CN"/>
                <w14:textFill>
                  <w14:solidFill>
                    <w14:schemeClr w14:val="tx1"/>
                  </w14:solidFill>
                </w14:textFill>
              </w:rPr>
            </w:pPr>
            <w:r>
              <w:drawing>
                <wp:inline distT="0" distB="0" distL="114300" distR="114300">
                  <wp:extent cx="5805805" cy="2462530"/>
                  <wp:effectExtent l="0" t="0" r="4445" b="0"/>
                  <wp:docPr id="1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0"/>
                          <pic:cNvPicPr>
                            <a:picLocks noChangeAspect="1"/>
                          </pic:cNvPicPr>
                        </pic:nvPicPr>
                        <pic:blipFill>
                          <a:blip r:embed="rId17">
                            <a:clrChange>
                              <a:clrFrom>
                                <a:srgbClr val="FFFFFF">
                                  <a:alpha val="100000"/>
                                </a:srgbClr>
                              </a:clrFrom>
                              <a:clrTo>
                                <a:srgbClr val="FFFFFF">
                                  <a:alpha val="100000"/>
                                  <a:alpha val="0"/>
                                </a:srgbClr>
                              </a:clrTo>
                            </a:clrChange>
                          </a:blip>
                          <a:stretch>
                            <a:fillRect/>
                          </a:stretch>
                        </pic:blipFill>
                        <pic:spPr>
                          <a:xfrm>
                            <a:off x="0" y="0"/>
                            <a:ext cx="5805805" cy="2462530"/>
                          </a:xfrm>
                          <a:prstGeom prst="rect">
                            <a:avLst/>
                          </a:prstGeom>
                          <a:noFill/>
                          <a:ln>
                            <a:noFill/>
                          </a:ln>
                        </pic:spPr>
                      </pic:pic>
                    </a:graphicData>
                  </a:graphic>
                </wp:inline>
              </w:drawing>
            </w:r>
          </w:p>
          <w:p>
            <w:pPr>
              <w:pStyle w:val="5"/>
              <w:widowControl w:val="0"/>
              <w:ind w:firstLine="0" w:firstLineChars="0"/>
              <w:jc w:val="center"/>
              <w:rPr>
                <w:rFonts w:hint="eastAsia"/>
                <w:b/>
                <w:bCs/>
                <w:color w:val="000000" w:themeColor="text1"/>
                <w:sz w:val="21"/>
                <w:szCs w:val="21"/>
                <w:highlight w:val="none"/>
                <w:u w:val="single"/>
                <w:lang w:val="en-US" w:eastAsia="zh-CN"/>
                <w14:textFill>
                  <w14:solidFill>
                    <w14:schemeClr w14:val="tx1"/>
                  </w14:solidFill>
                </w14:textFill>
              </w:rPr>
            </w:pPr>
            <w:r>
              <w:rPr>
                <w:rFonts w:hint="eastAsia"/>
                <w:b/>
                <w:bCs/>
                <w:color w:val="000000" w:themeColor="text1"/>
                <w:sz w:val="21"/>
                <w:szCs w:val="21"/>
                <w:highlight w:val="none"/>
                <w:u w:val="single"/>
                <w:lang w:val="en-US" w:eastAsia="zh-CN"/>
                <w14:textFill>
                  <w14:solidFill>
                    <w14:schemeClr w14:val="tx1"/>
                  </w14:solidFill>
                </w14:textFill>
              </w:rPr>
              <w:t>图4 项目营运期工艺流程示意图</w:t>
            </w:r>
          </w:p>
          <w:p>
            <w:pPr>
              <w:pStyle w:val="5"/>
              <w:widowControl w:val="0"/>
              <w:ind w:left="0" w:leftChars="0" w:firstLine="0" w:firstLineChars="0"/>
              <w:rPr>
                <w:rFonts w:hint="default"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工艺流程简述：</w:t>
            </w:r>
          </w:p>
          <w:p>
            <w:pPr>
              <w:pStyle w:val="5"/>
              <w:widowControl w:val="0"/>
              <w:ind w:firstLine="480"/>
              <w:rPr>
                <w:rFonts w:hint="default" w:cs="Times New Roman"/>
                <w:color w:val="000000" w:themeColor="text1"/>
                <w:highlight w:val="none"/>
                <w:lang w:val="en-US" w:eastAsia="zh-CN"/>
                <w14:textFill>
                  <w14:solidFill>
                    <w14:schemeClr w14:val="tx1"/>
                  </w14:solidFill>
                </w14:textFill>
              </w:rPr>
            </w:pPr>
            <w:r>
              <w:rPr>
                <w:rFonts w:hint="eastAsia" w:cs="Times New Roman"/>
                <w:color w:val="auto"/>
                <w:highlight w:val="none"/>
                <w:lang w:val="en-US" w:eastAsia="zh-CN"/>
              </w:rPr>
              <w:t>原水</w:t>
            </w:r>
            <w:r>
              <w:rPr>
                <w:rFonts w:hint="eastAsia" w:cs="Times New Roman"/>
                <w:color w:val="auto"/>
                <w:highlight w:val="none"/>
                <w:lang w:val="en-US" w:eastAsia="zh-CN"/>
              </w:rPr>
              <w:t>送入水厂内，经智能加药系统投加絮凝剂（聚合氯化铝）与微管道混合器充分混合后，进入智能模块化净水装置的网格絮凝池内，</w:t>
            </w:r>
            <w:r>
              <w:rPr>
                <w:rFonts w:hint="eastAsia" w:cs="Times New Roman"/>
                <w:color w:val="auto"/>
                <w:highlight w:val="none"/>
                <w:lang w:val="en-US" w:eastAsia="zh-CN"/>
              </w:rPr>
              <w:t>反应</w:t>
            </w:r>
            <w:r>
              <w:rPr>
                <w:rFonts w:hint="eastAsia" w:cs="Times New Roman"/>
                <w:color w:val="000000" w:themeColor="text1"/>
                <w:highlight w:val="none"/>
                <w:lang w:val="en-US" w:eastAsia="zh-CN"/>
                <w14:textFill>
                  <w14:solidFill>
                    <w14:schemeClr w14:val="tx1"/>
                  </w14:solidFill>
                </w14:textFill>
              </w:rPr>
              <w:t>形成密实颗粒进入稳定区和上向流斜板沉淀池，经斜板浅层沉淀的功能区，水流沿斜板水平流汇集至集水区，集积下来的颗粒（泥）在重力作用下滑入下部的排泥室，浓缩后自行排走；澄清水则通过集水稳定区后进入滤砖滤池内，自上而下通过滤砖滤池的滤层过滤，水中的微小颗粒被滤层拦截、过滤；过滤后水通过滤砖集水区汇集至下部的清水区，通过出水管重力输送至用户使用。</w:t>
            </w:r>
          </w:p>
          <w:p>
            <w:pPr>
              <w:pStyle w:val="5"/>
              <w:widowControl w:val="0"/>
              <w:ind w:firstLine="480"/>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1）加药混合：采用智能加药系统投加絮凝剂和管道混合器混合后进入反应池。管道混合器是在管道内安设一定形状的导流叶片或孔板，使水流产生分流或旋流，以达到混合效果；</w:t>
            </w:r>
          </w:p>
          <w:p>
            <w:pPr>
              <w:pStyle w:val="5"/>
              <w:widowControl w:val="0"/>
              <w:ind w:firstLine="480"/>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絮凝：絮凝的目的是使具有凝聚性的颗粒经多次相互接触碰撞后形成大而坚实的絮粒，并具有良好的沉降性能。本项目采用絮凝时间短、絮凝效果好、水头损失小的网格絮凝池。网格絮凝池由多格竖井串联而成进水水流在池内上下交错流动，通过池内水平放置的网格孔隙时，水流收缩，过网孔后水流扩大，形成良好的絮凝条件，</w:t>
            </w:r>
          </w:p>
          <w:p>
            <w:pPr>
              <w:pStyle w:val="5"/>
              <w:widowControl w:val="0"/>
              <w:ind w:firstLine="480"/>
              <w:rPr>
                <w:rFonts w:hint="eastAsia"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3）沉淀：本项目采用斜管沉淀池，斜管沉淀池内装置许多间隔较小的平行倾斜板。池中设置整流段，在斜板区内形成絮体粒子动态悬浮区，利用絮凝和沉淀原理去除水中固体颗粒。斜管沉淀池具有沉淀效率高，池体积小，占地面积少，出水水质稳定的优点，是一种高效沉淀池。沉淀池采用上向流形式，絮凝后生成良好的絮体经过稳流器后进入配水区，然后由下而上通过斜管，原水中杂质与水在斜管内迅速分离，清水从上部经集水区、通过不锈钢集水槽流入滤池，沉淀在斜管壁上的杂质沿管壁划入积泥区由穿孔排泥管定期排出池外。</w:t>
            </w:r>
            <w:r>
              <w:rPr>
                <w:rFonts w:hint="eastAsia" w:cs="Times New Roman"/>
                <w:color w:val="000000" w:themeColor="text1"/>
                <w:highlight w:val="none"/>
                <w:u w:val="single"/>
                <w:lang w:val="en-US" w:eastAsia="zh-CN"/>
                <w14:textFill>
                  <w14:solidFill>
                    <w14:schemeClr w14:val="tx1"/>
                  </w14:solidFill>
                </w14:textFill>
              </w:rPr>
              <w:t>沉淀池排泥水排至池体周边排水渠进入污泥池，上清液回流作为原水回用，污泥经压滤机脱水处理后送与周边居民做菜地农肥，滤液作为厂区绿化使用。为减少沉淀池的维护量，本项目增加了自动清洗斜管的设计，可以定期自动对斜管表面进行冲洗；</w:t>
            </w:r>
          </w:p>
          <w:p>
            <w:pPr>
              <w:pStyle w:val="5"/>
              <w:widowControl w:val="0"/>
              <w:ind w:firstLine="480"/>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4）过滤：过滤采用重力流形式，配制单层粗砂均匀级配石英砂滤料，选用进口高强度的HDPE滤砖做为滤池底部集水装置。沉淀后的水经由进水渠均匀分配至滤池表面，向下经由粗砂滤料、卵石承托层后，清水池进入滤砖内部的通道，最终汇集入出水管进入清水池；</w:t>
            </w:r>
            <w:r>
              <w:rPr>
                <w:rFonts w:hint="eastAsia" w:cs="Times New Roman"/>
                <w:color w:val="000000" w:themeColor="text1"/>
                <w:highlight w:val="none"/>
                <w:u w:val="single"/>
                <w:lang w:val="en-US" w:eastAsia="zh-CN"/>
                <w14:textFill>
                  <w14:solidFill>
                    <w14:schemeClr w14:val="tx1"/>
                  </w14:solidFill>
                </w14:textFill>
              </w:rPr>
              <w:t>进水中的悬浮杂质等被进一步截留在滤料中，通过反冲洗进行定期排出，反冲洗水经管道回流直接作为原水回用</w:t>
            </w:r>
            <w:r>
              <w:rPr>
                <w:rFonts w:hint="eastAsia" w:cs="Times New Roman"/>
                <w:color w:val="000000" w:themeColor="text1"/>
                <w:highlight w:val="none"/>
                <w:lang w:val="en-US" w:eastAsia="zh-CN"/>
                <w14:textFill>
                  <w14:solidFill>
                    <w14:schemeClr w14:val="tx1"/>
                  </w14:solidFill>
                </w14:textFill>
              </w:rPr>
              <w:t>；</w:t>
            </w:r>
          </w:p>
          <w:p>
            <w:pPr>
              <w:pStyle w:val="5"/>
              <w:widowControl w:val="0"/>
              <w:ind w:firstLine="480"/>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5）消毒：本项目消毒方式为次氯酸钠消毒。次氯酸钠属于高效的含氯消毒剂。次氯酸的氧化作用是含氯消毒剂的最主要的杀菌机理。含氯消毒剂在水中形成次氯酸，作用于菌体蛋白质。次氯酸不仅可与细胞壁发生作用，且因分子小，不带电荷，故侵入细胞内与蛋白质发生氧化作用或破坏其磷酸脱氢酶，使糖代谢失调而致细胞死亡。</w:t>
            </w:r>
          </w:p>
          <w:p>
            <w:pPr>
              <w:pStyle w:val="5"/>
              <w:widowControl w:val="0"/>
              <w:ind w:firstLine="480"/>
              <w:rPr>
                <w:rFonts w:hint="eastAsia"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本项目设有次氯酸钠发生器，采用食盐加水电解制取次氯酸钠，电解法制取次氯酸钠工艺原理：在盐水溶液中含有 Na+、H-等几种离子，按照电解理论，当插入电极时，在一定的电压下，电解质溶液由于离子的移动和电极反应，发生导电作用，这时 Cl-、OH-等负离子向阳极移动，而 Na+、H+等正离子向阴极移动，并在相应的电极上发生放电，从而进行氧化还原反应，生产相应的物质。</w:t>
            </w:r>
          </w:p>
          <w:p>
            <w:pPr>
              <w:pStyle w:val="5"/>
              <w:widowControl w:val="0"/>
              <w:ind w:firstLine="480"/>
              <w:rPr>
                <w:rFonts w:hint="eastAsia"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在无隔膜电解盐水，溶液的反应方程式如下：</w:t>
            </w:r>
          </w:p>
          <w:p>
            <w:pPr>
              <w:pStyle w:val="5"/>
              <w:widowControl w:val="0"/>
              <w:ind w:firstLine="480"/>
              <w:rPr>
                <w:rFonts w:hint="eastAsia"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NaCl+H</w:t>
            </w:r>
            <w:r>
              <w:rPr>
                <w:rFonts w:hint="eastAsia" w:cs="Times New Roman"/>
                <w:color w:val="000000" w:themeColor="text1"/>
                <w:highlight w:val="none"/>
                <w:u w:val="single"/>
                <w:vertAlign w:val="subscript"/>
                <w:lang w:val="en-US" w:eastAsia="zh-CN"/>
                <w14:textFill>
                  <w14:solidFill>
                    <w14:schemeClr w14:val="tx1"/>
                  </w14:solidFill>
                </w14:textFill>
              </w:rPr>
              <w:t>2</w:t>
            </w:r>
            <w:r>
              <w:rPr>
                <w:rFonts w:hint="eastAsia" w:cs="Times New Roman"/>
                <w:color w:val="000000" w:themeColor="text1"/>
                <w:highlight w:val="none"/>
                <w:u w:val="single"/>
                <w:lang w:val="en-US" w:eastAsia="zh-CN"/>
                <w14:textFill>
                  <w14:solidFill>
                    <w14:schemeClr w14:val="tx1"/>
                  </w14:solidFill>
                </w14:textFill>
              </w:rPr>
              <w:t>O+2F→NaClO+H</w:t>
            </w:r>
            <w:r>
              <w:rPr>
                <w:rFonts w:hint="eastAsia" w:cs="Times New Roman"/>
                <w:color w:val="000000" w:themeColor="text1"/>
                <w:highlight w:val="none"/>
                <w:u w:val="single"/>
                <w:vertAlign w:val="subscript"/>
                <w:lang w:val="en-US" w:eastAsia="zh-CN"/>
                <w14:textFill>
                  <w14:solidFill>
                    <w14:schemeClr w14:val="tx1"/>
                  </w14:solidFill>
                </w14:textFill>
              </w:rPr>
              <w:t>2</w:t>
            </w:r>
            <w:r>
              <w:rPr>
                <w:rFonts w:hint="eastAsia" w:cs="Times New Roman"/>
                <w:color w:val="000000" w:themeColor="text1"/>
                <w:highlight w:val="none"/>
                <w:u w:val="single"/>
                <w:lang w:val="en-US" w:eastAsia="zh-CN"/>
                <w14:textFill>
                  <w14:solidFill>
                    <w14:schemeClr w14:val="tx1"/>
                  </w14:solidFill>
                </w14:textFill>
              </w:rPr>
              <w:t>↑</w:t>
            </w:r>
          </w:p>
          <w:p>
            <w:pPr>
              <w:pStyle w:val="5"/>
              <w:widowControl w:val="0"/>
              <w:ind w:firstLine="480"/>
              <w:rPr>
                <w:rFonts w:hint="eastAsia"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其中：F 为法拉第电解常数，其值为 96487 库伦。</w:t>
            </w:r>
          </w:p>
          <w:p>
            <w:pPr>
              <w:pStyle w:val="5"/>
              <w:widowControl w:val="0"/>
              <w:ind w:firstLine="480"/>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次氯酸钠发生器将稀盐液加入电解槽内，接通12V直流电源，通过调节电解电流电解产生次氯酸钠，由水射器吸收混合送出消毒液，或用计量泵计量通过混合器送出消毒液。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 w:type="pct"/>
            <w:shd w:val="clear" w:color="auto" w:fill="auto"/>
          </w:tcPr>
          <w:p>
            <w:pPr>
              <w:pStyle w:val="3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与项目有关的原有环境污染问题</w:t>
            </w:r>
          </w:p>
        </w:tc>
        <w:tc>
          <w:tcPr>
            <w:tcW w:w="4706" w:type="pct"/>
            <w:shd w:val="clear" w:color="auto" w:fill="auto"/>
          </w:tcPr>
          <w:p>
            <w:pPr>
              <w:ind w:firstLine="480" w:firstLineChars="200"/>
              <w:jc w:val="both"/>
              <w:rPr>
                <w:rFonts w:hint="eastAsia"/>
                <w:color w:val="000000" w:themeColor="text1"/>
                <w:highlight w:val="none"/>
                <w:u w:val="none"/>
                <w:lang w:val="en-US" w:eastAsia="zh-CN"/>
                <w14:textFill>
                  <w14:solidFill>
                    <w14:schemeClr w14:val="tx1"/>
                  </w14:solidFill>
                </w14:textFill>
              </w:rPr>
            </w:pPr>
            <w:r>
              <w:rPr>
                <w:rFonts w:hint="eastAsia" w:ascii="Times New Roman" w:hAnsi="Times New Roman" w:eastAsia="宋体" w:cs="宋体"/>
                <w:color w:val="000000" w:themeColor="text1"/>
                <w:sz w:val="24"/>
                <w:szCs w:val="24"/>
                <w:highlight w:val="none"/>
                <w:lang w:val="en-US" w:eastAsia="zh-CN" w:bidi="zh-CN"/>
                <w14:textFill>
                  <w14:solidFill>
                    <w14:schemeClr w14:val="tx1"/>
                  </w14:solidFill>
                </w14:textFill>
              </w:rPr>
              <w:t>木形村原为临湘市脱贫攻坚面上村，现为临湘市乡村振兴示范村。在脱贫攻坚及乡村振兴大理帮扶下，暂时解决了老百姓“有水吃”的问题，但饮水质量离农村安全饮水标准还存在一定距离。木形村村民现有生产生活用水主要采用的是自家建设井水，没有净水设备，水质达不到生活饮用水卫生标准，且枯水期水量不能满足村民的基本生活，这严重影响了当地居民的生活。</w:t>
            </w:r>
          </w:p>
        </w:tc>
      </w:tr>
    </w:tbl>
    <w:p>
      <w:pPr>
        <w:spacing w:line="2" w:lineRule="atLeast"/>
        <w:rPr>
          <w:color w:val="000000" w:themeColor="text1"/>
          <w:highlight w:val="none"/>
          <w:lang w:val="en-US"/>
          <w14:textFill>
            <w14:solidFill>
              <w14:schemeClr w14:val="tx1"/>
            </w14:solidFill>
          </w14:textFill>
        </w:rPr>
      </w:pPr>
      <w:r>
        <w:rPr>
          <w:color w:val="000000" w:themeColor="text1"/>
          <w:highlight w:val="none"/>
          <w:lang w:val="en-US"/>
          <w14:textFill>
            <w14:solidFill>
              <w14:schemeClr w14:val="tx1"/>
            </w14:solidFill>
          </w14:textFill>
        </w:rPr>
        <w:br w:type="page"/>
      </w:r>
    </w:p>
    <w:p>
      <w:pPr>
        <w:pStyle w:val="3"/>
        <w:rPr>
          <w:color w:val="000000" w:themeColor="text1"/>
          <w:highlight w:val="none"/>
          <w:lang w:val="en-US"/>
          <w14:textFill>
            <w14:solidFill>
              <w14:schemeClr w14:val="tx1"/>
            </w14:solidFill>
          </w14:textFill>
        </w:rPr>
      </w:pPr>
      <w:bookmarkStart w:id="4" w:name="_Toc136591185"/>
      <w:bookmarkStart w:id="5" w:name="_Toc136591186"/>
      <w:r>
        <w:rPr>
          <w:rFonts w:hint="eastAsia"/>
          <w:color w:val="000000" w:themeColor="text1"/>
          <w:highlight w:val="none"/>
          <w:lang w:val="en-US"/>
          <w14:textFill>
            <w14:solidFill>
              <w14:schemeClr w14:val="tx1"/>
            </w14:solidFill>
          </w14:textFill>
        </w:rPr>
        <w:t>三、区域环境质量现状、环境保护目标及评价标准</w:t>
      </w:r>
      <w:bookmarkEnd w:id="4"/>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8"/>
        <w:gridCol w:w="9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 w:type="pct"/>
            <w:vAlign w:val="center"/>
          </w:tcPr>
          <w:p>
            <w:pPr>
              <w:jc w:val="center"/>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区域环境质量现状</w:t>
            </w:r>
          </w:p>
        </w:tc>
        <w:tc>
          <w:tcPr>
            <w:tcW w:w="4709" w:type="pct"/>
          </w:tcPr>
          <w:p>
            <w:pPr>
              <w:jc w:val="both"/>
              <w:rPr>
                <w:b/>
                <w:bCs/>
                <w:color w:val="000000" w:themeColor="text1"/>
                <w:highlight w:val="none"/>
                <w:lang w:val="en-US"/>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w:t>
            </w:r>
            <w:r>
              <w:rPr>
                <w:rFonts w:hint="eastAsia"/>
                <w:b/>
                <w:bCs/>
                <w:color w:val="000000" w:themeColor="text1"/>
                <w:highlight w:val="none"/>
                <w:lang w:val="en-US"/>
                <w14:textFill>
                  <w14:solidFill>
                    <w14:schemeClr w14:val="tx1"/>
                  </w14:solidFill>
                </w14:textFill>
              </w:rPr>
              <w:t>大气环境</w:t>
            </w:r>
          </w:p>
          <w:p>
            <w:pPr>
              <w:ind w:firstLine="480" w:firstLineChars="200"/>
              <w:jc w:val="both"/>
              <w:rPr>
                <w:rFonts w:hint="eastAsia" w:eastAsia="宋体" w:cs="Times New Roman"/>
                <w:color w:val="000000" w:themeColor="text1"/>
                <w:highlight w:val="none"/>
                <w:u w:val="singl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本项目位于临湘市忠防镇木形村，属于环境空气质量二类区，执行《环境空气质量标准》(GB3095-2012)中二级标准限值要求。</w:t>
            </w:r>
            <w:r>
              <w:rPr>
                <w:rFonts w:hint="eastAsia" w:cs="Times New Roman"/>
                <w:color w:val="000000" w:themeColor="text1"/>
                <w:highlight w:val="none"/>
                <w:u w:val="single"/>
                <w:lang w:val="en-US"/>
                <w14:textFill>
                  <w14:solidFill>
                    <w14:schemeClr w14:val="tx1"/>
                  </w14:solidFill>
                </w14:textFill>
              </w:rPr>
              <w:t>根据《建设项目环境影响报告表编制技术指南》（污染影响类）（试行）：“常规污染物引用与建设项目距离近的有效数据，包括近</w:t>
            </w:r>
            <w:r>
              <w:rPr>
                <w:rFonts w:cs="Times New Roman"/>
                <w:color w:val="000000" w:themeColor="text1"/>
                <w:highlight w:val="none"/>
                <w:u w:val="single"/>
                <w:lang w:val="en-US"/>
                <w14:textFill>
                  <w14:solidFill>
                    <w14:schemeClr w14:val="tx1"/>
                  </w14:solidFill>
                </w14:textFill>
              </w:rPr>
              <w:t>3</w:t>
            </w:r>
            <w:r>
              <w:rPr>
                <w:rFonts w:hint="eastAsia" w:cs="Times New Roman"/>
                <w:color w:val="000000" w:themeColor="text1"/>
                <w:highlight w:val="none"/>
                <w:u w:val="single"/>
                <w:lang w:val="en-US"/>
                <w14:textFill>
                  <w14:solidFill>
                    <w14:schemeClr w14:val="tx1"/>
                  </w14:solidFill>
                </w14:textFill>
              </w:rPr>
              <w:t>年的规划环境影响评价的监测数据，国家、地方环境空气质量监测网数据或生态环境主管部门公开发布的质量数据等”</w:t>
            </w:r>
            <w:r>
              <w:rPr>
                <w:rFonts w:hint="eastAsia" w:cs="Times New Roman"/>
                <w:color w:val="000000" w:themeColor="text1"/>
                <w:highlight w:val="none"/>
                <w:u w:val="single"/>
                <w:lang w:val="en-US" w:eastAsia="zh-CN"/>
                <w14:textFill>
                  <w14:solidFill>
                    <w14:schemeClr w14:val="tx1"/>
                  </w14:solidFill>
                </w14:textFill>
              </w:rPr>
              <w:t>。</w:t>
            </w:r>
          </w:p>
          <w:p>
            <w:pPr>
              <w:ind w:firstLine="480" w:firstLineChars="200"/>
              <w:jc w:val="both"/>
              <w:rPr>
                <w:rFonts w:cs="Times New Roman"/>
                <w:color w:val="000000" w:themeColor="text1"/>
                <w:highlight w:val="none"/>
                <w:u w:val="single"/>
                <w14:textFill>
                  <w14:solidFill>
                    <w14:schemeClr w14:val="tx1"/>
                  </w14:solidFill>
                </w14:textFill>
              </w:rPr>
            </w:pPr>
            <w:r>
              <w:rPr>
                <w:rFonts w:hint="eastAsia" w:cs="Times New Roman"/>
                <w:color w:val="000000" w:themeColor="text1"/>
                <w:highlight w:val="none"/>
                <w:u w:val="single"/>
                <w:lang w:val="en-US"/>
                <w14:textFill>
                  <w14:solidFill>
                    <w14:schemeClr w14:val="tx1"/>
                  </w14:solidFill>
                </w14:textFill>
              </w:rPr>
              <w:t>本</w:t>
            </w:r>
            <w:r>
              <w:rPr>
                <w:rFonts w:hint="eastAsia" w:cs="Times New Roman"/>
                <w:color w:val="000000" w:themeColor="text1"/>
                <w:highlight w:val="none"/>
                <w:u w:val="single"/>
                <w:lang w:val="en-US" w:eastAsia="zh-CN"/>
                <w14:textFill>
                  <w14:solidFill>
                    <w14:schemeClr w14:val="tx1"/>
                  </w14:solidFill>
                </w14:textFill>
              </w:rPr>
              <w:t>评价引用临湘市生态环境局公布的2022年度临湘市城市环境空气中污染物年均浓度统计数据</w:t>
            </w:r>
            <w:r>
              <w:rPr>
                <w:rFonts w:hint="eastAsia" w:cs="Times New Roman"/>
                <w:color w:val="000000" w:themeColor="text1"/>
                <w:highlight w:val="none"/>
                <w:u w:val="single"/>
                <w:lang w:val="en-US"/>
                <w14:textFill>
                  <w14:solidFill>
                    <w14:schemeClr w14:val="tx1"/>
                  </w14:solidFill>
                </w14:textFill>
              </w:rPr>
              <w:t>，</w:t>
            </w:r>
            <w:r>
              <w:rPr>
                <w:rFonts w:hint="eastAsia" w:cs="Times New Roman"/>
                <w:color w:val="000000" w:themeColor="text1"/>
                <w:highlight w:val="none"/>
                <w:u w:val="single"/>
                <w:lang w:val="en-US" w:eastAsia="zh-CN"/>
                <w14:textFill>
                  <w14:solidFill>
                    <w14:schemeClr w14:val="tx1"/>
                  </w14:solidFill>
                </w14:textFill>
              </w:rPr>
              <w:t>其统计分析结果见下</w:t>
            </w:r>
            <w:r>
              <w:rPr>
                <w:rFonts w:hint="eastAsia" w:cs="Times New Roman"/>
                <w:color w:val="000000" w:themeColor="text1"/>
                <w:highlight w:val="none"/>
                <w:u w:val="single"/>
                <w14:textFill>
                  <w14:solidFill>
                    <w14:schemeClr w14:val="tx1"/>
                  </w14:solidFill>
                </w14:textFill>
              </w:rPr>
              <w:t>表</w:t>
            </w:r>
            <w:r>
              <w:rPr>
                <w:rFonts w:cs="Times New Roman"/>
                <w:color w:val="000000" w:themeColor="text1"/>
                <w:highlight w:val="none"/>
                <w:u w:val="single"/>
                <w14:textFill>
                  <w14:solidFill>
                    <w14:schemeClr w14:val="tx1"/>
                  </w14:solidFill>
                </w14:textFill>
              </w:rPr>
              <w:t>3-1</w:t>
            </w:r>
            <w:r>
              <w:rPr>
                <w:rFonts w:hint="eastAsia" w:cs="Times New Roman"/>
                <w:color w:val="000000" w:themeColor="text1"/>
                <w:highlight w:val="none"/>
                <w:u w:val="single"/>
                <w14:textFill>
                  <w14:solidFill>
                    <w14:schemeClr w14:val="tx1"/>
                  </w14:solidFill>
                </w14:textFill>
              </w:rPr>
              <w:t>：</w:t>
            </w:r>
          </w:p>
          <w:p>
            <w:pPr>
              <w:autoSpaceDE/>
              <w:autoSpaceDN/>
              <w:adjustRightInd w:val="0"/>
              <w:snapToGrid w:val="0"/>
              <w:jc w:val="center"/>
              <w:rPr>
                <w:rFonts w:cs="Times New Roman"/>
                <w:b/>
                <w:bCs/>
                <w:color w:val="000000" w:themeColor="text1"/>
                <w:sz w:val="21"/>
                <w:szCs w:val="21"/>
                <w:highlight w:val="none"/>
                <w:u w:val="single"/>
                <w:lang w:val="en-US"/>
                <w14:textFill>
                  <w14:solidFill>
                    <w14:schemeClr w14:val="tx1"/>
                  </w14:solidFill>
                </w14:textFill>
              </w:rPr>
            </w:pPr>
            <w:r>
              <w:rPr>
                <w:rFonts w:hint="eastAsia" w:cs="Times New Roman"/>
                <w:b/>
                <w:color w:val="000000" w:themeColor="text1"/>
                <w:highlight w:val="none"/>
                <w:u w:val="single"/>
                <w:lang w:val="en-US"/>
                <w14:textFill>
                  <w14:solidFill>
                    <w14:schemeClr w14:val="tx1"/>
                  </w14:solidFill>
                </w14:textFill>
              </w:rPr>
              <w:t>表</w:t>
            </w:r>
            <w:r>
              <w:rPr>
                <w:rFonts w:cs="Times New Roman"/>
                <w:b/>
                <w:color w:val="000000" w:themeColor="text1"/>
                <w:highlight w:val="none"/>
                <w:u w:val="single"/>
                <w:lang w:val="en-US"/>
                <w14:textFill>
                  <w14:solidFill>
                    <w14:schemeClr w14:val="tx1"/>
                  </w14:solidFill>
                </w14:textFill>
              </w:rPr>
              <w:t xml:space="preserve">3-1  </w:t>
            </w:r>
            <w:r>
              <w:rPr>
                <w:rFonts w:hint="eastAsia" w:cs="Times New Roman"/>
                <w:b/>
                <w:color w:val="000000" w:themeColor="text1"/>
                <w:highlight w:val="none"/>
                <w:u w:val="single"/>
                <w:lang w:val="en-US" w:eastAsia="zh-CN"/>
                <w14:textFill>
                  <w14:solidFill>
                    <w14:schemeClr w14:val="tx1"/>
                  </w14:solidFill>
                </w14:textFill>
              </w:rPr>
              <w:t>临湘市</w:t>
            </w:r>
            <w:r>
              <w:rPr>
                <w:rFonts w:cs="Times New Roman"/>
                <w:b/>
                <w:color w:val="000000" w:themeColor="text1"/>
                <w:highlight w:val="none"/>
                <w:u w:val="single"/>
                <w:lang w:val="en-US"/>
                <w14:textFill>
                  <w14:solidFill>
                    <w14:schemeClr w14:val="tx1"/>
                  </w14:solidFill>
                </w14:textFill>
              </w:rPr>
              <w:t>202</w:t>
            </w:r>
            <w:r>
              <w:rPr>
                <w:rFonts w:hint="eastAsia" w:cs="Times New Roman"/>
                <w:b/>
                <w:color w:val="000000" w:themeColor="text1"/>
                <w:highlight w:val="none"/>
                <w:u w:val="single"/>
                <w:lang w:val="en-US" w:eastAsia="zh-CN"/>
                <w14:textFill>
                  <w14:solidFill>
                    <w14:schemeClr w14:val="tx1"/>
                  </w14:solidFill>
                </w14:textFill>
              </w:rPr>
              <w:t>2</w:t>
            </w:r>
            <w:r>
              <w:rPr>
                <w:rFonts w:hint="eastAsia" w:cs="Times New Roman"/>
                <w:b/>
                <w:color w:val="000000" w:themeColor="text1"/>
                <w:highlight w:val="none"/>
                <w:u w:val="single"/>
                <w:lang w:val="en-US"/>
                <w14:textFill>
                  <w14:solidFill>
                    <w14:schemeClr w14:val="tx1"/>
                  </w14:solidFill>
                </w14:textFill>
              </w:rPr>
              <w:t>年大气常规监测点数据统计情况</w:t>
            </w:r>
          </w:p>
          <w:tbl>
            <w:tblPr>
              <w:tblStyle w:val="27"/>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18"/>
              <w:gridCol w:w="3483"/>
              <w:gridCol w:w="1548"/>
              <w:gridCol w:w="1637"/>
              <w:gridCol w:w="853"/>
              <w:gridCol w:w="71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54" w:hRule="atLeast"/>
                <w:jc w:val="center"/>
              </w:trPr>
              <w:tc>
                <w:tcPr>
                  <w:tcW w:w="501" w:type="pct"/>
                  <w:tcBorders>
                    <w:tl2br w:val="nil"/>
                    <w:tr2bl w:val="nil"/>
                  </w:tcBorders>
                  <w:vAlign w:val="center"/>
                </w:tcPr>
                <w:p>
                  <w:pPr>
                    <w:pStyle w:val="38"/>
                    <w:rPr>
                      <w:b/>
                      <w:bCs/>
                      <w:color w:val="000000" w:themeColor="text1"/>
                      <w:highlight w:val="none"/>
                      <w:u w:val="single"/>
                      <w14:textFill>
                        <w14:solidFill>
                          <w14:schemeClr w14:val="tx1"/>
                        </w14:solidFill>
                      </w14:textFill>
                    </w:rPr>
                  </w:pPr>
                  <w:r>
                    <w:rPr>
                      <w:rFonts w:hint="eastAsia"/>
                      <w:b/>
                      <w:bCs/>
                      <w:color w:val="000000" w:themeColor="text1"/>
                      <w:highlight w:val="none"/>
                      <w:u w:val="single"/>
                      <w14:textFill>
                        <w14:solidFill>
                          <w14:schemeClr w14:val="tx1"/>
                        </w14:solidFill>
                      </w14:textFill>
                    </w:rPr>
                    <w:t>污染物</w:t>
                  </w:r>
                </w:p>
              </w:tc>
              <w:tc>
                <w:tcPr>
                  <w:tcW w:w="1902" w:type="pct"/>
                  <w:tcBorders>
                    <w:tl2br w:val="nil"/>
                    <w:tr2bl w:val="nil"/>
                  </w:tcBorders>
                  <w:vAlign w:val="center"/>
                </w:tcPr>
                <w:p>
                  <w:pPr>
                    <w:pStyle w:val="38"/>
                    <w:rPr>
                      <w:b/>
                      <w:bCs/>
                      <w:color w:val="000000" w:themeColor="text1"/>
                      <w:highlight w:val="none"/>
                      <w:u w:val="single"/>
                      <w14:textFill>
                        <w14:solidFill>
                          <w14:schemeClr w14:val="tx1"/>
                        </w14:solidFill>
                      </w14:textFill>
                    </w:rPr>
                  </w:pPr>
                  <w:r>
                    <w:rPr>
                      <w:rFonts w:hint="eastAsia"/>
                      <w:b/>
                      <w:bCs/>
                      <w:color w:val="000000" w:themeColor="text1"/>
                      <w:highlight w:val="none"/>
                      <w:u w:val="single"/>
                      <w14:textFill>
                        <w14:solidFill>
                          <w14:schemeClr w14:val="tx1"/>
                        </w14:solidFill>
                      </w14:textFill>
                    </w:rPr>
                    <w:t>年评价指标</w:t>
                  </w:r>
                </w:p>
              </w:tc>
              <w:tc>
                <w:tcPr>
                  <w:tcW w:w="845" w:type="pct"/>
                  <w:tcBorders>
                    <w:tl2br w:val="nil"/>
                    <w:tr2bl w:val="nil"/>
                  </w:tcBorders>
                  <w:vAlign w:val="center"/>
                </w:tcPr>
                <w:p>
                  <w:pPr>
                    <w:pStyle w:val="38"/>
                    <w:rPr>
                      <w:b/>
                      <w:bCs/>
                      <w:color w:val="000000" w:themeColor="text1"/>
                      <w:highlight w:val="none"/>
                      <w:u w:val="single"/>
                      <w14:textFill>
                        <w14:solidFill>
                          <w14:schemeClr w14:val="tx1"/>
                        </w14:solidFill>
                      </w14:textFill>
                    </w:rPr>
                  </w:pPr>
                  <w:r>
                    <w:rPr>
                      <w:rFonts w:hint="eastAsia"/>
                      <w:b/>
                      <w:bCs/>
                      <w:color w:val="000000" w:themeColor="text1"/>
                      <w:highlight w:val="none"/>
                      <w:u w:val="single"/>
                      <w14:textFill>
                        <w14:solidFill>
                          <w14:schemeClr w14:val="tx1"/>
                        </w14:solidFill>
                      </w14:textFill>
                    </w:rPr>
                    <w:t>现状浓度</w:t>
                  </w:r>
                </w:p>
                <w:p>
                  <w:pPr>
                    <w:pStyle w:val="38"/>
                    <w:rPr>
                      <w:b/>
                      <w:bCs/>
                      <w:color w:val="000000" w:themeColor="text1"/>
                      <w:highlight w:val="none"/>
                      <w:u w:val="single"/>
                      <w14:textFill>
                        <w14:solidFill>
                          <w14:schemeClr w14:val="tx1"/>
                        </w14:solidFill>
                      </w14:textFill>
                    </w:rPr>
                  </w:pPr>
                  <w:r>
                    <w:rPr>
                      <w:rFonts w:hint="eastAsia"/>
                      <w:b/>
                      <w:bCs/>
                      <w:color w:val="000000" w:themeColor="text1"/>
                      <w:highlight w:val="none"/>
                      <w:u w:val="single"/>
                      <w14:textFill>
                        <w14:solidFill>
                          <w14:schemeClr w14:val="tx1"/>
                        </w14:solidFill>
                      </w14:textFill>
                    </w:rPr>
                    <w:t>（</w:t>
                  </w:r>
                  <w:r>
                    <w:rPr>
                      <w:b/>
                      <w:bCs/>
                      <w:color w:val="000000" w:themeColor="text1"/>
                      <w:highlight w:val="none"/>
                      <w:u w:val="single"/>
                      <w14:textFill>
                        <w14:solidFill>
                          <w14:schemeClr w14:val="tx1"/>
                        </w14:solidFill>
                      </w14:textFill>
                    </w:rPr>
                    <w:t>μg/m³</w:t>
                  </w:r>
                  <w:r>
                    <w:rPr>
                      <w:rFonts w:hint="eastAsia"/>
                      <w:b/>
                      <w:bCs/>
                      <w:color w:val="000000" w:themeColor="text1"/>
                      <w:highlight w:val="none"/>
                      <w:u w:val="single"/>
                      <w14:textFill>
                        <w14:solidFill>
                          <w14:schemeClr w14:val="tx1"/>
                        </w14:solidFill>
                      </w14:textFill>
                    </w:rPr>
                    <w:t>）</w:t>
                  </w:r>
                </w:p>
              </w:tc>
              <w:tc>
                <w:tcPr>
                  <w:tcW w:w="894" w:type="pct"/>
                  <w:tcBorders>
                    <w:tl2br w:val="nil"/>
                    <w:tr2bl w:val="nil"/>
                  </w:tcBorders>
                  <w:vAlign w:val="center"/>
                </w:tcPr>
                <w:p>
                  <w:pPr>
                    <w:pStyle w:val="38"/>
                    <w:rPr>
                      <w:b/>
                      <w:bCs/>
                      <w:color w:val="000000" w:themeColor="text1"/>
                      <w:highlight w:val="none"/>
                      <w:u w:val="single"/>
                      <w14:textFill>
                        <w14:solidFill>
                          <w14:schemeClr w14:val="tx1"/>
                        </w14:solidFill>
                      </w14:textFill>
                    </w:rPr>
                  </w:pPr>
                  <w:r>
                    <w:rPr>
                      <w:rFonts w:hint="eastAsia"/>
                      <w:b/>
                      <w:bCs/>
                      <w:color w:val="000000" w:themeColor="text1"/>
                      <w:highlight w:val="none"/>
                      <w:u w:val="single"/>
                      <w14:textFill>
                        <w14:solidFill>
                          <w14:schemeClr w14:val="tx1"/>
                        </w14:solidFill>
                      </w14:textFill>
                    </w:rPr>
                    <w:t>二级标准值</w:t>
                  </w:r>
                </w:p>
                <w:p>
                  <w:pPr>
                    <w:pStyle w:val="38"/>
                    <w:rPr>
                      <w:b/>
                      <w:bCs/>
                      <w:color w:val="000000" w:themeColor="text1"/>
                      <w:highlight w:val="none"/>
                      <w:u w:val="single"/>
                      <w14:textFill>
                        <w14:solidFill>
                          <w14:schemeClr w14:val="tx1"/>
                        </w14:solidFill>
                      </w14:textFill>
                    </w:rPr>
                  </w:pPr>
                  <w:r>
                    <w:rPr>
                      <w:rFonts w:hint="eastAsia"/>
                      <w:b/>
                      <w:bCs/>
                      <w:color w:val="000000" w:themeColor="text1"/>
                      <w:highlight w:val="none"/>
                      <w:u w:val="single"/>
                      <w14:textFill>
                        <w14:solidFill>
                          <w14:schemeClr w14:val="tx1"/>
                        </w14:solidFill>
                      </w14:textFill>
                    </w:rPr>
                    <w:t>（</w:t>
                  </w:r>
                  <w:r>
                    <w:rPr>
                      <w:b/>
                      <w:bCs/>
                      <w:color w:val="000000" w:themeColor="text1"/>
                      <w:highlight w:val="none"/>
                      <w:u w:val="single"/>
                      <w14:textFill>
                        <w14:solidFill>
                          <w14:schemeClr w14:val="tx1"/>
                        </w14:solidFill>
                      </w14:textFill>
                    </w:rPr>
                    <w:t>μg/m³</w:t>
                  </w:r>
                  <w:r>
                    <w:rPr>
                      <w:rFonts w:hint="eastAsia"/>
                      <w:b/>
                      <w:bCs/>
                      <w:color w:val="000000" w:themeColor="text1"/>
                      <w:highlight w:val="none"/>
                      <w:u w:val="single"/>
                      <w14:textFill>
                        <w14:solidFill>
                          <w14:schemeClr w14:val="tx1"/>
                        </w14:solidFill>
                      </w14:textFill>
                    </w:rPr>
                    <w:t>）</w:t>
                  </w:r>
                </w:p>
              </w:tc>
              <w:tc>
                <w:tcPr>
                  <w:tcW w:w="465" w:type="pct"/>
                  <w:tcBorders>
                    <w:tl2br w:val="nil"/>
                    <w:tr2bl w:val="nil"/>
                  </w:tcBorders>
                  <w:vAlign w:val="center"/>
                </w:tcPr>
                <w:p>
                  <w:pPr>
                    <w:pStyle w:val="38"/>
                    <w:rPr>
                      <w:b/>
                      <w:bCs/>
                      <w:color w:val="000000" w:themeColor="text1"/>
                      <w:highlight w:val="none"/>
                      <w:u w:val="single"/>
                      <w14:textFill>
                        <w14:solidFill>
                          <w14:schemeClr w14:val="tx1"/>
                        </w14:solidFill>
                      </w14:textFill>
                    </w:rPr>
                  </w:pPr>
                  <w:r>
                    <w:rPr>
                      <w:rFonts w:hint="eastAsia"/>
                      <w:b/>
                      <w:bCs/>
                      <w:color w:val="000000" w:themeColor="text1"/>
                      <w:highlight w:val="none"/>
                      <w:u w:val="single"/>
                      <w14:textFill>
                        <w14:solidFill>
                          <w14:schemeClr w14:val="tx1"/>
                        </w14:solidFill>
                      </w14:textFill>
                    </w:rPr>
                    <w:t>占标率</w:t>
                  </w:r>
                </w:p>
                <w:p>
                  <w:pPr>
                    <w:pStyle w:val="38"/>
                    <w:rPr>
                      <w:b/>
                      <w:bCs/>
                      <w:color w:val="000000" w:themeColor="text1"/>
                      <w:highlight w:val="none"/>
                      <w:u w:val="single"/>
                      <w14:textFill>
                        <w14:solidFill>
                          <w14:schemeClr w14:val="tx1"/>
                        </w14:solidFill>
                      </w14:textFill>
                    </w:rPr>
                  </w:pPr>
                  <w:r>
                    <w:rPr>
                      <w:rFonts w:hint="eastAsia"/>
                      <w:b/>
                      <w:bCs/>
                      <w:color w:val="000000" w:themeColor="text1"/>
                      <w:highlight w:val="none"/>
                      <w:u w:val="single"/>
                      <w14:textFill>
                        <w14:solidFill>
                          <w14:schemeClr w14:val="tx1"/>
                        </w14:solidFill>
                      </w14:textFill>
                    </w:rPr>
                    <w:t>（</w:t>
                  </w:r>
                  <w:r>
                    <w:rPr>
                      <w:b/>
                      <w:bCs/>
                      <w:color w:val="000000" w:themeColor="text1"/>
                      <w:highlight w:val="none"/>
                      <w:u w:val="single"/>
                      <w14:textFill>
                        <w14:solidFill>
                          <w14:schemeClr w14:val="tx1"/>
                        </w14:solidFill>
                      </w14:textFill>
                    </w:rPr>
                    <w:t>%</w:t>
                  </w:r>
                  <w:r>
                    <w:rPr>
                      <w:rFonts w:hint="eastAsia"/>
                      <w:b/>
                      <w:bCs/>
                      <w:color w:val="000000" w:themeColor="text1"/>
                      <w:highlight w:val="none"/>
                      <w:u w:val="single"/>
                      <w14:textFill>
                        <w14:solidFill>
                          <w14:schemeClr w14:val="tx1"/>
                        </w14:solidFill>
                      </w14:textFill>
                    </w:rPr>
                    <w:t>）</w:t>
                  </w:r>
                </w:p>
              </w:tc>
              <w:tc>
                <w:tcPr>
                  <w:tcW w:w="390" w:type="pct"/>
                  <w:tcBorders>
                    <w:tl2br w:val="nil"/>
                    <w:tr2bl w:val="nil"/>
                  </w:tcBorders>
                  <w:vAlign w:val="center"/>
                </w:tcPr>
                <w:p>
                  <w:pPr>
                    <w:pStyle w:val="38"/>
                    <w:rPr>
                      <w:b/>
                      <w:bCs/>
                      <w:color w:val="000000" w:themeColor="text1"/>
                      <w:highlight w:val="none"/>
                      <w:u w:val="single"/>
                      <w14:textFill>
                        <w14:solidFill>
                          <w14:schemeClr w14:val="tx1"/>
                        </w14:solidFill>
                      </w14:textFill>
                    </w:rPr>
                  </w:pPr>
                  <w:r>
                    <w:rPr>
                      <w:rFonts w:hint="eastAsia"/>
                      <w:b/>
                      <w:bCs/>
                      <w:color w:val="000000" w:themeColor="text1"/>
                      <w:highlight w:val="none"/>
                      <w:u w:val="single"/>
                      <w14:textFill>
                        <w14:solidFill>
                          <w14:schemeClr w14:val="tx1"/>
                        </w14:solidFill>
                      </w14:textFill>
                    </w:rPr>
                    <w:t>达标</w:t>
                  </w:r>
                </w:p>
                <w:p>
                  <w:pPr>
                    <w:pStyle w:val="38"/>
                    <w:rPr>
                      <w:b/>
                      <w:bCs/>
                      <w:color w:val="000000" w:themeColor="text1"/>
                      <w:highlight w:val="none"/>
                      <w:u w:val="single"/>
                      <w14:textFill>
                        <w14:solidFill>
                          <w14:schemeClr w14:val="tx1"/>
                        </w14:solidFill>
                      </w14:textFill>
                    </w:rPr>
                  </w:pPr>
                  <w:r>
                    <w:rPr>
                      <w:rFonts w:hint="eastAsia"/>
                      <w:b/>
                      <w:bCs/>
                      <w:color w:val="000000" w:themeColor="text1"/>
                      <w:highlight w:val="none"/>
                      <w:u w:val="single"/>
                      <w14:textFill>
                        <w14:solidFill>
                          <w14:schemeClr w14:val="tx1"/>
                        </w14:solidFill>
                      </w14:textFill>
                    </w:rPr>
                    <w:t>情况</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1"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SO</w:t>
                  </w:r>
                  <w:r>
                    <w:rPr>
                      <w:color w:val="000000" w:themeColor="text1"/>
                      <w:highlight w:val="none"/>
                      <w:u w:val="single"/>
                      <w:vertAlign w:val="subscript"/>
                      <w14:textFill>
                        <w14:solidFill>
                          <w14:schemeClr w14:val="tx1"/>
                        </w14:solidFill>
                      </w14:textFill>
                    </w:rPr>
                    <w:t>2</w:t>
                  </w:r>
                </w:p>
              </w:tc>
              <w:tc>
                <w:tcPr>
                  <w:tcW w:w="1902"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年平均质量浓度</w:t>
                  </w:r>
                </w:p>
              </w:tc>
              <w:tc>
                <w:tcPr>
                  <w:tcW w:w="845" w:type="pct"/>
                  <w:tcBorders>
                    <w:tl2br w:val="nil"/>
                    <w:tr2bl w:val="nil"/>
                  </w:tcBorders>
                  <w:vAlign w:val="center"/>
                </w:tcPr>
                <w:p>
                  <w:pPr>
                    <w:pStyle w:val="38"/>
                    <w:rPr>
                      <w:rFonts w:hint="eastAsia" w:eastAsia="宋体"/>
                      <w:color w:val="000000" w:themeColor="text1"/>
                      <w:highlight w:val="none"/>
                      <w:u w:val="single"/>
                      <w:lang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5</w:t>
                  </w:r>
                </w:p>
              </w:tc>
              <w:tc>
                <w:tcPr>
                  <w:tcW w:w="894"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60</w:t>
                  </w:r>
                </w:p>
              </w:tc>
              <w:tc>
                <w:tcPr>
                  <w:tcW w:w="465"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6.67</w:t>
                  </w:r>
                </w:p>
              </w:tc>
              <w:tc>
                <w:tcPr>
                  <w:tcW w:w="390"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1"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NO</w:t>
                  </w:r>
                  <w:r>
                    <w:rPr>
                      <w:color w:val="000000" w:themeColor="text1"/>
                      <w:highlight w:val="none"/>
                      <w:u w:val="single"/>
                      <w:vertAlign w:val="subscript"/>
                      <w14:textFill>
                        <w14:solidFill>
                          <w14:schemeClr w14:val="tx1"/>
                        </w14:solidFill>
                      </w14:textFill>
                    </w:rPr>
                    <w:t>2</w:t>
                  </w:r>
                </w:p>
              </w:tc>
              <w:tc>
                <w:tcPr>
                  <w:tcW w:w="1902"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年平均质量浓度</w:t>
                  </w:r>
                </w:p>
              </w:tc>
              <w:tc>
                <w:tcPr>
                  <w:tcW w:w="845"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27</w:t>
                  </w:r>
                </w:p>
              </w:tc>
              <w:tc>
                <w:tcPr>
                  <w:tcW w:w="894"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40</w:t>
                  </w:r>
                </w:p>
              </w:tc>
              <w:tc>
                <w:tcPr>
                  <w:tcW w:w="465"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67.5</w:t>
                  </w:r>
                </w:p>
              </w:tc>
              <w:tc>
                <w:tcPr>
                  <w:tcW w:w="390"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1"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PM</w:t>
                  </w:r>
                  <w:r>
                    <w:rPr>
                      <w:color w:val="000000" w:themeColor="text1"/>
                      <w:highlight w:val="none"/>
                      <w:u w:val="single"/>
                      <w:vertAlign w:val="subscript"/>
                      <w14:textFill>
                        <w14:solidFill>
                          <w14:schemeClr w14:val="tx1"/>
                        </w14:solidFill>
                      </w14:textFill>
                    </w:rPr>
                    <w:t>10</w:t>
                  </w:r>
                </w:p>
              </w:tc>
              <w:tc>
                <w:tcPr>
                  <w:tcW w:w="1902"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年平均质量浓度</w:t>
                  </w:r>
                </w:p>
              </w:tc>
              <w:tc>
                <w:tcPr>
                  <w:tcW w:w="845"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48</w:t>
                  </w:r>
                </w:p>
              </w:tc>
              <w:tc>
                <w:tcPr>
                  <w:tcW w:w="894"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70</w:t>
                  </w:r>
                </w:p>
              </w:tc>
              <w:tc>
                <w:tcPr>
                  <w:tcW w:w="465"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68.6</w:t>
                  </w:r>
                </w:p>
              </w:tc>
              <w:tc>
                <w:tcPr>
                  <w:tcW w:w="390"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1"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PM</w:t>
                  </w:r>
                  <w:r>
                    <w:rPr>
                      <w:color w:val="000000" w:themeColor="text1"/>
                      <w:highlight w:val="none"/>
                      <w:u w:val="single"/>
                      <w:vertAlign w:val="subscript"/>
                      <w14:textFill>
                        <w14:solidFill>
                          <w14:schemeClr w14:val="tx1"/>
                        </w14:solidFill>
                      </w14:textFill>
                    </w:rPr>
                    <w:t>2.5</w:t>
                  </w:r>
                </w:p>
              </w:tc>
              <w:tc>
                <w:tcPr>
                  <w:tcW w:w="1902"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年平均质量浓度</w:t>
                  </w:r>
                </w:p>
              </w:tc>
              <w:tc>
                <w:tcPr>
                  <w:tcW w:w="845"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34</w:t>
                  </w:r>
                </w:p>
              </w:tc>
              <w:tc>
                <w:tcPr>
                  <w:tcW w:w="894"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35</w:t>
                  </w:r>
                </w:p>
              </w:tc>
              <w:tc>
                <w:tcPr>
                  <w:tcW w:w="465"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97.14</w:t>
                  </w:r>
                </w:p>
              </w:tc>
              <w:tc>
                <w:tcPr>
                  <w:tcW w:w="390"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1"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CO</w:t>
                  </w:r>
                </w:p>
              </w:tc>
              <w:tc>
                <w:tcPr>
                  <w:tcW w:w="1902"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24</w:t>
                  </w:r>
                  <w:r>
                    <w:rPr>
                      <w:rFonts w:hint="eastAsia"/>
                      <w:color w:val="000000" w:themeColor="text1"/>
                      <w:highlight w:val="none"/>
                      <w:u w:val="single"/>
                      <w14:textFill>
                        <w14:solidFill>
                          <w14:schemeClr w14:val="tx1"/>
                        </w14:solidFill>
                      </w14:textFill>
                    </w:rPr>
                    <w:t>小时平均第</w:t>
                  </w:r>
                  <w:r>
                    <w:rPr>
                      <w:color w:val="000000" w:themeColor="text1"/>
                      <w:highlight w:val="none"/>
                      <w:u w:val="single"/>
                      <w14:textFill>
                        <w14:solidFill>
                          <w14:schemeClr w14:val="tx1"/>
                        </w14:solidFill>
                      </w14:textFill>
                    </w:rPr>
                    <w:t>95</w:t>
                  </w:r>
                  <w:r>
                    <w:rPr>
                      <w:rFonts w:hint="eastAsia"/>
                      <w:color w:val="000000" w:themeColor="text1"/>
                      <w:highlight w:val="none"/>
                      <w:u w:val="single"/>
                      <w14:textFill>
                        <w14:solidFill>
                          <w14:schemeClr w14:val="tx1"/>
                        </w14:solidFill>
                      </w14:textFill>
                    </w:rPr>
                    <w:t>百分位数浓度</w:t>
                  </w:r>
                </w:p>
              </w:tc>
              <w:tc>
                <w:tcPr>
                  <w:tcW w:w="845"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1</w:t>
                  </w:r>
                  <w:r>
                    <w:rPr>
                      <w:rFonts w:hint="eastAsia"/>
                      <w:color w:val="000000" w:themeColor="text1"/>
                      <w:highlight w:val="none"/>
                      <w:u w:val="single"/>
                      <w:lang w:val="en-US" w:eastAsia="zh-CN"/>
                      <w14:textFill>
                        <w14:solidFill>
                          <w14:schemeClr w14:val="tx1"/>
                        </w14:solidFill>
                      </w14:textFill>
                    </w:rPr>
                    <w:t>0</w:t>
                  </w:r>
                  <w:r>
                    <w:rPr>
                      <w:color w:val="000000" w:themeColor="text1"/>
                      <w:highlight w:val="none"/>
                      <w:u w:val="single"/>
                      <w14:textFill>
                        <w14:solidFill>
                          <w14:schemeClr w14:val="tx1"/>
                        </w14:solidFill>
                      </w14:textFill>
                    </w:rPr>
                    <w:t>00</w:t>
                  </w:r>
                </w:p>
              </w:tc>
              <w:tc>
                <w:tcPr>
                  <w:tcW w:w="894"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4000</w:t>
                  </w:r>
                </w:p>
              </w:tc>
              <w:tc>
                <w:tcPr>
                  <w:tcW w:w="465"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25</w:t>
                  </w:r>
                </w:p>
              </w:tc>
              <w:tc>
                <w:tcPr>
                  <w:tcW w:w="390"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1"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O</w:t>
                  </w:r>
                  <w:r>
                    <w:rPr>
                      <w:color w:val="000000" w:themeColor="text1"/>
                      <w:highlight w:val="none"/>
                      <w:u w:val="single"/>
                      <w:vertAlign w:val="subscript"/>
                      <w14:textFill>
                        <w14:solidFill>
                          <w14:schemeClr w14:val="tx1"/>
                        </w14:solidFill>
                      </w14:textFill>
                    </w:rPr>
                    <w:t>3</w:t>
                  </w:r>
                </w:p>
              </w:tc>
              <w:tc>
                <w:tcPr>
                  <w:tcW w:w="1902"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8h</w:t>
                  </w:r>
                  <w:r>
                    <w:rPr>
                      <w:rFonts w:hint="eastAsia"/>
                      <w:color w:val="000000" w:themeColor="text1"/>
                      <w:highlight w:val="none"/>
                      <w:u w:val="single"/>
                      <w14:textFill>
                        <w14:solidFill>
                          <w14:schemeClr w14:val="tx1"/>
                        </w14:solidFill>
                      </w14:textFill>
                    </w:rPr>
                    <w:t>平均质量浓度</w:t>
                  </w:r>
                </w:p>
              </w:tc>
              <w:tc>
                <w:tcPr>
                  <w:tcW w:w="845"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147</w:t>
                  </w:r>
                </w:p>
              </w:tc>
              <w:tc>
                <w:tcPr>
                  <w:tcW w:w="894"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160</w:t>
                  </w:r>
                </w:p>
              </w:tc>
              <w:tc>
                <w:tcPr>
                  <w:tcW w:w="465"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91.9</w:t>
                  </w:r>
                </w:p>
              </w:tc>
              <w:tc>
                <w:tcPr>
                  <w:tcW w:w="390"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达标</w:t>
                  </w:r>
                </w:p>
              </w:tc>
            </w:tr>
          </w:tbl>
          <w:p>
            <w:pPr>
              <w:wordWrap w:val="0"/>
              <w:autoSpaceDE/>
              <w:autoSpaceDN/>
              <w:adjustRightInd w:val="0"/>
              <w:snapToGrid w:val="0"/>
              <w:ind w:firstLine="480" w:firstLineChars="200"/>
              <w:jc w:val="left"/>
              <w:rPr>
                <w:rFonts w:cs="Times New Roman"/>
                <w:color w:val="000000" w:themeColor="text1"/>
                <w:highlight w:val="none"/>
                <w:u w:val="single"/>
                <w:lang w:val="en-US"/>
                <w14:textFill>
                  <w14:solidFill>
                    <w14:schemeClr w14:val="tx1"/>
                  </w14:solidFill>
                </w14:textFill>
              </w:rPr>
            </w:pPr>
            <w:r>
              <w:rPr>
                <w:rFonts w:hint="eastAsia" w:cs="Times New Roman"/>
                <w:color w:val="000000" w:themeColor="text1"/>
                <w:highlight w:val="none"/>
                <w:u w:val="single"/>
                <w:lang w:val="en-US"/>
                <w14:textFill>
                  <w14:solidFill>
                    <w14:schemeClr w14:val="tx1"/>
                  </w14:solidFill>
                </w14:textFill>
              </w:rPr>
              <w:t>综上，项目所在区</w:t>
            </w:r>
            <w:r>
              <w:rPr>
                <w:rFonts w:cs="Times New Roman"/>
                <w:color w:val="000000" w:themeColor="text1"/>
                <w:highlight w:val="none"/>
                <w:u w:val="single"/>
                <w:lang w:val="en-US"/>
                <w14:textFill>
                  <w14:solidFill>
                    <w14:schemeClr w14:val="tx1"/>
                  </w14:solidFill>
                </w14:textFill>
              </w:rPr>
              <w:t>202</w:t>
            </w:r>
            <w:r>
              <w:rPr>
                <w:rFonts w:hint="eastAsia" w:cs="Times New Roman"/>
                <w:color w:val="000000" w:themeColor="text1"/>
                <w:highlight w:val="none"/>
                <w:u w:val="single"/>
                <w:lang w:val="en-US" w:eastAsia="zh-CN"/>
                <w14:textFill>
                  <w14:solidFill>
                    <w14:schemeClr w14:val="tx1"/>
                  </w14:solidFill>
                </w14:textFill>
              </w:rPr>
              <w:t>2</w:t>
            </w:r>
            <w:r>
              <w:rPr>
                <w:rFonts w:hint="eastAsia" w:cs="Times New Roman"/>
                <w:color w:val="000000" w:themeColor="text1"/>
                <w:highlight w:val="none"/>
                <w:u w:val="single"/>
                <w:lang w:val="en-US"/>
                <w14:textFill>
                  <w14:solidFill>
                    <w14:schemeClr w14:val="tx1"/>
                  </w14:solidFill>
                </w14:textFill>
              </w:rPr>
              <w:t>年环境空气质量</w:t>
            </w:r>
            <w:r>
              <w:rPr>
                <w:rFonts w:cs="Times New Roman"/>
                <w:color w:val="000000" w:themeColor="text1"/>
                <w:highlight w:val="none"/>
                <w:u w:val="single"/>
                <w:lang w:val="en-US"/>
                <w14:textFill>
                  <w14:solidFill>
                    <w14:schemeClr w14:val="tx1"/>
                  </w14:solidFill>
                </w14:textFill>
              </w:rPr>
              <w:t>SO</w:t>
            </w:r>
            <w:r>
              <w:rPr>
                <w:rFonts w:cs="Times New Roman"/>
                <w:color w:val="000000" w:themeColor="text1"/>
                <w:highlight w:val="none"/>
                <w:u w:val="single"/>
                <w:vertAlign w:val="subscript"/>
                <w:lang w:val="en-US"/>
                <w14:textFill>
                  <w14:solidFill>
                    <w14:schemeClr w14:val="tx1"/>
                  </w14:solidFill>
                </w14:textFill>
              </w:rPr>
              <w:t>2</w:t>
            </w:r>
            <w:r>
              <w:rPr>
                <w:rFonts w:hint="eastAsia" w:cs="Times New Roman"/>
                <w:color w:val="000000" w:themeColor="text1"/>
                <w:highlight w:val="none"/>
                <w:u w:val="single"/>
                <w:lang w:val="en-US"/>
                <w14:textFill>
                  <w14:solidFill>
                    <w14:schemeClr w14:val="tx1"/>
                  </w14:solidFill>
                </w14:textFill>
              </w:rPr>
              <w:t>、</w:t>
            </w:r>
            <w:r>
              <w:rPr>
                <w:rFonts w:cs="Times New Roman"/>
                <w:color w:val="000000" w:themeColor="text1"/>
                <w:highlight w:val="none"/>
                <w:u w:val="single"/>
                <w:lang w:val="en-US"/>
                <w14:textFill>
                  <w14:solidFill>
                    <w14:schemeClr w14:val="tx1"/>
                  </w14:solidFill>
                </w14:textFill>
              </w:rPr>
              <w:t>NO</w:t>
            </w:r>
            <w:r>
              <w:rPr>
                <w:rFonts w:cs="Times New Roman"/>
                <w:color w:val="000000" w:themeColor="text1"/>
                <w:highlight w:val="none"/>
                <w:u w:val="single"/>
                <w:vertAlign w:val="subscript"/>
                <w:lang w:val="en-US"/>
                <w14:textFill>
                  <w14:solidFill>
                    <w14:schemeClr w14:val="tx1"/>
                  </w14:solidFill>
                </w14:textFill>
              </w:rPr>
              <w:t>2</w:t>
            </w:r>
            <w:r>
              <w:rPr>
                <w:rFonts w:hint="eastAsia" w:cs="Times New Roman"/>
                <w:color w:val="000000" w:themeColor="text1"/>
                <w:highlight w:val="none"/>
                <w:u w:val="single"/>
                <w:lang w:val="en-US"/>
                <w14:textFill>
                  <w14:solidFill>
                    <w14:schemeClr w14:val="tx1"/>
                  </w14:solidFill>
                </w14:textFill>
              </w:rPr>
              <w:t>、</w:t>
            </w:r>
            <w:r>
              <w:rPr>
                <w:rFonts w:cs="Times New Roman"/>
                <w:color w:val="000000" w:themeColor="text1"/>
                <w:highlight w:val="none"/>
                <w:u w:val="single"/>
                <w:lang w:val="en-US"/>
                <w14:textFill>
                  <w14:solidFill>
                    <w14:schemeClr w14:val="tx1"/>
                  </w14:solidFill>
                </w14:textFill>
              </w:rPr>
              <w:t>CO</w:t>
            </w:r>
            <w:r>
              <w:rPr>
                <w:rFonts w:hint="eastAsia" w:cs="Times New Roman"/>
                <w:color w:val="000000" w:themeColor="text1"/>
                <w:highlight w:val="none"/>
                <w:u w:val="single"/>
                <w:lang w:val="en-US"/>
                <w14:textFill>
                  <w14:solidFill>
                    <w14:schemeClr w14:val="tx1"/>
                  </w14:solidFill>
                </w14:textFill>
              </w:rPr>
              <w:t>、</w:t>
            </w:r>
            <w:r>
              <w:rPr>
                <w:rFonts w:cs="Times New Roman"/>
                <w:color w:val="000000" w:themeColor="text1"/>
                <w:highlight w:val="none"/>
                <w:u w:val="single"/>
                <w:lang w:val="en-US"/>
                <w14:textFill>
                  <w14:solidFill>
                    <w14:schemeClr w14:val="tx1"/>
                  </w14:solidFill>
                </w14:textFill>
              </w:rPr>
              <w:t>PM</w:t>
            </w:r>
            <w:r>
              <w:rPr>
                <w:rFonts w:cs="Times New Roman"/>
                <w:color w:val="000000" w:themeColor="text1"/>
                <w:highlight w:val="none"/>
                <w:u w:val="single"/>
                <w:vertAlign w:val="subscript"/>
                <w:lang w:val="en-US"/>
                <w14:textFill>
                  <w14:solidFill>
                    <w14:schemeClr w14:val="tx1"/>
                  </w14:solidFill>
                </w14:textFill>
              </w:rPr>
              <w:t>10</w:t>
            </w:r>
            <w:r>
              <w:rPr>
                <w:rFonts w:hint="eastAsia" w:cs="Times New Roman"/>
                <w:color w:val="000000" w:themeColor="text1"/>
                <w:highlight w:val="none"/>
                <w:u w:val="single"/>
                <w:lang w:val="en-US"/>
                <w14:textFill>
                  <w14:solidFill>
                    <w14:schemeClr w14:val="tx1"/>
                  </w14:solidFill>
                </w14:textFill>
              </w:rPr>
              <w:t>、</w:t>
            </w:r>
            <w:r>
              <w:rPr>
                <w:rFonts w:cs="Times New Roman"/>
                <w:color w:val="000000" w:themeColor="text1"/>
                <w:highlight w:val="none"/>
                <w:u w:val="single"/>
                <w:lang w:val="en-US"/>
                <w14:textFill>
                  <w14:solidFill>
                    <w14:schemeClr w14:val="tx1"/>
                  </w14:solidFill>
                </w14:textFill>
              </w:rPr>
              <w:t>O</w:t>
            </w:r>
            <w:r>
              <w:rPr>
                <w:rFonts w:cs="Times New Roman"/>
                <w:color w:val="000000" w:themeColor="text1"/>
                <w:highlight w:val="none"/>
                <w:u w:val="single"/>
                <w:vertAlign w:val="subscript"/>
                <w:lang w:val="en-US"/>
                <w14:textFill>
                  <w14:solidFill>
                    <w14:schemeClr w14:val="tx1"/>
                  </w14:solidFill>
                </w14:textFill>
              </w:rPr>
              <w:t>3</w:t>
            </w:r>
            <w:r>
              <w:rPr>
                <w:rFonts w:hint="eastAsia" w:cs="Times New Roman"/>
                <w:color w:val="000000" w:themeColor="text1"/>
                <w:highlight w:val="none"/>
                <w:u w:val="single"/>
                <w:lang w:val="en-US"/>
                <w14:textFill>
                  <w14:solidFill>
                    <w14:schemeClr w14:val="tx1"/>
                  </w14:solidFill>
                </w14:textFill>
              </w:rPr>
              <w:t>、</w:t>
            </w:r>
            <w:r>
              <w:rPr>
                <w:rFonts w:cs="Times New Roman"/>
                <w:color w:val="000000" w:themeColor="text1"/>
                <w:highlight w:val="none"/>
                <w:u w:val="single"/>
                <w:lang w:val="en-US"/>
                <w14:textFill>
                  <w14:solidFill>
                    <w14:schemeClr w14:val="tx1"/>
                  </w14:solidFill>
                </w14:textFill>
              </w:rPr>
              <w:t>PM</w:t>
            </w:r>
            <w:r>
              <w:rPr>
                <w:rFonts w:cs="Times New Roman"/>
                <w:color w:val="000000" w:themeColor="text1"/>
                <w:highlight w:val="none"/>
                <w:u w:val="single"/>
                <w:vertAlign w:val="subscript"/>
                <w:lang w:val="en-US"/>
                <w14:textFill>
                  <w14:solidFill>
                    <w14:schemeClr w14:val="tx1"/>
                  </w14:solidFill>
                </w14:textFill>
              </w:rPr>
              <w:t>2.5</w:t>
            </w:r>
            <w:r>
              <w:rPr>
                <w:rFonts w:hint="eastAsia" w:cs="Times New Roman"/>
                <w:color w:val="000000" w:themeColor="text1"/>
                <w:highlight w:val="none"/>
                <w:u w:val="single"/>
                <w:lang w:val="en-US"/>
                <w14:textFill>
                  <w14:solidFill>
                    <w14:schemeClr w14:val="tx1"/>
                  </w14:solidFill>
                </w14:textFill>
              </w:rPr>
              <w:t>的年平均质量浓度和其百分位数日平均质量浓度均可达到《环境空气质量标准》</w:t>
            </w:r>
            <w:r>
              <w:rPr>
                <w:rFonts w:cs="Times New Roman"/>
                <w:color w:val="000000" w:themeColor="text1"/>
                <w:highlight w:val="none"/>
                <w:u w:val="single"/>
                <w:lang w:val="en-US"/>
                <w14:textFill>
                  <w14:solidFill>
                    <w14:schemeClr w14:val="tx1"/>
                  </w14:solidFill>
                </w14:textFill>
              </w:rPr>
              <w:t>(GB3095-2012)</w:t>
            </w:r>
            <w:r>
              <w:rPr>
                <w:rFonts w:hint="eastAsia" w:cs="Times New Roman"/>
                <w:color w:val="000000" w:themeColor="text1"/>
                <w:highlight w:val="none"/>
                <w:u w:val="single"/>
                <w:lang w:val="en-US"/>
                <w14:textFill>
                  <w14:solidFill>
                    <w14:schemeClr w14:val="tx1"/>
                  </w14:solidFill>
                </w14:textFill>
              </w:rPr>
              <w:t>中二级标准限值要求。根据《环境影响评价技术导则</w:t>
            </w:r>
            <w:r>
              <w:rPr>
                <w:rFonts w:cs="Times New Roman"/>
                <w:color w:val="000000" w:themeColor="text1"/>
                <w:highlight w:val="none"/>
                <w:u w:val="single"/>
                <w:lang w:val="en-US"/>
                <w14:textFill>
                  <w14:solidFill>
                    <w14:schemeClr w14:val="tx1"/>
                  </w14:solidFill>
                </w14:textFill>
              </w:rPr>
              <w:t xml:space="preserve"> </w:t>
            </w:r>
            <w:r>
              <w:rPr>
                <w:rFonts w:hint="eastAsia" w:cs="Times New Roman"/>
                <w:color w:val="000000" w:themeColor="text1"/>
                <w:highlight w:val="none"/>
                <w:u w:val="single"/>
                <w:lang w:val="en-US"/>
                <w14:textFill>
                  <w14:solidFill>
                    <w14:schemeClr w14:val="tx1"/>
                  </w14:solidFill>
                </w14:textFill>
              </w:rPr>
              <w:t>大气环境》</w:t>
            </w:r>
            <w:r>
              <w:rPr>
                <w:rFonts w:cs="Times New Roman"/>
                <w:color w:val="000000" w:themeColor="text1"/>
                <w:highlight w:val="none"/>
                <w:u w:val="single"/>
                <w:lang w:val="en-US"/>
                <w14:textFill>
                  <w14:solidFill>
                    <w14:schemeClr w14:val="tx1"/>
                  </w14:solidFill>
                </w14:textFill>
              </w:rPr>
              <w:t>(HJ2.2-2018)</w:t>
            </w:r>
            <w:r>
              <w:rPr>
                <w:rFonts w:hint="eastAsia" w:cs="Times New Roman"/>
                <w:color w:val="000000" w:themeColor="text1"/>
                <w:highlight w:val="none"/>
                <w:u w:val="single"/>
                <w:lang w:val="en-US"/>
                <w14:textFill>
                  <w14:solidFill>
                    <w14:schemeClr w14:val="tx1"/>
                  </w14:solidFill>
                </w14:textFill>
              </w:rPr>
              <w:t>，判定本项目所在区域为达标区。</w:t>
            </w:r>
          </w:p>
          <w:p>
            <w:pPr>
              <w:jc w:val="both"/>
              <w:rPr>
                <w:b/>
                <w:bCs/>
                <w:color w:val="000000" w:themeColor="text1"/>
                <w:highlight w:val="none"/>
                <w:lang w:val="en-US"/>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w:t>
            </w:r>
            <w:r>
              <w:rPr>
                <w:rFonts w:hint="eastAsia"/>
                <w:b/>
                <w:bCs/>
                <w:color w:val="000000" w:themeColor="text1"/>
                <w:highlight w:val="none"/>
                <w:lang w:val="en-US"/>
                <w14:textFill>
                  <w14:solidFill>
                    <w14:schemeClr w14:val="tx1"/>
                  </w14:solidFill>
                </w14:textFill>
              </w:rPr>
              <w:t>地表水环境</w:t>
            </w:r>
          </w:p>
          <w:p>
            <w:pPr>
              <w:pStyle w:val="5"/>
              <w:widowControl w:val="0"/>
              <w:ind w:firstLine="480"/>
              <w:rPr>
                <w:rFonts w:hint="default" w:eastAsia="宋体"/>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本项目位于临湘市忠防镇木形村，</w:t>
            </w:r>
            <w:r>
              <w:rPr>
                <w:rFonts w:hint="eastAsia"/>
                <w:color w:val="000000" w:themeColor="text1"/>
                <w:highlight w:val="none"/>
                <w:lang w:val="en-US" w:eastAsia="zh-CN"/>
                <w14:textFill>
                  <w14:solidFill>
                    <w14:schemeClr w14:val="tx1"/>
                  </w14:solidFill>
                </w14:textFill>
              </w:rPr>
              <w:t>用水取自东侧木形水库。</w:t>
            </w:r>
            <w:r>
              <w:rPr>
                <w:rFonts w:hint="default" w:ascii="Times New Roman" w:hAnsi="Times New Roman" w:cs="Times New Roman"/>
                <w:color w:val="000000" w:themeColor="text1"/>
                <w:highlight w:val="none"/>
                <w:lang w:val="en-US" w:eastAsia="zh-CN"/>
                <w14:textFill>
                  <w14:solidFill>
                    <w14:schemeClr w14:val="tx1"/>
                  </w14:solidFill>
                </w14:textFill>
              </w:rPr>
              <w:t>木形水库作为饮用水水源地，</w:t>
            </w:r>
            <w:r>
              <w:rPr>
                <w:rFonts w:hint="eastAsia" w:cs="Times New Roman"/>
                <w:color w:val="000000" w:themeColor="text1"/>
                <w:highlight w:val="none"/>
                <w:lang w:val="en-US" w:eastAsia="zh-CN"/>
                <w14:textFill>
                  <w14:solidFill>
                    <w14:schemeClr w14:val="tx1"/>
                  </w14:solidFill>
                </w14:textFill>
              </w:rPr>
              <w:t>水库大坝应</w:t>
            </w:r>
            <w:r>
              <w:rPr>
                <w:rFonts w:hint="default" w:ascii="Times New Roman" w:hAnsi="Times New Roman" w:cs="Times New Roman"/>
                <w:color w:val="000000" w:themeColor="text1"/>
                <w:highlight w:val="none"/>
                <w:lang w:val="en-US" w:eastAsia="zh-CN"/>
                <w14:textFill>
                  <w14:solidFill>
                    <w14:schemeClr w14:val="tx1"/>
                  </w14:solidFill>
                </w14:textFill>
              </w:rPr>
              <w:t>执行《地表水环境质量标准》（GB3838-2002）中Ⅱ类标准要求</w:t>
            </w:r>
            <w:r>
              <w:rPr>
                <w:rFonts w:hint="eastAsia" w:cs="Times New Roman"/>
                <w:color w:val="000000" w:themeColor="text1"/>
                <w:highlight w:val="none"/>
                <w:lang w:val="en-US" w:eastAsia="zh-CN"/>
                <w14:textFill>
                  <w14:solidFill>
                    <w14:schemeClr w14:val="tx1"/>
                  </w14:solidFill>
                </w14:textFill>
              </w:rPr>
              <w:t>，木形水库下游的游港河执行《地表水环境质量标准》（GB3838-2002）中</w:t>
            </w:r>
            <w:r>
              <w:rPr>
                <w:rFonts w:hint="default" w:ascii="Times New Roman" w:hAnsi="Times New Roman" w:cs="Times New Roman"/>
                <w:color w:val="000000" w:themeColor="text1"/>
                <w:highlight w:val="none"/>
                <w:lang w:val="en-US" w:eastAsia="zh-CN"/>
                <w14:textFill>
                  <w14:solidFill>
                    <w14:schemeClr w14:val="tx1"/>
                  </w14:solidFill>
                </w14:textFill>
              </w:rPr>
              <w:t>Ⅲ</w:t>
            </w:r>
            <w:r>
              <w:rPr>
                <w:rFonts w:hint="eastAsia" w:cs="Times New Roman"/>
                <w:color w:val="000000" w:themeColor="text1"/>
                <w:highlight w:val="none"/>
                <w:lang w:val="en-US" w:eastAsia="zh-CN"/>
                <w14:textFill>
                  <w14:solidFill>
                    <w14:schemeClr w14:val="tx1"/>
                  </w14:solidFill>
                </w14:textFill>
              </w:rPr>
              <w:t>类标准</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木形水库属于木形河一级支流。木形河发源于木形村大谢家垄，汇入忠港河后，最终入游港河。</w:t>
            </w:r>
            <w:r>
              <w:rPr>
                <w:rFonts w:hint="eastAsia"/>
                <w:highlight w:val="none"/>
                <w:lang w:val="en-US" w:eastAsia="zh-CN"/>
              </w:rPr>
              <w:t>木形水库以防洪、农业灌溉为主，结合村镇供水。农业灌溉范围是水库周边的忠防村、木形村、双岗村等 3 个村，灌溉面积 2000 亩农田；村镇供水范围是新田村、木形村等；防洪对象主要为木形村。</w:t>
            </w:r>
          </w:p>
          <w:p>
            <w:pPr>
              <w:pStyle w:val="5"/>
              <w:widowControl w:val="0"/>
              <w:ind w:firstLine="48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建设项目环境影响报告表编制技术指南》（污染影响类）（试行）：“引用与建设项目距离近的有效数据，包括近3年的规划环境影响评价的监测数据，所在流域控制单元内国家、地方控制断面监测数据，生态环境主管部门发布的水环境质量数据或地表水达标情况的结论”。</w:t>
            </w:r>
          </w:p>
          <w:p>
            <w:pPr>
              <w:pStyle w:val="5"/>
              <w:widowControl w:val="0"/>
              <w:ind w:firstLine="480"/>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2023年12月31日湖南省临湘市水利建设项目管理中心委托浙江钱水检测科技有限公司对木形水库水质进行检测，检测结果如下：</w:t>
            </w:r>
          </w:p>
          <w:p>
            <w:pPr>
              <w:pStyle w:val="52"/>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2</w:t>
            </w:r>
            <w:r>
              <w:rPr>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木形水库水质</w:t>
            </w:r>
            <w:r>
              <w:rPr>
                <w:rFonts w:hint="eastAsia"/>
                <w:color w:val="000000" w:themeColor="text1"/>
                <w:highlight w:val="none"/>
                <w14:textFill>
                  <w14:solidFill>
                    <w14:schemeClr w14:val="tx1"/>
                  </w14:solidFill>
                </w14:textFill>
              </w:rPr>
              <w:t>检测结果</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节选</w:t>
            </w:r>
            <w:r>
              <w:rPr>
                <w:rFonts w:hint="eastAsia"/>
                <w:color w:val="000000" w:themeColor="text1"/>
                <w:highlight w:val="none"/>
                <w:lang w:eastAsia="zh-CN"/>
                <w14:textFill>
                  <w14:solidFill>
                    <w14:schemeClr w14:val="tx1"/>
                  </w14:solidFill>
                </w14:textFill>
              </w:rPr>
              <w:t>）</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2843"/>
              <w:gridCol w:w="1615"/>
              <w:gridCol w:w="2567"/>
              <w:gridCol w:w="13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680"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检测点位</w:t>
                  </w:r>
                </w:p>
              </w:tc>
              <w:tc>
                <w:tcPr>
                  <w:tcW w:w="2843"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检测项目</w:t>
                  </w:r>
                </w:p>
              </w:tc>
              <w:tc>
                <w:tcPr>
                  <w:tcW w:w="1615" w:type="dxa"/>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检测结果</w:t>
                  </w:r>
                </w:p>
              </w:tc>
              <w:tc>
                <w:tcPr>
                  <w:tcW w:w="2567" w:type="dxa"/>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标准限值</w:t>
                  </w:r>
                </w:p>
              </w:tc>
              <w:tc>
                <w:tcPr>
                  <w:tcW w:w="1323"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restart"/>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木形水库大坝坝址S1</w:t>
                  </w:r>
                </w:p>
              </w:tc>
              <w:tc>
                <w:tcPr>
                  <w:tcW w:w="2843" w:type="dxa"/>
                  <w:vAlign w:val="center"/>
                </w:tcPr>
                <w:p>
                  <w:pPr>
                    <w:pStyle w:val="38"/>
                    <w:widowControl w:val="0"/>
                    <w:rPr>
                      <w:rFonts w:hint="default" w:ascii="Times New Roman" w:hAnsi="Times New Roman" w:cs="Times New Roman"/>
                      <w:color w:val="000000" w:themeColor="text1"/>
                      <w:highlight w:val="none"/>
                      <w:u w:val="none"/>
                      <w:lang w:val="en-US" w:eastAsia="zh-CN"/>
                      <w14:textFill>
                        <w14:solidFill>
                          <w14:schemeClr w14:val="tx1"/>
                        </w14:solidFill>
                      </w14:textFill>
                    </w:rPr>
                  </w:pPr>
                  <w:r>
                    <w:rPr>
                      <w:rFonts w:hint="default" w:ascii="Times New Roman" w:hAnsi="Times New Roman" w:cs="Times New Roman"/>
                      <w:color w:val="000000" w:themeColor="text1"/>
                      <w:highlight w:val="none"/>
                      <w:u w:val="none"/>
                      <w:lang w:val="en-US" w:eastAsia="zh-CN"/>
                      <w14:textFill>
                        <w14:solidFill>
                          <w14:schemeClr w14:val="tx1"/>
                        </w14:solidFill>
                      </w14:textFill>
                    </w:rPr>
                    <w:t>水温（</w:t>
                  </w:r>
                  <w:r>
                    <w:rPr>
                      <w:rFonts w:hint="default" w:ascii="Times New Roman" w:hAnsi="Times New Roman" w:eastAsia="宋体" w:cs="Times New Roman"/>
                      <w:color w:val="000000" w:themeColor="text1"/>
                      <w:highlight w:val="none"/>
                      <w:u w:val="none"/>
                      <w:lang w:val="en-US" w:eastAsia="zh-CN"/>
                      <w14:textFill>
                        <w14:solidFill>
                          <w14:schemeClr w14:val="tx1"/>
                        </w14:solidFill>
                      </w14:textFill>
                    </w:rPr>
                    <w:t>℃</w:t>
                  </w:r>
                  <w:r>
                    <w:rPr>
                      <w:rFonts w:hint="default" w:ascii="Times New Roman" w:hAnsi="Times New Roman" w:cs="Times New Roman"/>
                      <w:color w:val="000000" w:themeColor="text1"/>
                      <w:highlight w:val="none"/>
                      <w:u w:val="none"/>
                      <w:lang w:val="en-US" w:eastAsia="zh-CN"/>
                      <w14:textFill>
                        <w14:solidFill>
                          <w14:schemeClr w14:val="tx1"/>
                        </w14:solidFill>
                      </w14:textFill>
                    </w:rPr>
                    <w:t>）</w:t>
                  </w:r>
                </w:p>
              </w:tc>
              <w:tc>
                <w:tcPr>
                  <w:tcW w:w="1615" w:type="dxa"/>
                  <w:vAlign w:val="center"/>
                </w:tcPr>
                <w:p>
                  <w:pPr>
                    <w:pStyle w:val="38"/>
                    <w:widowControl w:val="0"/>
                    <w:rPr>
                      <w:rFonts w:hint="default" w:ascii="Times New Roman" w:hAnsi="Times New Roman" w:cs="Times New Roman"/>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12.1</w:t>
                  </w:r>
                </w:p>
              </w:tc>
              <w:tc>
                <w:tcPr>
                  <w:tcW w:w="2567" w:type="dxa"/>
                  <w:vAlign w:val="center"/>
                </w:tcPr>
                <w:p>
                  <w:pPr>
                    <w:pStyle w:val="38"/>
                    <w:widowControl w:val="0"/>
                    <w:rPr>
                      <w:rFonts w:hint="default" w:ascii="Times New Roman" w:hAnsi="Times New Roman" w:cs="Times New Roman"/>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w:t>
                  </w:r>
                </w:p>
              </w:tc>
              <w:tc>
                <w:tcPr>
                  <w:tcW w:w="1323" w:type="dxa"/>
                  <w:vAlign w:val="center"/>
                </w:tcPr>
                <w:p>
                  <w:pPr>
                    <w:pStyle w:val="38"/>
                    <w:widowControl w:val="0"/>
                    <w:rPr>
                      <w:rFonts w:hint="eastAsia" w:ascii="Times New Roman" w:hAnsi="Times New Roman" w:eastAsia="宋体" w:cs="Times New Roman"/>
                      <w:color w:val="000000" w:themeColor="text1"/>
                      <w:highlight w:val="none"/>
                      <w:u w:val="none"/>
                      <w:lang w:val="en-US" w:eastAsia="zh-CN"/>
                      <w14:textFill>
                        <w14:solidFill>
                          <w14:schemeClr w14:val="tx1"/>
                        </w14:solidFill>
                      </w14:textFill>
                    </w:rPr>
                  </w:pPr>
                  <w:r>
                    <w:rPr>
                      <w:rFonts w:hint="eastAsia" w:ascii="Times New Roman" w:hAnsi="Times New Roman" w:cs="Times New Roman"/>
                      <w:color w:val="000000" w:themeColor="text1"/>
                      <w:highlight w:val="none"/>
                      <w:u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COD（</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lang w:val="en-US" w:eastAsia="zh-CN"/>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9</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15</w:t>
                  </w:r>
                </w:p>
              </w:tc>
              <w:tc>
                <w:tcPr>
                  <w:tcW w:w="1323" w:type="dxa"/>
                  <w:vAlign w:val="center"/>
                </w:tcPr>
                <w:p>
                  <w:pPr>
                    <w:pStyle w:val="38"/>
                    <w:widowControl w:val="0"/>
                    <w:rPr>
                      <w:rFonts w:hint="eastAsia"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pH（无量纲）</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7.2</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6-9</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溶解氧（</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lang w:val="en-US" w:eastAsia="zh-CN"/>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8.8</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default" w:ascii="Arial" w:hAnsi="Arial" w:cs="Arial"/>
                      <w:color w:val="000000" w:themeColor="text1"/>
                      <w:highlight w:val="none"/>
                      <w:u w:val="none"/>
                      <w:lang w:val="en-US" w:eastAsia="zh-CN"/>
                      <w14:textFill>
                        <w14:solidFill>
                          <w14:schemeClr w14:val="tx1"/>
                        </w14:solidFill>
                      </w14:textFill>
                    </w:rPr>
                    <w:t>≥</w:t>
                  </w:r>
                  <w:r>
                    <w:rPr>
                      <w:rFonts w:hint="eastAsia" w:ascii="Arial" w:hAnsi="Arial" w:cs="Arial"/>
                      <w:color w:val="000000" w:themeColor="text1"/>
                      <w:highlight w:val="none"/>
                      <w:u w:val="none"/>
                      <w:lang w:val="en-US" w:eastAsia="zh-CN"/>
                      <w14:textFill>
                        <w14:solidFill>
                          <w14:schemeClr w14:val="tx1"/>
                        </w14:solidFill>
                      </w14:textFill>
                    </w:rPr>
                    <w:t xml:space="preserve"> </w:t>
                  </w:r>
                  <w:r>
                    <w:rPr>
                      <w:rFonts w:hint="eastAsia"/>
                      <w:color w:val="000000" w:themeColor="text1"/>
                      <w:highlight w:val="none"/>
                      <w:u w:val="none"/>
                      <w:lang w:val="en-US" w:eastAsia="zh-CN"/>
                      <w14:textFill>
                        <w14:solidFill>
                          <w14:schemeClr w14:val="tx1"/>
                        </w14:solidFill>
                      </w14:textFill>
                    </w:rPr>
                    <w:t>6</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硫酸盐（</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lang w:val="en-US" w:eastAsia="zh-CN"/>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5.42</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250</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粪大肠菌群（MPN/L）</w:t>
                  </w:r>
                </w:p>
              </w:tc>
              <w:tc>
                <w:tcPr>
                  <w:tcW w:w="1615" w:type="dxa"/>
                  <w:vAlign w:val="center"/>
                </w:tcPr>
                <w:p>
                  <w:pPr>
                    <w:pStyle w:val="38"/>
                    <w:widowControl w:val="0"/>
                    <w:rPr>
                      <w:rFonts w:hint="default"/>
                      <w:color w:val="000000" w:themeColor="text1"/>
                      <w:highlight w:val="none"/>
                      <w:u w:val="none"/>
                      <w:vertAlign w:val="superscript"/>
                      <w:lang w:val="en-US" w:eastAsia="zh-CN"/>
                      <w14:textFill>
                        <w14:solidFill>
                          <w14:schemeClr w14:val="tx1"/>
                        </w14:solidFill>
                      </w14:textFill>
                    </w:rPr>
                  </w:pPr>
                  <w:r>
                    <w:rPr>
                      <w:rFonts w:hint="eastAsia"/>
                      <w:color w:val="000000" w:themeColor="text1"/>
                      <w:sz w:val="21"/>
                      <w:szCs w:val="21"/>
                      <w:highlight w:val="none"/>
                      <w:u w:val="none"/>
                      <w:vertAlign w:val="baseline"/>
                      <w:lang w:val="en-US" w:eastAsia="zh-CN"/>
                      <w14:textFill>
                        <w14:solidFill>
                          <w14:schemeClr w14:val="tx1"/>
                        </w14:solidFill>
                      </w14:textFill>
                    </w:rPr>
                    <w:t>未检出</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2000</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氯化物（</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lang w:val="en-US" w:eastAsia="zh-CN"/>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1.12</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250</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氨氮（</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lang w:val="en-US" w:eastAsia="zh-CN"/>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0.1</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0.5</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总氮（</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lang w:val="en-US" w:eastAsia="zh-CN"/>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0.59</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0.5</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总磷（</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lang w:val="en-US" w:eastAsia="zh-CN"/>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0.02</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0.025</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高锰酸盐指数（</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lang w:val="en-US" w:eastAsia="zh-CN"/>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1.90</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4</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eastAsia"/>
                      <w:color w:val="000000" w:themeColor="text1"/>
                      <w:highlight w:val="none"/>
                      <w:u w:val="none"/>
                      <w:lang w:val="en-US" w:eastAsia="zh-CN"/>
                      <w14:textFill>
                        <w14:solidFill>
                          <w14:schemeClr w14:val="tx1"/>
                        </w14:solidFill>
                      </w14:textFill>
                    </w:rPr>
                  </w:pPr>
                  <w:r>
                    <w:rPr>
                      <w:rFonts w:hint="eastAsia"/>
                      <w:color w:val="000000" w:themeColor="text1"/>
                      <w:highlight w:val="none"/>
                      <w:u w:val="none"/>
                      <w14:textFill>
                        <w14:solidFill>
                          <w14:schemeClr w14:val="tx1"/>
                        </w14:solidFill>
                      </w14:textFill>
                    </w:rPr>
                    <w:t>五日生化需氧量（mg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0.5</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default" w:ascii="Arial" w:hAnsi="Arial" w:cs="Arial"/>
                      <w:color w:val="000000" w:themeColor="text1"/>
                      <w:highlight w:val="none"/>
                      <w:u w:val="none"/>
                      <w:lang w:val="en-US" w:eastAsia="zh-CN"/>
                      <w14:textFill>
                        <w14:solidFill>
                          <w14:schemeClr w14:val="tx1"/>
                        </w14:solidFill>
                      </w14:textFill>
                    </w:rPr>
                    <w:t>≤</w:t>
                  </w:r>
                  <w:r>
                    <w:rPr>
                      <w:rFonts w:hint="eastAsia"/>
                      <w:color w:val="000000" w:themeColor="text1"/>
                      <w:highlight w:val="none"/>
                      <w:u w:val="none"/>
                      <w:lang w:val="en-US" w:eastAsia="zh-CN"/>
                      <w14:textFill>
                        <w14:solidFill>
                          <w14:schemeClr w14:val="tx1"/>
                        </w14:solidFill>
                      </w14:textFill>
                    </w:rPr>
                    <w:t>3</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eastAsia"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氰化物</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0.002</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0.05</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挥发酚</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0.002</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0.002</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石油类</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0.04</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0.05</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阴离子表面活性剂</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0.05</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0.2</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硫化物</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0.04</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0.1</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氟化物</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0.114</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1.0</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硝酸盐</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0.419</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10</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六价铬</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0.004</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0.05</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铁</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0.0692</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0.3</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锰</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0.0922</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0.1</w:t>
                  </w:r>
                </w:p>
              </w:tc>
              <w:tc>
                <w:tcPr>
                  <w:tcW w:w="132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铜</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0.00032</w:t>
                  </w:r>
                </w:p>
              </w:tc>
              <w:tc>
                <w:tcPr>
                  <w:tcW w:w="2567" w:type="dxa"/>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1.0</w:t>
                  </w:r>
                </w:p>
              </w:tc>
              <w:tc>
                <w:tcPr>
                  <w:tcW w:w="1323" w:type="dxa"/>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锌</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0.00268</w:t>
                  </w:r>
                </w:p>
              </w:tc>
              <w:tc>
                <w:tcPr>
                  <w:tcW w:w="2567" w:type="dxa"/>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1.0</w:t>
                  </w:r>
                </w:p>
              </w:tc>
              <w:tc>
                <w:tcPr>
                  <w:tcW w:w="1323" w:type="dxa"/>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eastAsia"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硒</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0.00164</w:t>
                  </w:r>
                </w:p>
              </w:tc>
              <w:tc>
                <w:tcPr>
                  <w:tcW w:w="2567" w:type="dxa"/>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0.01</w:t>
                  </w:r>
                </w:p>
              </w:tc>
              <w:tc>
                <w:tcPr>
                  <w:tcW w:w="1323" w:type="dxa"/>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砷</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0.00048</w:t>
                  </w:r>
                </w:p>
              </w:tc>
              <w:tc>
                <w:tcPr>
                  <w:tcW w:w="2567" w:type="dxa"/>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0.05</w:t>
                  </w:r>
                </w:p>
              </w:tc>
              <w:tc>
                <w:tcPr>
                  <w:tcW w:w="1323" w:type="dxa"/>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汞</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0.00004</w:t>
                  </w:r>
                </w:p>
              </w:tc>
              <w:tc>
                <w:tcPr>
                  <w:tcW w:w="2567" w:type="dxa"/>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0.00005</w:t>
                  </w:r>
                </w:p>
              </w:tc>
              <w:tc>
                <w:tcPr>
                  <w:tcW w:w="1323" w:type="dxa"/>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镉</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0.00020</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0.005</w:t>
                  </w:r>
                </w:p>
              </w:tc>
              <w:tc>
                <w:tcPr>
                  <w:tcW w:w="1323" w:type="dxa"/>
                </w:tcPr>
                <w:p>
                  <w:pPr>
                    <w:pStyle w:val="38"/>
                    <w:widowControl w:val="0"/>
                    <w:rPr>
                      <w:rFonts w:hint="eastAsia"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u w:val="none"/>
                      <w14:textFill>
                        <w14:solidFill>
                          <w14:schemeClr w14:val="tx1"/>
                        </w14:solidFill>
                      </w14:textFill>
                    </w:rPr>
                  </w:pPr>
                </w:p>
              </w:tc>
              <w:tc>
                <w:tcPr>
                  <w:tcW w:w="2843"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铅</w:t>
                  </w:r>
                  <w:r>
                    <w:rPr>
                      <w:rFonts w:hint="eastAsia"/>
                      <w:color w:val="000000" w:themeColor="text1"/>
                      <w:highlight w:val="none"/>
                      <w:u w:val="none"/>
                      <w14:textFill>
                        <w14:solidFill>
                          <w14:schemeClr w14:val="tx1"/>
                        </w14:solidFill>
                      </w14:textFill>
                    </w:rPr>
                    <w:t>（mg</w:t>
                  </w:r>
                  <w:r>
                    <w:rPr>
                      <w:color w:val="000000" w:themeColor="text1"/>
                      <w:highlight w:val="none"/>
                      <w:u w:val="none"/>
                      <w14:textFill>
                        <w14:solidFill>
                          <w14:schemeClr w14:val="tx1"/>
                        </w14:solidFill>
                      </w14:textFill>
                    </w:rPr>
                    <w:t>/L</w:t>
                  </w:r>
                  <w:r>
                    <w:rPr>
                      <w:rFonts w:hint="eastAsia"/>
                      <w:color w:val="000000" w:themeColor="text1"/>
                      <w:highlight w:val="none"/>
                      <w:u w:val="none"/>
                      <w14:textFill>
                        <w14:solidFill>
                          <w14:schemeClr w14:val="tx1"/>
                        </w14:solidFill>
                      </w14:textFill>
                    </w:rPr>
                    <w:t>）</w:t>
                  </w:r>
                </w:p>
              </w:tc>
              <w:tc>
                <w:tcPr>
                  <w:tcW w:w="1615"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0.00036</w:t>
                  </w:r>
                </w:p>
              </w:tc>
              <w:tc>
                <w:tcPr>
                  <w:tcW w:w="2567" w:type="dxa"/>
                  <w:vAlign w:val="center"/>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0.01</w:t>
                  </w:r>
                </w:p>
              </w:tc>
              <w:tc>
                <w:tcPr>
                  <w:tcW w:w="1323" w:type="dxa"/>
                </w:tcPr>
                <w:p>
                  <w:pPr>
                    <w:pStyle w:val="38"/>
                    <w:widowControl w:val="0"/>
                    <w:rPr>
                      <w:rFonts w:hint="default"/>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是</w:t>
                  </w:r>
                </w:p>
              </w:tc>
            </w:tr>
          </w:tbl>
          <w:p>
            <w:pPr>
              <w:pStyle w:val="5"/>
              <w:widowControl w:val="0"/>
              <w:ind w:firstLine="480"/>
              <w:rPr>
                <w:rFonts w:hint="eastAsia" w:cs="Times New Roman"/>
                <w:color w:val="000000" w:themeColor="text1"/>
                <w:highlight w:val="none"/>
                <w14:textFill>
                  <w14:solidFill>
                    <w14:schemeClr w14:val="tx1"/>
                  </w14:solidFill>
                </w14:textFill>
              </w:rPr>
            </w:pPr>
            <w:r>
              <w:rPr>
                <w:rFonts w:hint="eastAsia"/>
                <w:color w:val="000000" w:themeColor="text1"/>
                <w:highlight w:val="none"/>
                <w:u w:val="single"/>
                <w14:textFill>
                  <w14:solidFill>
                    <w14:schemeClr w14:val="tx1"/>
                  </w14:solidFill>
                </w14:textFill>
              </w:rPr>
              <w:t>由上表可知，</w:t>
            </w:r>
            <w:r>
              <w:rPr>
                <w:rFonts w:hint="eastAsia" w:cs="Times New Roman"/>
                <w:color w:val="000000" w:themeColor="text1"/>
                <w:highlight w:val="none"/>
                <w:u w:val="single"/>
                <w:lang w:val="en-US" w:bidi="zh-CN"/>
                <w14:textFill>
                  <w14:solidFill>
                    <w14:schemeClr w14:val="tx1"/>
                  </w14:solidFill>
                </w14:textFill>
              </w:rPr>
              <w:t>木形水库水质除总氮因子，其余</w:t>
            </w:r>
            <w:r>
              <w:rPr>
                <w:rFonts w:hint="eastAsia"/>
                <w:color w:val="000000" w:themeColor="text1"/>
                <w:highlight w:val="none"/>
                <w:u w:val="single"/>
                <w14:textFill>
                  <w14:solidFill>
                    <w14:schemeClr w14:val="tx1"/>
                  </w14:solidFill>
                </w14:textFill>
              </w:rPr>
              <w:t>各项监测因子均</w:t>
            </w:r>
            <w:r>
              <w:rPr>
                <w:rFonts w:hint="eastAsia"/>
                <w:color w:val="000000" w:themeColor="text1"/>
                <w:highlight w:val="none"/>
                <w:u w:val="single"/>
                <w:lang w:val="en-US" w:eastAsia="zh-CN"/>
                <w14:textFill>
                  <w14:solidFill>
                    <w14:schemeClr w14:val="tx1"/>
                  </w14:solidFill>
                </w14:textFill>
              </w:rPr>
              <w:t>可以达到</w:t>
            </w:r>
            <w:r>
              <w:rPr>
                <w:rFonts w:hint="eastAsia"/>
                <w:color w:val="000000" w:themeColor="text1"/>
                <w:highlight w:val="none"/>
                <w:u w:val="single"/>
                <w14:textFill>
                  <w14:solidFill>
                    <w14:schemeClr w14:val="tx1"/>
                  </w14:solidFill>
                </w14:textFill>
              </w:rPr>
              <w:t>《地表水环境质量标准》（GB3838-2</w:t>
            </w:r>
            <w:r>
              <w:rPr>
                <w:rFonts w:hint="default" w:ascii="Times New Roman" w:hAnsi="Times New Roman" w:cs="Times New Roman"/>
                <w:color w:val="000000" w:themeColor="text1"/>
                <w:highlight w:val="none"/>
                <w:u w:val="single"/>
                <w14:textFill>
                  <w14:solidFill>
                    <w14:schemeClr w14:val="tx1"/>
                  </w14:solidFill>
                </w14:textFill>
              </w:rPr>
              <w:t>002）中</w:t>
            </w:r>
            <w:r>
              <w:rPr>
                <w:rFonts w:hint="default" w:ascii="Times New Roman" w:hAnsi="Times New Roman" w:eastAsia="宋体" w:cs="Times New Roman"/>
                <w:color w:val="000000" w:themeColor="text1"/>
                <w:highlight w:val="none"/>
                <w:u w:val="single"/>
                <w14:textFill>
                  <w14:solidFill>
                    <w14:schemeClr w14:val="tx1"/>
                  </w14:solidFill>
                </w14:textFill>
              </w:rPr>
              <w:t>Ⅱ</w:t>
            </w:r>
            <w:r>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t>类</w:t>
            </w:r>
            <w:r>
              <w:rPr>
                <w:rFonts w:hint="default" w:ascii="Times New Roman" w:hAnsi="Times New Roman" w:cs="Times New Roman"/>
                <w:color w:val="000000" w:themeColor="text1"/>
                <w:highlight w:val="none"/>
                <w:u w:val="single"/>
                <w:lang w:val="en-US" w:eastAsia="zh-CN"/>
                <w14:textFill>
                  <w14:solidFill>
                    <w14:schemeClr w14:val="tx1"/>
                  </w14:solidFill>
                </w14:textFill>
              </w:rPr>
              <w:t>要求</w:t>
            </w:r>
            <w:r>
              <w:rPr>
                <w:rFonts w:hint="eastAsia"/>
                <w:color w:val="000000" w:themeColor="text1"/>
                <w:highlight w:val="none"/>
                <w:u w:val="single"/>
                <w14:textFill>
                  <w14:solidFill>
                    <w14:schemeClr w14:val="tx1"/>
                  </w14:solidFill>
                </w14:textFill>
              </w:rPr>
              <w:t>。</w:t>
            </w:r>
            <w:r>
              <w:rPr>
                <w:rFonts w:hint="eastAsia"/>
                <w:color w:val="000000" w:themeColor="text1"/>
                <w:highlight w:val="none"/>
                <w:u w:val="single"/>
                <w:lang w:val="en-US" w:eastAsia="zh-CN"/>
                <w14:textFill>
                  <w14:solidFill>
                    <w14:schemeClr w14:val="tx1"/>
                  </w14:solidFill>
                </w14:textFill>
              </w:rPr>
              <w:t>根据地表水环境质量评价办法，地表水水质评价指标为：《地表水环境质量标准》（GB3838-2002）表 1 中除水温、总氮、粪大肠菌群以外的 21 项指标，故不对总氮因子进行评价。</w:t>
            </w:r>
          </w:p>
          <w:p>
            <w:pPr>
              <w:pStyle w:val="5"/>
              <w:widowControl w:val="0"/>
              <w:ind w:firstLine="480"/>
              <w:rPr>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为了解本项目所在区域水环境质量现状情况，</w:t>
            </w:r>
            <w:r>
              <w:rPr>
                <w:rFonts w:hint="eastAsia" w:cs="Times New Roman"/>
                <w:color w:val="000000" w:themeColor="text1"/>
                <w:highlight w:val="none"/>
                <w:lang w:bidi="zh-CN"/>
                <w14:textFill>
                  <w14:solidFill>
                    <w14:schemeClr w14:val="tx1"/>
                  </w14:solidFill>
                </w14:textFill>
              </w:rPr>
              <w:t>本环评引用《湖南省临湘市忠防镇木形水库新建工程项目环境影响报告书》</w:t>
            </w:r>
            <w:r>
              <w:rPr>
                <w:rFonts w:hint="eastAsia" w:cs="Times New Roman"/>
                <w:color w:val="000000" w:themeColor="text1"/>
                <w:highlight w:val="none"/>
                <w:lang w:val="en-US" w:bidi="zh-CN"/>
                <w14:textFill>
                  <w14:solidFill>
                    <w14:schemeClr w14:val="tx1"/>
                  </w14:solidFill>
                </w14:textFill>
              </w:rPr>
              <w:t>中湖南精科检测有限公司于 2022 年 4 月 23-25 日对木形水库大坝下游1000m 断面的监测数据</w:t>
            </w:r>
            <w:r>
              <w:rPr>
                <w:rFonts w:hint="eastAsia" w:cs="Times New Roman"/>
                <w:color w:val="000000" w:themeColor="text1"/>
                <w:highlight w:val="none"/>
                <w14:textFill>
                  <w14:solidFill>
                    <w14:schemeClr w14:val="tx1"/>
                  </w14:solidFill>
                </w14:textFill>
              </w:rPr>
              <w:t>。具体监测结果见下表：</w:t>
            </w:r>
          </w:p>
          <w:p>
            <w:pPr>
              <w:pStyle w:val="5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地表水检测结果</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2852"/>
              <w:gridCol w:w="1378"/>
              <w:gridCol w:w="1324"/>
              <w:gridCol w:w="1256"/>
              <w:gridCol w:w="960"/>
              <w:gridCol w:w="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680" w:type="dxa"/>
                  <w:vMerge w:val="restart"/>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检测点位</w:t>
                  </w:r>
                </w:p>
              </w:tc>
              <w:tc>
                <w:tcPr>
                  <w:tcW w:w="2852" w:type="dxa"/>
                  <w:vMerge w:val="restart"/>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检测项目</w:t>
                  </w:r>
                </w:p>
              </w:tc>
              <w:tc>
                <w:tcPr>
                  <w:tcW w:w="3958" w:type="dxa"/>
                  <w:gridSpan w:val="3"/>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检测结果</w:t>
                  </w:r>
                </w:p>
              </w:tc>
              <w:tc>
                <w:tcPr>
                  <w:tcW w:w="960" w:type="dxa"/>
                  <w:vMerge w:val="restart"/>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参考限值</w:t>
                  </w:r>
                </w:p>
              </w:tc>
              <w:tc>
                <w:tcPr>
                  <w:tcW w:w="702" w:type="dxa"/>
                  <w:vMerge w:val="restart"/>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rFonts w:hint="default" w:eastAsia="宋体"/>
                      <w:color w:val="000000" w:themeColor="text1"/>
                      <w:highlight w:val="none"/>
                      <w:lang w:val="en-US" w:eastAsia="zh-CN"/>
                      <w14:textFill>
                        <w14:solidFill>
                          <w14:schemeClr w14:val="tx1"/>
                        </w14:solidFill>
                      </w14:textFill>
                    </w:rPr>
                  </w:pPr>
                </w:p>
              </w:tc>
              <w:tc>
                <w:tcPr>
                  <w:tcW w:w="2852" w:type="dxa"/>
                  <w:vMerge w:val="continue"/>
                  <w:vAlign w:val="center"/>
                </w:tcPr>
                <w:p>
                  <w:pPr>
                    <w:pStyle w:val="38"/>
                    <w:widowControl w:val="0"/>
                    <w:rPr>
                      <w:color w:val="000000" w:themeColor="text1"/>
                      <w:highlight w:val="none"/>
                      <w14:textFill>
                        <w14:solidFill>
                          <w14:schemeClr w14:val="tx1"/>
                        </w14:solidFill>
                      </w14:textFill>
                    </w:rPr>
                  </w:pP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2022.4.23</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2022.4.24</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2022.4.25</w:t>
                  </w:r>
                </w:p>
              </w:tc>
              <w:tc>
                <w:tcPr>
                  <w:tcW w:w="960" w:type="dxa"/>
                  <w:vMerge w:val="continue"/>
                  <w:vAlign w:val="center"/>
                </w:tcPr>
                <w:p>
                  <w:pPr>
                    <w:pStyle w:val="38"/>
                    <w:widowControl w:val="0"/>
                    <w:rPr>
                      <w:color w:val="000000" w:themeColor="text1"/>
                      <w:highlight w:val="none"/>
                      <w14:textFill>
                        <w14:solidFill>
                          <w14:schemeClr w14:val="tx1"/>
                        </w14:solidFill>
                      </w14:textFill>
                    </w:rPr>
                  </w:pPr>
                </w:p>
              </w:tc>
              <w:tc>
                <w:tcPr>
                  <w:tcW w:w="702" w:type="dxa"/>
                  <w:vMerge w:val="continue"/>
                  <w:vAlign w:val="center"/>
                </w:tcPr>
                <w:p>
                  <w:pPr>
                    <w:pStyle w:val="38"/>
                    <w:widowControl w:val="0"/>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restart"/>
                  <w:vAlign w:val="center"/>
                </w:tcPr>
                <w:p>
                  <w:pPr>
                    <w:pStyle w:val="38"/>
                    <w:widowControl w:val="0"/>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木形水库大坝下游1000m处</w:t>
                  </w:r>
                </w:p>
              </w:tc>
              <w:tc>
                <w:tcPr>
                  <w:tcW w:w="2852" w:type="dxa"/>
                  <w:vAlign w:val="center"/>
                </w:tcPr>
                <w:p>
                  <w:pPr>
                    <w:pStyle w:val="38"/>
                    <w:widowControl w:val="0"/>
                    <w:rPr>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水温（</w:t>
                  </w: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18.5</w:t>
                  </w:r>
                </w:p>
              </w:tc>
              <w:tc>
                <w:tcPr>
                  <w:tcW w:w="1324" w:type="dxa"/>
                  <w:vAlign w:val="center"/>
                </w:tcPr>
                <w:p>
                  <w:pPr>
                    <w:pStyle w:val="38"/>
                    <w:widowControl w:val="0"/>
                    <w:rPr>
                      <w:rFonts w:hint="default"/>
                      <w:color w:val="000000" w:themeColor="text1"/>
                      <w:highlight w:val="none"/>
                      <w:lang w:val="en-US" w:bidi="zh-CN"/>
                      <w14:textFill>
                        <w14:solidFill>
                          <w14:schemeClr w14:val="tx1"/>
                        </w14:solidFill>
                      </w14:textFill>
                    </w:rPr>
                  </w:pPr>
                  <w:r>
                    <w:rPr>
                      <w:rFonts w:hint="eastAsia"/>
                      <w:color w:val="000000" w:themeColor="text1"/>
                      <w:highlight w:val="none"/>
                      <w:lang w:val="en-US" w:bidi="zh-CN"/>
                      <w14:textFill>
                        <w14:solidFill>
                          <w14:schemeClr w14:val="tx1"/>
                        </w14:solidFill>
                      </w14:textFill>
                    </w:rPr>
                    <w:t>18.9</w:t>
                  </w:r>
                </w:p>
              </w:tc>
              <w:tc>
                <w:tcPr>
                  <w:tcW w:w="1256" w:type="dxa"/>
                  <w:vAlign w:val="center"/>
                </w:tcPr>
                <w:p>
                  <w:pPr>
                    <w:pStyle w:val="38"/>
                    <w:widowControl w:val="0"/>
                    <w:rPr>
                      <w:rFonts w:hint="default"/>
                      <w:color w:val="000000" w:themeColor="text1"/>
                      <w:highlight w:val="none"/>
                      <w:lang w:val="en-US" w:bidi="zh-CN"/>
                      <w14:textFill>
                        <w14:solidFill>
                          <w14:schemeClr w14:val="tx1"/>
                        </w14:solidFill>
                      </w14:textFill>
                    </w:rPr>
                  </w:pPr>
                  <w:r>
                    <w:rPr>
                      <w:rFonts w:hint="eastAsia"/>
                      <w:color w:val="000000" w:themeColor="text1"/>
                      <w:highlight w:val="none"/>
                      <w:lang w:val="en-US" w:bidi="zh-CN"/>
                      <w14:textFill>
                        <w14:solidFill>
                          <w14:schemeClr w14:val="tx1"/>
                        </w14:solidFill>
                      </w14:textFill>
                    </w:rPr>
                    <w:t>19.3</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叶绿素a（</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lang w:val="en-US" w:eastAsia="zh-CN"/>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w:t>
                  </w:r>
                </w:p>
              </w:tc>
              <w:tc>
                <w:tcPr>
                  <w:tcW w:w="1324" w:type="dxa"/>
                  <w:vAlign w:val="center"/>
                </w:tcPr>
                <w:p>
                  <w:pPr>
                    <w:pStyle w:val="38"/>
                    <w:widowControl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w:t>
                  </w:r>
                </w:p>
              </w:tc>
              <w:tc>
                <w:tcPr>
                  <w:tcW w:w="1256" w:type="dxa"/>
                  <w:vAlign w:val="center"/>
                </w:tcPr>
                <w:p>
                  <w:pPr>
                    <w:pStyle w:val="38"/>
                    <w:widowControl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COD（</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lang w:val="en-US" w:eastAsia="zh-CN"/>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13</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15</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12</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pH（无量纲）</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7.04</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7.12</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7.06</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6-9</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溶解氧（</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lang w:val="en-US" w:eastAsia="zh-CN"/>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7.17</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7.05</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7.09</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硫酸盐（</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lang w:val="en-US" w:eastAsia="zh-CN"/>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6.16</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6.09</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6.19</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250</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粪大肠菌群（MPN/L）</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1.3</w:t>
                  </w:r>
                  <w:r>
                    <w:rPr>
                      <w:rFonts w:hint="default" w:ascii="Arial" w:hAnsi="Arial" w:cs="Arial"/>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10</w:t>
                  </w:r>
                  <w:r>
                    <w:rPr>
                      <w:rFonts w:hint="eastAsia"/>
                      <w:color w:val="000000" w:themeColor="text1"/>
                      <w:highlight w:val="none"/>
                      <w:vertAlign w:val="superscript"/>
                      <w:lang w:val="en-US" w:eastAsia="zh-CN"/>
                      <w14:textFill>
                        <w14:solidFill>
                          <w14:schemeClr w14:val="tx1"/>
                        </w14:solidFill>
                      </w14:textFill>
                    </w:rPr>
                    <w:t>3</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1.7</w:t>
                  </w:r>
                  <w:r>
                    <w:rPr>
                      <w:rFonts w:hint="default" w:ascii="Arial" w:hAnsi="Arial" w:cs="Arial"/>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10</w:t>
                  </w:r>
                  <w:r>
                    <w:rPr>
                      <w:rFonts w:hint="eastAsia"/>
                      <w:color w:val="000000" w:themeColor="text1"/>
                      <w:highlight w:val="none"/>
                      <w:vertAlign w:val="superscript"/>
                      <w:lang w:val="en-US" w:eastAsia="zh-CN"/>
                      <w14:textFill>
                        <w14:solidFill>
                          <w14:schemeClr w14:val="tx1"/>
                        </w14:solidFill>
                      </w14:textFill>
                    </w:rPr>
                    <w:t>3</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1.5</w:t>
                  </w:r>
                  <w:r>
                    <w:rPr>
                      <w:rFonts w:hint="default" w:ascii="Arial" w:hAnsi="Arial" w:cs="Arial"/>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10</w:t>
                  </w:r>
                  <w:r>
                    <w:rPr>
                      <w:rFonts w:hint="eastAsia"/>
                      <w:color w:val="000000" w:themeColor="text1"/>
                      <w:highlight w:val="none"/>
                      <w:vertAlign w:val="superscript"/>
                      <w:lang w:val="en-US" w:eastAsia="zh-CN"/>
                      <w14:textFill>
                        <w14:solidFill>
                          <w14:schemeClr w14:val="tx1"/>
                        </w14:solidFill>
                      </w14:textFill>
                    </w:rPr>
                    <w:t>3</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10000</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氯化物（</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lang w:val="en-US" w:eastAsia="zh-CN"/>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1.99</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1.99</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1.92</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250</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氨氮（</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lang w:val="en-US" w:eastAsia="zh-CN"/>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0.122</w:t>
                  </w:r>
                </w:p>
              </w:tc>
              <w:tc>
                <w:tcPr>
                  <w:tcW w:w="1324" w:type="dxa"/>
                  <w:vAlign w:val="center"/>
                </w:tcPr>
                <w:p>
                  <w:pPr>
                    <w:pStyle w:val="38"/>
                    <w:widowControl w:val="0"/>
                    <w:rPr>
                      <w:rFonts w:hint="default"/>
                      <w:color w:val="000000" w:themeColor="text1"/>
                      <w:highlight w:val="none"/>
                      <w:lang w:val="en-US" w:bidi="zh-CN"/>
                      <w14:textFill>
                        <w14:solidFill>
                          <w14:schemeClr w14:val="tx1"/>
                        </w14:solidFill>
                      </w14:textFill>
                    </w:rPr>
                  </w:pPr>
                  <w:r>
                    <w:rPr>
                      <w:rFonts w:hint="eastAsia"/>
                      <w:color w:val="000000" w:themeColor="text1"/>
                      <w:highlight w:val="none"/>
                      <w:lang w:val="en-US" w:bidi="zh-CN"/>
                      <w14:textFill>
                        <w14:solidFill>
                          <w14:schemeClr w14:val="tx1"/>
                        </w14:solidFill>
                      </w14:textFill>
                    </w:rPr>
                    <w:t>0.148</w:t>
                  </w:r>
                </w:p>
              </w:tc>
              <w:tc>
                <w:tcPr>
                  <w:tcW w:w="1256" w:type="dxa"/>
                  <w:vAlign w:val="center"/>
                </w:tcPr>
                <w:p>
                  <w:pPr>
                    <w:pStyle w:val="38"/>
                    <w:widowControl w:val="0"/>
                    <w:rPr>
                      <w:rFonts w:hint="default"/>
                      <w:color w:val="000000" w:themeColor="text1"/>
                      <w:highlight w:val="none"/>
                      <w:lang w:val="en-US" w:bidi="zh-CN"/>
                      <w14:textFill>
                        <w14:solidFill>
                          <w14:schemeClr w14:val="tx1"/>
                        </w14:solidFill>
                      </w14:textFill>
                    </w:rPr>
                  </w:pPr>
                  <w:r>
                    <w:rPr>
                      <w:rFonts w:hint="eastAsia"/>
                      <w:color w:val="000000" w:themeColor="text1"/>
                      <w:highlight w:val="none"/>
                      <w:lang w:val="en-US" w:bidi="zh-CN"/>
                      <w14:textFill>
                        <w14:solidFill>
                          <w14:schemeClr w14:val="tx1"/>
                        </w14:solidFill>
                      </w14:textFill>
                    </w:rPr>
                    <w:t>0.106</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总氮（</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lang w:val="en-US" w:eastAsia="zh-CN"/>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0.92</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0.97</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0.94</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总磷（</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lang w:val="en-US" w:eastAsia="zh-CN"/>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0.08</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0.08</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0.07</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高锰酸盐指数（</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lang w:val="en-US" w:eastAsia="zh-CN"/>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1.9</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2.4</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2.1</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6</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五日生化需氧量（mg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2.9</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3.2</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2.6</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氰化物</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0.001L</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0.001L</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0.001L</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挥发酚</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0.0003L</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0.0003L</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0.0003L</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0.005</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石油类</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0.03</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0.02</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0.03</w:t>
                  </w:r>
                </w:p>
              </w:tc>
              <w:tc>
                <w:tcPr>
                  <w:tcW w:w="960"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0.05</w:t>
                  </w:r>
                </w:p>
              </w:tc>
              <w:tc>
                <w:tcPr>
                  <w:tcW w:w="70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阴离子表面活性剂</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0.05L</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0.05L</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0.05L</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w:t>
                  </w:r>
                </w:p>
              </w:tc>
              <w:tc>
                <w:tcPr>
                  <w:tcW w:w="70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硫化物</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0.01L</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0.01L</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0.01L</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w:t>
                  </w:r>
                </w:p>
              </w:tc>
              <w:tc>
                <w:tcPr>
                  <w:tcW w:w="70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氟化物</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0.142</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0.126</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0.158</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70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硝酸盐</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1.58</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1.64</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1.65</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70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六价铬</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0.004L</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0.004L</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0.004L</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0.05</w:t>
                  </w:r>
                </w:p>
              </w:tc>
              <w:tc>
                <w:tcPr>
                  <w:tcW w:w="70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铁</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0.22</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0.22</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0.16</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0.3</w:t>
                  </w:r>
                </w:p>
              </w:tc>
              <w:tc>
                <w:tcPr>
                  <w:tcW w:w="70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锰</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0.0162</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0.0165</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0.0169</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w:t>
                  </w:r>
                </w:p>
              </w:tc>
              <w:tc>
                <w:tcPr>
                  <w:tcW w:w="70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铜</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0.00448</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0.00482</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0.00407</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702" w:type="dxa"/>
                  <w:vAlign w:val="top"/>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锌</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0.009L</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0.009L</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0.009L</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702" w:type="dxa"/>
                  <w:vAlign w:val="top"/>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硒</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0.004L</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0.004L</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0.004L</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w:t>
                  </w:r>
                </w:p>
              </w:tc>
              <w:tc>
                <w:tcPr>
                  <w:tcW w:w="702" w:type="dxa"/>
                  <w:vAlign w:val="top"/>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砷</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0.00039</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0.00033</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0.00036</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0.05</w:t>
                  </w:r>
                </w:p>
              </w:tc>
              <w:tc>
                <w:tcPr>
                  <w:tcW w:w="702" w:type="dxa"/>
                  <w:vAlign w:val="top"/>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汞</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0.00004L</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0.00004L</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0.00004L</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0.0001</w:t>
                  </w:r>
                </w:p>
              </w:tc>
              <w:tc>
                <w:tcPr>
                  <w:tcW w:w="702" w:type="dxa"/>
                  <w:vAlign w:val="top"/>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镉</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0.00347</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0.00350</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0.00350</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0.005</w:t>
                  </w:r>
                </w:p>
              </w:tc>
              <w:tc>
                <w:tcPr>
                  <w:tcW w:w="702" w:type="dxa"/>
                  <w:vAlign w:val="top"/>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dxa"/>
                  <w:vMerge w:val="continue"/>
                  <w:vAlign w:val="center"/>
                </w:tcPr>
                <w:p>
                  <w:pPr>
                    <w:pStyle w:val="38"/>
                    <w:widowControl w:val="0"/>
                    <w:rPr>
                      <w:color w:val="000000" w:themeColor="text1"/>
                      <w:highlight w:val="none"/>
                      <w14:textFill>
                        <w14:solidFill>
                          <w14:schemeClr w14:val="tx1"/>
                        </w14:solidFill>
                      </w14:textFill>
                    </w:rPr>
                  </w:pPr>
                </w:p>
              </w:tc>
              <w:tc>
                <w:tcPr>
                  <w:tcW w:w="2852" w:type="dxa"/>
                  <w:vAlign w:val="center"/>
                </w:tcPr>
                <w:p>
                  <w:pPr>
                    <w:pStyle w:val="38"/>
                    <w:widowControl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铅</w:t>
                  </w:r>
                  <w:r>
                    <w:rPr>
                      <w:rFonts w:hint="eastAsia"/>
                      <w:color w:val="000000" w:themeColor="text1"/>
                      <w:highlight w:val="none"/>
                      <w14:textFill>
                        <w14:solidFill>
                          <w14:schemeClr w14:val="tx1"/>
                        </w14:solidFill>
                      </w14:textFill>
                    </w:rPr>
                    <w:t>（mg</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p>
              </w:tc>
              <w:tc>
                <w:tcPr>
                  <w:tcW w:w="137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0.0115</w:t>
                  </w:r>
                </w:p>
              </w:tc>
              <w:tc>
                <w:tcPr>
                  <w:tcW w:w="132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0.0116</w:t>
                  </w:r>
                </w:p>
              </w:tc>
              <w:tc>
                <w:tcPr>
                  <w:tcW w:w="1256"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0.0116</w:t>
                  </w:r>
                </w:p>
              </w:tc>
              <w:tc>
                <w:tcPr>
                  <w:tcW w:w="960" w:type="dxa"/>
                  <w:vAlign w:val="center"/>
                </w:tcPr>
                <w:p>
                  <w:pPr>
                    <w:pStyle w:val="38"/>
                    <w:widowControl w:val="0"/>
                    <w:rPr>
                      <w:rFonts w:hint="eastAsia"/>
                      <w:color w:val="000000" w:themeColor="text1"/>
                      <w:highlight w:val="none"/>
                      <w:lang w:bidi="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0.05</w:t>
                  </w:r>
                </w:p>
              </w:tc>
              <w:tc>
                <w:tcPr>
                  <w:tcW w:w="702" w:type="dxa"/>
                  <w:vAlign w:val="top"/>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是</w:t>
                  </w:r>
                </w:p>
              </w:tc>
            </w:tr>
          </w:tbl>
          <w:p>
            <w:pPr>
              <w:pStyle w:val="5"/>
              <w:widowControl w:val="0"/>
              <w:ind w:firstLine="48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14:textFill>
                  <w14:solidFill>
                    <w14:schemeClr w14:val="tx1"/>
                  </w14:solidFill>
                </w14:textFill>
              </w:rPr>
              <w:t>由上表可知，</w:t>
            </w:r>
            <w:r>
              <w:rPr>
                <w:rFonts w:hint="eastAsia"/>
                <w:color w:val="000000" w:themeColor="text1"/>
                <w:highlight w:val="none"/>
                <w:u w:val="single"/>
                <w:lang w:val="en-US" w:eastAsia="zh-CN"/>
                <w14:textFill>
                  <w14:solidFill>
                    <w14:schemeClr w14:val="tx1"/>
                  </w14:solidFill>
                </w14:textFill>
              </w:rPr>
              <w:t>木形水库</w:t>
            </w:r>
            <w:r>
              <w:rPr>
                <w:rFonts w:hint="default" w:ascii="Times New Roman" w:hAnsi="Times New Roman" w:cs="Times New Roman"/>
                <w:color w:val="000000" w:themeColor="text1"/>
                <w:highlight w:val="none"/>
                <w:u w:val="single"/>
                <w:lang w:val="en-US" w:bidi="zh-CN"/>
                <w14:textFill>
                  <w14:solidFill>
                    <w14:schemeClr w14:val="tx1"/>
                  </w14:solidFill>
                </w14:textFill>
              </w:rPr>
              <w:t xml:space="preserve">大坝下游1000m </w:t>
            </w:r>
            <w:r>
              <w:rPr>
                <w:rFonts w:hint="default" w:ascii="Times New Roman" w:hAnsi="Times New Roman" w:cs="Times New Roman"/>
                <w:color w:val="000000" w:themeColor="text1"/>
                <w:highlight w:val="none"/>
                <w:u w:val="single"/>
                <w14:textFill>
                  <w14:solidFill>
                    <w14:schemeClr w14:val="tx1"/>
                  </w14:solidFill>
                </w14:textFill>
              </w:rPr>
              <w:t>监测断面的各项监测因子均达到《地表水环境质量标准》（GB3838-2002）中</w:t>
            </w:r>
            <w:r>
              <w:rPr>
                <w:rFonts w:hint="default" w:ascii="Times New Roman" w:hAnsi="Times New Roman" w:eastAsia="宋体" w:cs="Times New Roman"/>
                <w:color w:val="000000" w:themeColor="text1"/>
                <w:highlight w:val="none"/>
                <w:u w:val="single"/>
                <w14:textFill>
                  <w14:solidFill>
                    <w14:schemeClr w14:val="tx1"/>
                  </w14:solidFill>
                </w14:textFill>
              </w:rPr>
              <w:t>Ⅲ</w:t>
            </w:r>
            <w:r>
              <w:rPr>
                <w:rFonts w:hint="default" w:ascii="Times New Roman" w:hAnsi="Times New Roman" w:cs="Times New Roman"/>
                <w:color w:val="000000" w:themeColor="text1"/>
                <w:highlight w:val="none"/>
                <w:u w:val="single"/>
                <w14:textFill>
                  <w14:solidFill>
                    <w14:schemeClr w14:val="tx1"/>
                  </w14:solidFill>
                </w14:textFill>
              </w:rPr>
              <w:t>类标准</w:t>
            </w:r>
            <w:r>
              <w:rPr>
                <w:rFonts w:hint="eastAsia"/>
                <w:color w:val="000000" w:themeColor="text1"/>
                <w:highlight w:val="none"/>
                <w:u w:val="single"/>
                <w14:textFill>
                  <w14:solidFill>
                    <w14:schemeClr w14:val="tx1"/>
                  </w14:solidFill>
                </w14:textFill>
              </w:rPr>
              <w:t>。</w:t>
            </w:r>
          </w:p>
          <w:p>
            <w:pPr>
              <w:pStyle w:val="5"/>
              <w:widowControl w:val="0"/>
              <w:ind w:firstLine="48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本评价要求建设单位按饮用水水源保护区要求执行相关规定并采取相应保护措施：</w:t>
            </w:r>
          </w:p>
          <w:p>
            <w:pPr>
              <w:pStyle w:val="5"/>
              <w:widowControl w:val="0"/>
              <w:ind w:firstLine="48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一、一级保护区内禁止新建、扩建与供水设施和保护水源无关的建设项目；禁止向水域排放污水，已设置的排污口必须拆除；不得设置与供水需要无关的码头，禁止停靠船舶；禁止堆置和存放工业废渣、城市垃圾、粪便和其他废弃物；禁止设置油库；禁止从事种植、放养禽畜，严格控制网箱养殖活动；禁止可能污染水源的旅游活动和其他活动。</w:t>
            </w:r>
          </w:p>
          <w:p>
            <w:pPr>
              <w:pStyle w:val="5"/>
              <w:widowControl w:val="0"/>
              <w:ind w:firstLine="48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二级保护区内不准新建、扩建向水体排放污染物的建设项目。改建项目必须削减污染物排放量；原有排污口必须削减污水排放量，保证保护区内水质满足规定的水质标准；禁止设立装卸垃圾、粪便、油类和有毒物品的码头。</w:t>
            </w:r>
          </w:p>
          <w:p>
            <w:pPr>
              <w:pStyle w:val="5"/>
              <w:widowControl w:val="0"/>
              <w:ind w:firstLine="48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禁止一切破坏水环境生态平衡的活动以及破坏水源林、护岸林、与水源保护相关植被的活动；禁止向水域倾倒工业废渣、城市垃圾、粪便及其它废弃物；禁止使用剧毒和高残留农药，不得滥用化肥，不得使用炸药、毒品捕杀鱼类。通过采取上述措施，有利于提高木形水库水质。</w:t>
            </w:r>
          </w:p>
          <w:p>
            <w:pPr>
              <w:jc w:val="both"/>
              <w:rPr>
                <w:rFonts w:hint="eastAsia"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3、</w:t>
            </w:r>
            <w:r>
              <w:rPr>
                <w:rFonts w:hint="eastAsia"/>
                <w:b/>
                <w:bCs/>
                <w:color w:val="000000" w:themeColor="text1"/>
                <w:highlight w:val="none"/>
                <w:lang w:val="en-US"/>
                <w14:textFill>
                  <w14:solidFill>
                    <w14:schemeClr w14:val="tx1"/>
                  </w14:solidFill>
                </w14:textFill>
              </w:rPr>
              <w:t>声环境</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根据声环境功能区划，项目厂界区域的声环境功能区属于</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类区域，声环境质量执行《声环境质量标准》（</w:t>
            </w:r>
            <w:r>
              <w:rPr>
                <w:color w:val="000000" w:themeColor="text1"/>
                <w:highlight w:val="none"/>
                <w14:textFill>
                  <w14:solidFill>
                    <w14:schemeClr w14:val="tx1"/>
                  </w14:solidFill>
                </w14:textFill>
              </w:rPr>
              <w:t>GB3096-2008</w:t>
            </w:r>
            <w:r>
              <w:rPr>
                <w:rFonts w:hint="eastAsia"/>
                <w:color w:val="000000" w:themeColor="text1"/>
                <w:highlight w:val="none"/>
                <w14:textFill>
                  <w14:solidFill>
                    <w14:schemeClr w14:val="tx1"/>
                  </w14:solidFill>
                </w14:textFill>
              </w:rPr>
              <w:t>）中</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类标准。</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根据《建设项目环境影响报告表编制技术指南（污染影响类）（试行）》：“厂界外周边</w:t>
            </w:r>
            <w:r>
              <w:rPr>
                <w:color w:val="000000" w:themeColor="text1"/>
                <w:highlight w:val="none"/>
                <w14:textFill>
                  <w14:solidFill>
                    <w14:schemeClr w14:val="tx1"/>
                  </w14:solidFill>
                </w14:textFill>
              </w:rPr>
              <w:t>50</w:t>
            </w:r>
            <w:r>
              <w:rPr>
                <w:rFonts w:hint="eastAsia"/>
                <w:color w:val="000000" w:themeColor="text1"/>
                <w:highlight w:val="none"/>
                <w14:textFill>
                  <w14:solidFill>
                    <w14:schemeClr w14:val="tx1"/>
                  </w14:solidFill>
                </w14:textFill>
              </w:rPr>
              <w:t>米范围内存在声环境保护目标的建设项目，应监测保护目标声环境质量现状并评价达标情况”。根据现场勘察，项目</w:t>
            </w:r>
            <w:r>
              <w:rPr>
                <w:rFonts w:hint="eastAsia"/>
                <w:color w:val="000000" w:themeColor="text1"/>
                <w:highlight w:val="none"/>
                <w:lang w:val="en-US" w:eastAsia="zh-CN"/>
                <w14:textFill>
                  <w14:solidFill>
                    <w14:schemeClr w14:val="tx1"/>
                  </w14:solidFill>
                </w14:textFill>
              </w:rPr>
              <w:t>水厂</w:t>
            </w:r>
            <w:r>
              <w:rPr>
                <w:rFonts w:hint="eastAsia"/>
                <w:color w:val="000000" w:themeColor="text1"/>
                <w:highlight w:val="none"/>
                <w14:textFill>
                  <w14:solidFill>
                    <w14:schemeClr w14:val="tx1"/>
                  </w14:solidFill>
                </w14:textFill>
              </w:rPr>
              <w:t>厂界周边</w:t>
            </w:r>
            <w:r>
              <w:rPr>
                <w:color w:val="000000" w:themeColor="text1"/>
                <w:highlight w:val="none"/>
                <w14:textFill>
                  <w14:solidFill>
                    <w14:schemeClr w14:val="tx1"/>
                  </w14:solidFill>
                </w14:textFill>
              </w:rPr>
              <w:t>50m</w:t>
            </w:r>
            <w:r>
              <w:rPr>
                <w:rFonts w:hint="eastAsia"/>
                <w:color w:val="000000" w:themeColor="text1"/>
                <w:highlight w:val="none"/>
                <w14:textFill>
                  <w14:solidFill>
                    <w14:schemeClr w14:val="tx1"/>
                  </w14:solidFill>
                </w14:textFill>
              </w:rPr>
              <w:t>范围内无声环境保护目标。因此本项目不需开展声环境质量现状监测。</w:t>
            </w:r>
          </w:p>
          <w:p>
            <w:pPr>
              <w:pStyle w:val="5"/>
              <w:widowControl w:val="0"/>
              <w:ind w:left="0" w:leftChars="0" w:firstLine="0" w:firstLineChars="0"/>
              <w:rPr>
                <w:color w:val="000000" w:themeColor="text1"/>
                <w:highlight w:val="none"/>
                <w:u w:val="single" w:color="auto"/>
                <w14:textFill>
                  <w14:solidFill>
                    <w14:schemeClr w14:val="tx1"/>
                  </w14:solidFill>
                </w14:textFill>
              </w:rPr>
            </w:pPr>
            <w:r>
              <w:rPr>
                <w:rFonts w:hint="eastAsia"/>
                <w:b/>
                <w:bCs/>
                <w:color w:val="000000" w:themeColor="text1"/>
                <w:highlight w:val="none"/>
                <w:u w:val="single" w:color="auto"/>
                <w:lang w:val="en-US" w:eastAsia="zh-CN"/>
                <w14:textFill>
                  <w14:solidFill>
                    <w14:schemeClr w14:val="tx1"/>
                  </w14:solidFill>
                </w14:textFill>
              </w:rPr>
              <w:t>4、</w:t>
            </w:r>
            <w:r>
              <w:rPr>
                <w:rFonts w:hint="eastAsia"/>
                <w:b/>
                <w:bCs/>
                <w:color w:val="000000" w:themeColor="text1"/>
                <w:highlight w:val="none"/>
                <w:u w:val="single" w:color="auto"/>
                <w14:textFill>
                  <w14:solidFill>
                    <w14:schemeClr w14:val="tx1"/>
                  </w14:solidFill>
                </w14:textFill>
              </w:rPr>
              <w:t>地下水、土壤环境</w:t>
            </w:r>
          </w:p>
          <w:p>
            <w:pPr>
              <w:pStyle w:val="5"/>
              <w:widowControl w:val="0"/>
              <w:ind w:firstLine="480"/>
              <w:rPr>
                <w:rFonts w:hint="default" w:eastAsia="宋体"/>
                <w:color w:val="000000" w:themeColor="text1"/>
                <w:highlight w:val="none"/>
                <w:u w:val="single" w:color="auto"/>
                <w:lang w:val="en-US" w:eastAsia="zh-CN"/>
                <w14:textFill>
                  <w14:solidFill>
                    <w14:schemeClr w14:val="tx1"/>
                  </w14:solidFill>
                </w14:textFill>
              </w:rPr>
            </w:pPr>
            <w:r>
              <w:rPr>
                <w:rFonts w:hint="eastAsia" w:ascii="Times New Roman" w:hAnsi="Times New Roman" w:cs="Times New Roman"/>
                <w:sz w:val="24"/>
                <w:szCs w:val="24"/>
                <w:highlight w:val="none"/>
                <w:u w:val="single" w:color="auto"/>
                <w:lang w:val="en-US" w:eastAsia="zh-CN"/>
              </w:rPr>
              <w:t>根据生态环境部办公厅2020年12月24日印发的《建设项目环境影响报告表编制技术指南（污染影响类）（试行）》中具体编制要求“原则上不开展环境质量现状调查。建设项目存在土壤、地下水环境污染途径的，应结合污染源、保护目标分布情况开展现状调查以留作背景值。”结合项目工艺，本项目营运过程产生的废气、废水、固废均可得到有效处理处置，厂房车间实施分区防渗，正常生产情况下，项目不存在土壤、地下水环境污染途径，因此不开展土壤、地下水环境质量现状调查。</w:t>
            </w:r>
          </w:p>
          <w:p>
            <w:pPr>
              <w:pStyle w:val="5"/>
              <w:widowControl w:val="0"/>
              <w:ind w:left="0" w:leftChars="0" w:firstLine="0" w:firstLineChars="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5、</w:t>
            </w:r>
            <w:r>
              <w:rPr>
                <w:rFonts w:hint="eastAsia"/>
                <w:b/>
                <w:bCs/>
                <w:color w:val="000000" w:themeColor="text1"/>
                <w:highlight w:val="none"/>
                <w14:textFill>
                  <w14:solidFill>
                    <w14:schemeClr w14:val="tx1"/>
                  </w14:solidFill>
                </w14:textFill>
              </w:rPr>
              <w:t>生态环境</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本项目位于</w:t>
            </w:r>
            <w:r>
              <w:rPr>
                <w:rFonts w:hint="eastAsia"/>
                <w:color w:val="000000" w:themeColor="text1"/>
                <w:highlight w:val="none"/>
                <w:lang w:val="en-US" w:eastAsia="zh-CN"/>
                <w14:textFill>
                  <w14:solidFill>
                    <w14:schemeClr w14:val="tx1"/>
                  </w14:solidFill>
                </w14:textFill>
              </w:rPr>
              <w:t>临湘市忠防镇木形村</w:t>
            </w:r>
            <w:r>
              <w:rPr>
                <w:rFonts w:hint="eastAsia"/>
                <w:color w:val="000000" w:themeColor="text1"/>
                <w:highlight w:val="none"/>
                <w14:textFill>
                  <w14:solidFill>
                    <w14:schemeClr w14:val="tx1"/>
                  </w14:solidFill>
                </w14:textFill>
              </w:rPr>
              <w:t>，用地</w:t>
            </w:r>
            <w:r>
              <w:rPr>
                <w:rFonts w:hint="eastAsia"/>
                <w:color w:val="000000" w:themeColor="text1"/>
                <w:highlight w:val="none"/>
                <w:lang w:val="en-US" w:eastAsia="zh-CN"/>
                <w14:textFill>
                  <w14:solidFill>
                    <w14:schemeClr w14:val="tx1"/>
                  </w14:solidFill>
                </w14:textFill>
              </w:rPr>
              <w:t>现状为农用地</w:t>
            </w: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项目</w:t>
            </w:r>
            <w:r>
              <w:rPr>
                <w:rFonts w:hint="eastAsia"/>
                <w:color w:val="000000" w:themeColor="text1"/>
                <w:highlight w:val="none"/>
                <w14:textFill>
                  <w14:solidFill>
                    <w14:schemeClr w14:val="tx1"/>
                  </w14:solidFill>
                </w14:textFill>
              </w:rPr>
              <w:t>用地范围内未占用耕地，不涉及永久基本农田、生态保护红线以及自然保护区</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用地范围内</w:t>
            </w:r>
            <w:r>
              <w:rPr>
                <w:rFonts w:hint="eastAsia"/>
                <w:color w:val="000000" w:themeColor="text1"/>
                <w:highlight w:val="none"/>
                <w14:textFill>
                  <w14:solidFill>
                    <w14:schemeClr w14:val="tx1"/>
                  </w14:solidFill>
                </w14:textFill>
              </w:rPr>
              <w:t>不涉及生态环境保护目标。根据《建设项目环境影响报告表编制技术指南（污染影响类）（试行）》，本项目无需进行生态现状调查。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8" w:hRule="atLeast"/>
        </w:trPr>
        <w:tc>
          <w:tcPr>
            <w:tcW w:w="290" w:type="pct"/>
            <w:vAlign w:val="center"/>
          </w:tcPr>
          <w:p>
            <w:pPr>
              <w:jc w:val="center"/>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环境保护目标</w:t>
            </w:r>
          </w:p>
        </w:tc>
        <w:tc>
          <w:tcPr>
            <w:tcW w:w="4709" w:type="pct"/>
          </w:tcPr>
          <w:p>
            <w:pPr>
              <w:pStyle w:val="5"/>
              <w:widowControl w:val="0"/>
              <w:ind w:left="0" w:leftChars="0" w:firstLine="0" w:firstLineChars="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w:t>
            </w:r>
            <w:r>
              <w:rPr>
                <w:rFonts w:hint="eastAsia"/>
                <w:b/>
                <w:bCs/>
                <w:color w:val="000000" w:themeColor="text1"/>
                <w:highlight w:val="none"/>
                <w14:textFill>
                  <w14:solidFill>
                    <w14:schemeClr w14:val="tx1"/>
                  </w14:solidFill>
                </w14:textFill>
              </w:rPr>
              <w:t>环境保护目标</w:t>
            </w:r>
          </w:p>
          <w:p>
            <w:pPr>
              <w:pStyle w:val="5"/>
              <w:widowControl w:val="0"/>
              <w:ind w:firstLine="480"/>
              <w:rPr>
                <w:rFonts w:cs="Times New Roman"/>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本项目位于</w:t>
            </w:r>
            <w:r>
              <w:rPr>
                <w:rFonts w:hint="eastAsia"/>
                <w:color w:val="000000" w:themeColor="text1"/>
                <w:highlight w:val="none"/>
                <w:lang w:val="en-US" w:eastAsia="zh-CN"/>
                <w14:textFill>
                  <w14:solidFill>
                    <w14:schemeClr w14:val="tx1"/>
                  </w14:solidFill>
                </w14:textFill>
              </w:rPr>
              <w:t>临湘市忠防镇木形村</w:t>
            </w:r>
            <w:r>
              <w:rPr>
                <w:rFonts w:hint="eastAsia"/>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根据现场勘查，评价范围内无自然保护区、</w:t>
            </w:r>
            <w:r>
              <w:rPr>
                <w:rFonts w:hint="eastAsia" w:cs="Times New Roman"/>
                <w:color w:val="000000" w:themeColor="text1"/>
                <w:highlight w:val="none"/>
                <w:lang w:val="en-US" w:eastAsia="zh-CN"/>
                <w14:textFill>
                  <w14:solidFill>
                    <w14:schemeClr w14:val="tx1"/>
                  </w14:solidFill>
                </w14:textFill>
              </w:rPr>
              <w:t>生态保护红线、</w:t>
            </w:r>
            <w:r>
              <w:rPr>
                <w:rFonts w:hint="eastAsia" w:cs="Times New Roman"/>
                <w:color w:val="000000" w:themeColor="text1"/>
                <w:highlight w:val="none"/>
                <w14:textFill>
                  <w14:solidFill>
                    <w14:schemeClr w14:val="tx1"/>
                  </w14:solidFill>
                </w14:textFill>
              </w:rPr>
              <w:t>风景旅游点和文物古迹等需要特殊保护的环境敏感对象；总体上不因本项目的实施而改变区域环境现有功能，主要环境保护目标如下：</w:t>
            </w:r>
          </w:p>
          <w:p>
            <w:pPr>
              <w:pStyle w:val="5"/>
              <w:widowControl w:val="0"/>
              <w:ind w:firstLine="0" w:firstLineChars="0"/>
              <w:jc w:val="center"/>
              <w:rPr>
                <w:rFonts w:hint="eastAsia" w:cs="Times New Roman"/>
                <w:b/>
                <w:bCs/>
                <w:color w:val="000000" w:themeColor="text1"/>
                <w:highlight w:val="none"/>
                <w:u w:val="single"/>
                <w14:textFill>
                  <w14:solidFill>
                    <w14:schemeClr w14:val="tx1"/>
                  </w14:solidFill>
                </w14:textFill>
              </w:rPr>
            </w:pPr>
            <w:r>
              <w:rPr>
                <w:rFonts w:hint="eastAsia" w:cs="Times New Roman"/>
                <w:b/>
                <w:bCs/>
                <w:color w:val="000000" w:themeColor="text1"/>
                <w:highlight w:val="none"/>
                <w:u w:val="single"/>
                <w14:textFill>
                  <w14:solidFill>
                    <w14:schemeClr w14:val="tx1"/>
                  </w14:solidFill>
                </w14:textFill>
              </w:rPr>
              <w:t>表3-</w:t>
            </w:r>
            <w:r>
              <w:rPr>
                <w:rFonts w:hint="eastAsia" w:cs="Times New Roman"/>
                <w:b/>
                <w:bCs/>
                <w:color w:val="000000" w:themeColor="text1"/>
                <w:highlight w:val="none"/>
                <w:u w:val="single"/>
                <w:lang w:val="en-US" w:eastAsia="zh-CN"/>
                <w14:textFill>
                  <w14:solidFill>
                    <w14:schemeClr w14:val="tx1"/>
                  </w14:solidFill>
                </w14:textFill>
              </w:rPr>
              <w:t>3</w:t>
            </w:r>
            <w:r>
              <w:rPr>
                <w:rFonts w:hint="eastAsia" w:cs="Times New Roman"/>
                <w:b/>
                <w:bCs/>
                <w:color w:val="000000" w:themeColor="text1"/>
                <w:highlight w:val="none"/>
                <w:u w:val="single"/>
                <w14:textFill>
                  <w14:solidFill>
                    <w14:schemeClr w14:val="tx1"/>
                  </w14:solidFill>
                </w14:textFill>
              </w:rPr>
              <w:t xml:space="preserve">  项目主要环境保护目标</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3"/>
              <w:gridCol w:w="1176"/>
              <w:gridCol w:w="627"/>
              <w:gridCol w:w="641"/>
              <w:gridCol w:w="846"/>
              <w:gridCol w:w="1050"/>
              <w:gridCol w:w="927"/>
              <w:gridCol w:w="1077"/>
              <w:gridCol w:w="655"/>
              <w:gridCol w:w="872"/>
              <w:gridCol w:w="7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restart"/>
                  <w:vAlign w:val="center"/>
                </w:tcPr>
                <w:p>
                  <w:pPr>
                    <w:pStyle w:val="38"/>
                    <w:widowControl w:val="0"/>
                    <w:rPr>
                      <w:b/>
                      <w:color w:val="000000" w:themeColor="text1"/>
                      <w:highlight w:val="none"/>
                      <w:u w:val="single"/>
                      <w14:textFill>
                        <w14:solidFill>
                          <w14:schemeClr w14:val="tx1"/>
                        </w14:solidFill>
                      </w14:textFill>
                    </w:rPr>
                  </w:pPr>
                  <w:r>
                    <w:rPr>
                      <w:rFonts w:hint="eastAsia"/>
                      <w:b/>
                      <w:color w:val="000000" w:themeColor="text1"/>
                      <w:highlight w:val="none"/>
                      <w:u w:val="single"/>
                      <w14:textFill>
                        <w14:solidFill>
                          <w14:schemeClr w14:val="tx1"/>
                        </w14:solidFill>
                      </w14:textFill>
                    </w:rPr>
                    <w:t>环境</w:t>
                  </w:r>
                </w:p>
                <w:p>
                  <w:pPr>
                    <w:pStyle w:val="38"/>
                    <w:widowControl w:val="0"/>
                    <w:rPr>
                      <w:color w:val="000000" w:themeColor="text1"/>
                      <w:highlight w:val="none"/>
                      <w:u w:val="single"/>
                      <w14:textFill>
                        <w14:solidFill>
                          <w14:schemeClr w14:val="tx1"/>
                        </w14:solidFill>
                      </w14:textFill>
                    </w:rPr>
                  </w:pPr>
                  <w:r>
                    <w:rPr>
                      <w:rFonts w:hint="eastAsia"/>
                      <w:b/>
                      <w:color w:val="000000" w:themeColor="text1"/>
                      <w:highlight w:val="none"/>
                      <w:u w:val="single"/>
                      <w14:textFill>
                        <w14:solidFill>
                          <w14:schemeClr w14:val="tx1"/>
                        </w14:solidFill>
                      </w14:textFill>
                    </w:rPr>
                    <w:t>要素</w:t>
                  </w:r>
                </w:p>
              </w:tc>
              <w:tc>
                <w:tcPr>
                  <w:tcW w:w="1176" w:type="dxa"/>
                  <w:vMerge w:val="restart"/>
                  <w:vAlign w:val="center"/>
                </w:tcPr>
                <w:p>
                  <w:pPr>
                    <w:wordWrap w:val="0"/>
                    <w:adjustRightInd w:val="0"/>
                    <w:snapToGrid w:val="0"/>
                    <w:spacing w:line="276" w:lineRule="auto"/>
                    <w:jc w:val="center"/>
                    <w:rPr>
                      <w:rFonts w:cs="Times New Roman"/>
                      <w:b/>
                      <w:color w:val="000000" w:themeColor="text1"/>
                      <w:sz w:val="21"/>
                      <w:szCs w:val="21"/>
                      <w:highlight w:val="none"/>
                      <w:u w:val="single"/>
                      <w14:textFill>
                        <w14:solidFill>
                          <w14:schemeClr w14:val="tx1"/>
                        </w14:solidFill>
                      </w14:textFill>
                    </w:rPr>
                  </w:pPr>
                  <w:r>
                    <w:rPr>
                      <w:rFonts w:hint="eastAsia" w:cs="Times New Roman"/>
                      <w:b/>
                      <w:color w:val="000000" w:themeColor="text1"/>
                      <w:sz w:val="21"/>
                      <w:szCs w:val="21"/>
                      <w:highlight w:val="none"/>
                      <w:u w:val="single"/>
                      <w14:textFill>
                        <w14:solidFill>
                          <w14:schemeClr w14:val="tx1"/>
                        </w14:solidFill>
                      </w14:textFill>
                    </w:rPr>
                    <w:t>保护</w:t>
                  </w:r>
                </w:p>
                <w:p>
                  <w:pPr>
                    <w:pStyle w:val="38"/>
                    <w:widowControl w:val="0"/>
                    <w:rPr>
                      <w:color w:val="000000" w:themeColor="text1"/>
                      <w:highlight w:val="none"/>
                      <w:u w:val="single"/>
                      <w14:textFill>
                        <w14:solidFill>
                          <w14:schemeClr w14:val="tx1"/>
                        </w14:solidFill>
                      </w14:textFill>
                    </w:rPr>
                  </w:pPr>
                  <w:r>
                    <w:rPr>
                      <w:rFonts w:hint="eastAsia"/>
                      <w:b/>
                      <w:color w:val="000000" w:themeColor="text1"/>
                      <w:highlight w:val="none"/>
                      <w:u w:val="single"/>
                      <w14:textFill>
                        <w14:solidFill>
                          <w14:schemeClr w14:val="tx1"/>
                        </w14:solidFill>
                      </w14:textFill>
                    </w:rPr>
                    <w:t>目标</w:t>
                  </w:r>
                </w:p>
              </w:tc>
              <w:tc>
                <w:tcPr>
                  <w:tcW w:w="1268" w:type="dxa"/>
                  <w:gridSpan w:val="2"/>
                  <w:vAlign w:val="center"/>
                </w:tcPr>
                <w:p>
                  <w:pPr>
                    <w:pStyle w:val="38"/>
                    <w:widowControl w:val="0"/>
                    <w:rPr>
                      <w:color w:val="000000" w:themeColor="text1"/>
                      <w:highlight w:val="none"/>
                      <w:u w:val="single"/>
                      <w14:textFill>
                        <w14:solidFill>
                          <w14:schemeClr w14:val="tx1"/>
                        </w14:solidFill>
                      </w14:textFill>
                    </w:rPr>
                  </w:pPr>
                  <w:r>
                    <w:rPr>
                      <w:rFonts w:hint="eastAsia"/>
                      <w:b/>
                      <w:color w:val="000000" w:themeColor="text1"/>
                      <w:highlight w:val="none"/>
                      <w:u w:val="single"/>
                      <w:lang w:val="en-US" w:eastAsia="zh-CN"/>
                      <w14:textFill>
                        <w14:solidFill>
                          <w14:schemeClr w14:val="tx1"/>
                        </w14:solidFill>
                      </w14:textFill>
                    </w:rPr>
                    <w:t>中心</w:t>
                  </w:r>
                  <w:r>
                    <w:rPr>
                      <w:rFonts w:hint="eastAsia"/>
                      <w:b/>
                      <w:color w:val="000000" w:themeColor="text1"/>
                      <w:highlight w:val="none"/>
                      <w:u w:val="single"/>
                      <w14:textFill>
                        <w14:solidFill>
                          <w14:schemeClr w14:val="tx1"/>
                        </w14:solidFill>
                      </w14:textFill>
                    </w:rPr>
                    <w:t>坐标</w:t>
                  </w:r>
                </w:p>
              </w:tc>
              <w:tc>
                <w:tcPr>
                  <w:tcW w:w="846" w:type="dxa"/>
                  <w:vMerge w:val="restart"/>
                  <w:vAlign w:val="center"/>
                </w:tcPr>
                <w:p>
                  <w:pPr>
                    <w:wordWrap w:val="0"/>
                    <w:adjustRightInd w:val="0"/>
                    <w:snapToGrid w:val="0"/>
                    <w:spacing w:line="276" w:lineRule="auto"/>
                    <w:jc w:val="center"/>
                    <w:rPr>
                      <w:rFonts w:cs="Times New Roman"/>
                      <w:b/>
                      <w:color w:val="000000" w:themeColor="text1"/>
                      <w:sz w:val="21"/>
                      <w:szCs w:val="21"/>
                      <w:highlight w:val="none"/>
                      <w:u w:val="single"/>
                      <w14:textFill>
                        <w14:solidFill>
                          <w14:schemeClr w14:val="tx1"/>
                        </w14:solidFill>
                      </w14:textFill>
                    </w:rPr>
                  </w:pPr>
                  <w:r>
                    <w:rPr>
                      <w:rFonts w:hint="eastAsia" w:cs="Times New Roman"/>
                      <w:b/>
                      <w:color w:val="000000" w:themeColor="text1"/>
                      <w:sz w:val="21"/>
                      <w:szCs w:val="21"/>
                      <w:highlight w:val="none"/>
                      <w:u w:val="single"/>
                      <w14:textFill>
                        <w14:solidFill>
                          <w14:schemeClr w14:val="tx1"/>
                        </w14:solidFill>
                      </w14:textFill>
                    </w:rPr>
                    <w:t>保护</w:t>
                  </w:r>
                </w:p>
                <w:p>
                  <w:pPr>
                    <w:pStyle w:val="38"/>
                    <w:widowControl w:val="0"/>
                    <w:rPr>
                      <w:color w:val="000000" w:themeColor="text1"/>
                      <w:highlight w:val="none"/>
                      <w:u w:val="single"/>
                      <w14:textFill>
                        <w14:solidFill>
                          <w14:schemeClr w14:val="tx1"/>
                        </w14:solidFill>
                      </w14:textFill>
                    </w:rPr>
                  </w:pPr>
                  <w:r>
                    <w:rPr>
                      <w:rFonts w:hint="eastAsia"/>
                      <w:b/>
                      <w:color w:val="000000" w:themeColor="text1"/>
                      <w:highlight w:val="none"/>
                      <w:u w:val="single"/>
                      <w14:textFill>
                        <w14:solidFill>
                          <w14:schemeClr w14:val="tx1"/>
                        </w14:solidFill>
                      </w14:textFill>
                    </w:rPr>
                    <w:t>对象</w:t>
                  </w:r>
                </w:p>
              </w:tc>
              <w:tc>
                <w:tcPr>
                  <w:tcW w:w="1050" w:type="dxa"/>
                  <w:vMerge w:val="restart"/>
                  <w:vAlign w:val="center"/>
                </w:tcPr>
                <w:p>
                  <w:pPr>
                    <w:wordWrap w:val="0"/>
                    <w:adjustRightInd w:val="0"/>
                    <w:snapToGrid w:val="0"/>
                    <w:spacing w:line="276" w:lineRule="auto"/>
                    <w:jc w:val="center"/>
                    <w:rPr>
                      <w:rFonts w:cs="Times New Roman"/>
                      <w:b/>
                      <w:color w:val="000000" w:themeColor="text1"/>
                      <w:sz w:val="21"/>
                      <w:szCs w:val="21"/>
                      <w:highlight w:val="none"/>
                      <w:u w:val="single"/>
                      <w14:textFill>
                        <w14:solidFill>
                          <w14:schemeClr w14:val="tx1"/>
                        </w14:solidFill>
                      </w14:textFill>
                    </w:rPr>
                  </w:pPr>
                  <w:r>
                    <w:rPr>
                      <w:rFonts w:hint="eastAsia" w:cs="Times New Roman"/>
                      <w:b/>
                      <w:color w:val="000000" w:themeColor="text1"/>
                      <w:sz w:val="21"/>
                      <w:szCs w:val="21"/>
                      <w:highlight w:val="none"/>
                      <w:u w:val="single"/>
                      <w14:textFill>
                        <w14:solidFill>
                          <w14:schemeClr w14:val="tx1"/>
                        </w14:solidFill>
                      </w14:textFill>
                    </w:rPr>
                    <w:t>保护</w:t>
                  </w:r>
                </w:p>
                <w:p>
                  <w:pPr>
                    <w:pStyle w:val="38"/>
                    <w:widowControl w:val="0"/>
                    <w:rPr>
                      <w:color w:val="000000" w:themeColor="text1"/>
                      <w:highlight w:val="none"/>
                      <w:u w:val="single"/>
                      <w14:textFill>
                        <w14:solidFill>
                          <w14:schemeClr w14:val="tx1"/>
                        </w14:solidFill>
                      </w14:textFill>
                    </w:rPr>
                  </w:pPr>
                  <w:r>
                    <w:rPr>
                      <w:rFonts w:hint="eastAsia"/>
                      <w:b/>
                      <w:color w:val="000000" w:themeColor="text1"/>
                      <w:highlight w:val="none"/>
                      <w:u w:val="single"/>
                      <w14:textFill>
                        <w14:solidFill>
                          <w14:schemeClr w14:val="tx1"/>
                        </w14:solidFill>
                      </w14:textFill>
                    </w:rPr>
                    <w:t>规模</w:t>
                  </w:r>
                </w:p>
              </w:tc>
              <w:tc>
                <w:tcPr>
                  <w:tcW w:w="927" w:type="dxa"/>
                  <w:vMerge w:val="restart"/>
                  <w:vAlign w:val="center"/>
                </w:tcPr>
                <w:p>
                  <w:pPr>
                    <w:pStyle w:val="38"/>
                    <w:widowControl w:val="0"/>
                    <w:rPr>
                      <w:color w:val="000000" w:themeColor="text1"/>
                      <w:highlight w:val="none"/>
                      <w:u w:val="single"/>
                      <w14:textFill>
                        <w14:solidFill>
                          <w14:schemeClr w14:val="tx1"/>
                        </w14:solidFill>
                      </w14:textFill>
                    </w:rPr>
                  </w:pPr>
                  <w:r>
                    <w:rPr>
                      <w:rFonts w:hint="eastAsia"/>
                      <w:b/>
                      <w:color w:val="000000" w:themeColor="text1"/>
                      <w:highlight w:val="none"/>
                      <w:u w:val="single"/>
                      <w14:textFill>
                        <w14:solidFill>
                          <w14:schemeClr w14:val="tx1"/>
                        </w14:solidFill>
                      </w14:textFill>
                    </w:rPr>
                    <w:t>环境功能</w:t>
                  </w:r>
                </w:p>
              </w:tc>
              <w:tc>
                <w:tcPr>
                  <w:tcW w:w="1077" w:type="dxa"/>
                  <w:vMerge w:val="restar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相对水厂方位和距离</w:t>
                  </w:r>
                </w:p>
              </w:tc>
              <w:tc>
                <w:tcPr>
                  <w:tcW w:w="655" w:type="dxa"/>
                  <w:vMerge w:val="restar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相对水厂高差</w:t>
                  </w:r>
                </w:p>
              </w:tc>
              <w:tc>
                <w:tcPr>
                  <w:tcW w:w="872" w:type="dxa"/>
                  <w:vMerge w:val="restar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相对办公楼方位和距离</w:t>
                  </w:r>
                </w:p>
              </w:tc>
              <w:tc>
                <w:tcPr>
                  <w:tcW w:w="714" w:type="dxa"/>
                  <w:vMerge w:val="restar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相对办公楼高差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1176"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62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b/>
                      <w:bCs/>
                      <w:color w:val="000000" w:themeColor="text1"/>
                      <w:highlight w:val="none"/>
                      <w:u w:val="single"/>
                      <w:lang w:val="en-US" w:eastAsia="zh-CN"/>
                      <w14:textFill>
                        <w14:solidFill>
                          <w14:schemeClr w14:val="tx1"/>
                        </w14:solidFill>
                      </w14:textFill>
                    </w:rPr>
                    <w:t>X</w:t>
                  </w:r>
                </w:p>
              </w:tc>
              <w:tc>
                <w:tcPr>
                  <w:tcW w:w="641"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Y</w:t>
                  </w:r>
                </w:p>
              </w:tc>
              <w:tc>
                <w:tcPr>
                  <w:tcW w:w="846"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1050"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927"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1077"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655"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872"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714" w:type="dxa"/>
                  <w:vMerge w:val="continue"/>
                  <w:vAlign w:val="center"/>
                </w:tcPr>
                <w:p>
                  <w:pPr>
                    <w:pStyle w:val="38"/>
                    <w:widowControl w:val="0"/>
                    <w:rPr>
                      <w:color w:val="000000" w:themeColor="text1"/>
                      <w:highlight w:val="none"/>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trPr>
              <w:tc>
                <w:tcPr>
                  <w:tcW w:w="573" w:type="dxa"/>
                  <w:vMerge w:val="restar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大气环境</w:t>
                  </w:r>
                </w:p>
              </w:tc>
              <w:tc>
                <w:tcPr>
                  <w:tcW w:w="1176"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木形村居民</w:t>
                  </w:r>
                </w:p>
              </w:tc>
              <w:tc>
                <w:tcPr>
                  <w:tcW w:w="62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-248</w:t>
                  </w:r>
                </w:p>
              </w:tc>
              <w:tc>
                <w:tcPr>
                  <w:tcW w:w="641"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262</w:t>
                  </w:r>
                </w:p>
              </w:tc>
              <w:tc>
                <w:tcPr>
                  <w:tcW w:w="846"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居民</w:t>
                  </w:r>
                </w:p>
              </w:tc>
              <w:tc>
                <w:tcPr>
                  <w:tcW w:w="1050"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约100户，400人</w:t>
                  </w:r>
                </w:p>
              </w:tc>
              <w:tc>
                <w:tcPr>
                  <w:tcW w:w="927" w:type="dxa"/>
                  <w:vMerge w:val="restar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w:t>
                  </w:r>
                  <w:r>
                    <w:rPr>
                      <w:color w:val="000000" w:themeColor="text1"/>
                      <w:highlight w:val="none"/>
                      <w:u w:val="single"/>
                      <w14:textFill>
                        <w14:solidFill>
                          <w14:schemeClr w14:val="tx1"/>
                        </w14:solidFill>
                      </w14:textFill>
                    </w:rPr>
                    <w:t>GB3095-2012</w:t>
                  </w:r>
                  <w:r>
                    <w:rPr>
                      <w:rFonts w:hint="eastAsia"/>
                      <w:color w:val="000000" w:themeColor="text1"/>
                      <w:highlight w:val="none"/>
                      <w:u w:val="single"/>
                      <w14:textFill>
                        <w14:solidFill>
                          <w14:schemeClr w14:val="tx1"/>
                        </w14:solidFill>
                      </w14:textFill>
                    </w:rPr>
                    <w:t>》二级标准</w:t>
                  </w:r>
                </w:p>
              </w:tc>
              <w:tc>
                <w:tcPr>
                  <w:tcW w:w="1077" w:type="dxa"/>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WN</w:t>
                  </w:r>
                </w:p>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163m-500m</w:t>
                  </w:r>
                </w:p>
              </w:tc>
              <w:tc>
                <w:tcPr>
                  <w:tcW w:w="655"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-42</w:t>
                  </w:r>
                </w:p>
              </w:tc>
              <w:tc>
                <w:tcPr>
                  <w:tcW w:w="872" w:type="dxa"/>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WN</w:t>
                  </w:r>
                </w:p>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85m-500m</w:t>
                  </w:r>
                </w:p>
              </w:tc>
              <w:tc>
                <w:tcPr>
                  <w:tcW w:w="714"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continue"/>
                  <w:vAlign w:val="center"/>
                </w:tcPr>
                <w:p>
                  <w:pPr>
                    <w:pStyle w:val="38"/>
                    <w:widowControl w:val="0"/>
                    <w:rPr>
                      <w:rFonts w:hint="eastAsia"/>
                      <w:color w:val="000000" w:themeColor="text1"/>
                      <w:highlight w:val="none"/>
                      <w:u w:val="single"/>
                      <w14:textFill>
                        <w14:solidFill>
                          <w14:schemeClr w14:val="tx1"/>
                        </w14:solidFill>
                      </w14:textFill>
                    </w:rPr>
                  </w:pPr>
                </w:p>
              </w:tc>
              <w:tc>
                <w:tcPr>
                  <w:tcW w:w="1176"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木形村村委会</w:t>
                  </w:r>
                </w:p>
              </w:tc>
              <w:tc>
                <w:tcPr>
                  <w:tcW w:w="62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-108</w:t>
                  </w:r>
                </w:p>
              </w:tc>
              <w:tc>
                <w:tcPr>
                  <w:tcW w:w="641"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453</w:t>
                  </w:r>
                </w:p>
              </w:tc>
              <w:tc>
                <w:tcPr>
                  <w:tcW w:w="846"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居民</w:t>
                  </w:r>
                </w:p>
              </w:tc>
              <w:tc>
                <w:tcPr>
                  <w:tcW w:w="1050"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约20人</w:t>
                  </w:r>
                </w:p>
              </w:tc>
              <w:tc>
                <w:tcPr>
                  <w:tcW w:w="927" w:type="dxa"/>
                  <w:vMerge w:val="continue"/>
                  <w:vAlign w:val="center"/>
                </w:tcPr>
                <w:p>
                  <w:pPr>
                    <w:pStyle w:val="38"/>
                    <w:widowControl w:val="0"/>
                    <w:rPr>
                      <w:rFonts w:hint="eastAsia"/>
                      <w:color w:val="000000" w:themeColor="text1"/>
                      <w:highlight w:val="none"/>
                      <w:u w:val="single"/>
                      <w14:textFill>
                        <w14:solidFill>
                          <w14:schemeClr w14:val="tx1"/>
                        </w14:solidFill>
                      </w14:textFill>
                    </w:rPr>
                  </w:pPr>
                </w:p>
              </w:tc>
              <w:tc>
                <w:tcPr>
                  <w:tcW w:w="1077" w:type="dxa"/>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WN</w:t>
                  </w:r>
                </w:p>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480m</w:t>
                  </w:r>
                </w:p>
              </w:tc>
              <w:tc>
                <w:tcPr>
                  <w:tcW w:w="655"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-49</w:t>
                  </w:r>
                </w:p>
              </w:tc>
              <w:tc>
                <w:tcPr>
                  <w:tcW w:w="872" w:type="dxa"/>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WN</w:t>
                  </w:r>
                </w:p>
                <w:p>
                  <w:pPr>
                    <w:pStyle w:val="38"/>
                    <w:widowControl w:val="0"/>
                    <w:rPr>
                      <w:rFonts w:hint="default"/>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361m</w:t>
                  </w:r>
                </w:p>
              </w:tc>
              <w:tc>
                <w:tcPr>
                  <w:tcW w:w="714"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1176"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忠防社区居民</w:t>
                  </w:r>
                </w:p>
              </w:tc>
              <w:tc>
                <w:tcPr>
                  <w:tcW w:w="627" w:type="dxa"/>
                  <w:vAlign w:val="center"/>
                </w:tcPr>
                <w:p>
                  <w:pPr>
                    <w:pStyle w:val="38"/>
                    <w:widowControl w:val="0"/>
                    <w:rPr>
                      <w:rFonts w:hint="default" w:ascii="Times New Roman" w:hAnsi="Times New Roman" w:eastAsia="宋体" w:cs="Times New Roman"/>
                      <w:color w:val="000000" w:themeColor="text1"/>
                      <w:sz w:val="21"/>
                      <w:szCs w:val="21"/>
                      <w:highlight w:val="none"/>
                      <w:u w:val="single"/>
                      <w:lang w:val="en-US" w:eastAsia="zh-CN" w:bidi="ar-SA"/>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-152</w:t>
                  </w:r>
                </w:p>
              </w:tc>
              <w:tc>
                <w:tcPr>
                  <w:tcW w:w="641" w:type="dxa"/>
                  <w:vAlign w:val="center"/>
                </w:tcPr>
                <w:p>
                  <w:pPr>
                    <w:pStyle w:val="38"/>
                    <w:widowControl w:val="0"/>
                    <w:rPr>
                      <w:rFonts w:hint="default" w:ascii="Times New Roman" w:hAnsi="Times New Roman" w:eastAsia="宋体" w:cs="Times New Roman"/>
                      <w:color w:val="000000" w:themeColor="text1"/>
                      <w:sz w:val="21"/>
                      <w:szCs w:val="21"/>
                      <w:highlight w:val="none"/>
                      <w:u w:val="single"/>
                      <w:lang w:val="en-US" w:eastAsia="zh-CN" w:bidi="ar-SA"/>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-271</w:t>
                  </w:r>
                </w:p>
              </w:tc>
              <w:tc>
                <w:tcPr>
                  <w:tcW w:w="846" w:type="dxa"/>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居民</w:t>
                  </w:r>
                </w:p>
              </w:tc>
              <w:tc>
                <w:tcPr>
                  <w:tcW w:w="1050"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约18户，72人</w:t>
                  </w:r>
                </w:p>
              </w:tc>
              <w:tc>
                <w:tcPr>
                  <w:tcW w:w="927"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1077" w:type="dxa"/>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S</w:t>
                  </w:r>
                </w:p>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101m-500m</w:t>
                  </w:r>
                </w:p>
              </w:tc>
              <w:tc>
                <w:tcPr>
                  <w:tcW w:w="655"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-29</w:t>
                  </w:r>
                </w:p>
              </w:tc>
              <w:tc>
                <w:tcPr>
                  <w:tcW w:w="872" w:type="dxa"/>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S</w:t>
                  </w:r>
                </w:p>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128m-500m</w:t>
                  </w:r>
                </w:p>
              </w:tc>
              <w:tc>
                <w:tcPr>
                  <w:tcW w:w="714"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restar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水环境</w:t>
                  </w:r>
                </w:p>
              </w:tc>
              <w:tc>
                <w:tcPr>
                  <w:tcW w:w="1176"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木形水库</w:t>
                  </w:r>
                </w:p>
              </w:tc>
              <w:tc>
                <w:tcPr>
                  <w:tcW w:w="4091" w:type="dxa"/>
                  <w:gridSpan w:val="5"/>
                  <w:vAlign w:val="center"/>
                </w:tcPr>
                <w:p>
                  <w:pPr>
                    <w:pStyle w:val="38"/>
                    <w:widowControl w:val="0"/>
                    <w:rPr>
                      <w:bCs/>
                      <w:color w:val="000000" w:themeColor="text1"/>
                      <w:highlight w:val="none"/>
                      <w:u w:val="single"/>
                      <w14:textFill>
                        <w14:solidFill>
                          <w14:schemeClr w14:val="tx1"/>
                        </w14:solidFill>
                      </w14:textFill>
                    </w:rPr>
                  </w:pPr>
                  <w:r>
                    <w:rPr>
                      <w:rFonts w:hint="default" w:ascii="Times New Roman" w:hAnsi="Times New Roman" w:cs="Times New Roman"/>
                      <w:bCs/>
                      <w:color w:val="000000" w:themeColor="text1"/>
                      <w:highlight w:val="none"/>
                      <w:u w:val="single"/>
                      <w:lang w:bidi="zh-CN"/>
                      <w14:textFill>
                        <w14:solidFill>
                          <w14:schemeClr w14:val="tx1"/>
                        </w14:solidFill>
                      </w14:textFill>
                    </w:rPr>
                    <w:t>《GB3838-2002》</w:t>
                  </w:r>
                  <w:r>
                    <w:rPr>
                      <w:rFonts w:hint="default" w:ascii="Times New Roman" w:hAnsi="Times New Roman" w:eastAsia="宋体" w:cs="Times New Roman"/>
                      <w:bCs/>
                      <w:color w:val="000000" w:themeColor="text1"/>
                      <w:highlight w:val="none"/>
                      <w:u w:val="single"/>
                      <w:lang w:bidi="zh-CN"/>
                      <w14:textFill>
                        <w14:solidFill>
                          <w14:schemeClr w14:val="tx1"/>
                        </w14:solidFill>
                      </w14:textFill>
                    </w:rPr>
                    <w:t>Ⅱ</w:t>
                  </w:r>
                  <w:r>
                    <w:rPr>
                      <w:rFonts w:hint="default" w:ascii="Times New Roman" w:hAnsi="Times New Roman" w:cs="Times New Roman"/>
                      <w:bCs/>
                      <w:color w:val="000000" w:themeColor="text1"/>
                      <w:highlight w:val="none"/>
                      <w:u w:val="single"/>
                      <w:lang w:bidi="zh-CN"/>
                      <w14:textFill>
                        <w14:solidFill>
                          <w14:schemeClr w14:val="tx1"/>
                        </w14:solidFill>
                      </w14:textFill>
                    </w:rPr>
                    <w:t>类标准</w:t>
                  </w:r>
                  <w:r>
                    <w:rPr>
                      <w:rFonts w:hint="eastAsia" w:cs="Times New Roman"/>
                      <w:bCs/>
                      <w:color w:val="000000" w:themeColor="text1"/>
                      <w:highlight w:val="none"/>
                      <w:u w:val="single"/>
                      <w:lang w:bidi="zh-CN"/>
                      <w14:textFill>
                        <w14:solidFill>
                          <w14:schemeClr w14:val="tx1"/>
                        </w14:solidFill>
                      </w14:textFill>
                    </w:rPr>
                    <w:t>（</w:t>
                  </w:r>
                  <w:r>
                    <w:rPr>
                      <w:rFonts w:hint="eastAsia" w:cs="Times New Roman"/>
                      <w:bCs/>
                      <w:color w:val="000000" w:themeColor="text1"/>
                      <w:highlight w:val="none"/>
                      <w:u w:val="single"/>
                      <w:lang w:val="en-US" w:bidi="zh-CN"/>
                      <w14:textFill>
                        <w14:solidFill>
                          <w14:schemeClr w14:val="tx1"/>
                        </w14:solidFill>
                      </w14:textFill>
                    </w:rPr>
                    <w:t>取水口处</w:t>
                  </w:r>
                  <w:r>
                    <w:rPr>
                      <w:rFonts w:hint="eastAsia" w:cs="Times New Roman"/>
                      <w:bCs/>
                      <w:color w:val="000000" w:themeColor="text1"/>
                      <w:highlight w:val="none"/>
                      <w:u w:val="single"/>
                      <w:lang w:bidi="zh-CN"/>
                      <w14:textFill>
                        <w14:solidFill>
                          <w14:schemeClr w14:val="tx1"/>
                        </w14:solidFill>
                      </w14:textFill>
                    </w:rPr>
                    <w:t>）</w:t>
                  </w:r>
                </w:p>
              </w:tc>
              <w:tc>
                <w:tcPr>
                  <w:tcW w:w="1732" w:type="dxa"/>
                  <w:gridSpan w:val="2"/>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E  5m</w:t>
                  </w:r>
                </w:p>
              </w:tc>
              <w:tc>
                <w:tcPr>
                  <w:tcW w:w="1586" w:type="dxa"/>
                  <w:gridSpan w:val="2"/>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E  60m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continue"/>
                  <w:vAlign w:val="center"/>
                </w:tcPr>
                <w:p>
                  <w:pPr>
                    <w:pStyle w:val="38"/>
                    <w:widowControl w:val="0"/>
                    <w:rPr>
                      <w:rFonts w:hint="eastAsia"/>
                      <w:color w:val="000000" w:themeColor="text1"/>
                      <w:highlight w:val="none"/>
                      <w:u w:val="single"/>
                      <w14:textFill>
                        <w14:solidFill>
                          <w14:schemeClr w14:val="tx1"/>
                        </w14:solidFill>
                      </w14:textFill>
                    </w:rPr>
                  </w:pPr>
                </w:p>
              </w:tc>
              <w:tc>
                <w:tcPr>
                  <w:tcW w:w="1176"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游港河</w:t>
                  </w:r>
                </w:p>
              </w:tc>
              <w:tc>
                <w:tcPr>
                  <w:tcW w:w="4091" w:type="dxa"/>
                  <w:gridSpan w:val="5"/>
                  <w:vAlign w:val="center"/>
                </w:tcPr>
                <w:p>
                  <w:pPr>
                    <w:pStyle w:val="38"/>
                    <w:widowControl w:val="0"/>
                    <w:rPr>
                      <w:rFonts w:hint="eastAsia"/>
                      <w:bCs/>
                      <w:color w:val="000000" w:themeColor="text1"/>
                      <w:highlight w:val="none"/>
                      <w:u w:val="single"/>
                      <w:lang w:bidi="zh-CN"/>
                      <w14:textFill>
                        <w14:solidFill>
                          <w14:schemeClr w14:val="tx1"/>
                        </w14:solidFill>
                      </w14:textFill>
                    </w:rPr>
                  </w:pPr>
                  <w:r>
                    <w:rPr>
                      <w:rFonts w:hint="eastAsia"/>
                      <w:bCs/>
                      <w:color w:val="000000" w:themeColor="text1"/>
                      <w:highlight w:val="none"/>
                      <w:u w:val="single"/>
                      <w:lang w:bidi="zh-CN"/>
                      <w14:textFill>
                        <w14:solidFill>
                          <w14:schemeClr w14:val="tx1"/>
                        </w14:solidFill>
                      </w14:textFill>
                    </w:rPr>
                    <w:t>《</w:t>
                  </w:r>
                  <w:r>
                    <w:rPr>
                      <w:bCs/>
                      <w:color w:val="000000" w:themeColor="text1"/>
                      <w:highlight w:val="none"/>
                      <w:u w:val="single"/>
                      <w:lang w:bidi="zh-CN"/>
                      <w14:textFill>
                        <w14:solidFill>
                          <w14:schemeClr w14:val="tx1"/>
                        </w14:solidFill>
                      </w14:textFill>
                    </w:rPr>
                    <w:t>GB3838-2002</w:t>
                  </w:r>
                  <w:r>
                    <w:rPr>
                      <w:rFonts w:hint="eastAsia"/>
                      <w:bCs/>
                      <w:color w:val="000000" w:themeColor="text1"/>
                      <w:highlight w:val="none"/>
                      <w:u w:val="single"/>
                      <w:lang w:bidi="zh-CN"/>
                      <w14:textFill>
                        <w14:solidFill>
                          <w14:schemeClr w14:val="tx1"/>
                        </w14:solidFill>
                      </w14:textFill>
                    </w:rPr>
                    <w:t>》</w:t>
                  </w:r>
                  <w:r>
                    <w:rPr>
                      <w:bCs/>
                      <w:color w:val="000000" w:themeColor="text1"/>
                      <w:highlight w:val="none"/>
                      <w:u w:val="single"/>
                      <w:lang w:bidi="zh-CN"/>
                      <w14:textFill>
                        <w14:solidFill>
                          <w14:schemeClr w14:val="tx1"/>
                        </w14:solidFill>
                      </w14:textFill>
                    </w:rPr>
                    <w:fldChar w:fldCharType="begin"/>
                  </w:r>
                  <w:r>
                    <w:rPr>
                      <w:bCs/>
                      <w:color w:val="000000" w:themeColor="text1"/>
                      <w:highlight w:val="none"/>
                      <w:u w:val="single"/>
                      <w:lang w:bidi="zh-CN"/>
                      <w14:textFill>
                        <w14:solidFill>
                          <w14:schemeClr w14:val="tx1"/>
                        </w14:solidFill>
                      </w14:textFill>
                    </w:rPr>
                    <w:instrText xml:space="preserve"> = 3 \* ROMAN </w:instrText>
                  </w:r>
                  <w:r>
                    <w:rPr>
                      <w:bCs/>
                      <w:color w:val="000000" w:themeColor="text1"/>
                      <w:highlight w:val="none"/>
                      <w:u w:val="single"/>
                      <w:lang w:bidi="zh-CN"/>
                      <w14:textFill>
                        <w14:solidFill>
                          <w14:schemeClr w14:val="tx1"/>
                        </w14:solidFill>
                      </w14:textFill>
                    </w:rPr>
                    <w:fldChar w:fldCharType="separate"/>
                  </w:r>
                  <w:r>
                    <w:rPr>
                      <w:bCs/>
                      <w:color w:val="000000" w:themeColor="text1"/>
                      <w:highlight w:val="none"/>
                      <w:u w:val="single"/>
                      <w:lang w:bidi="zh-CN"/>
                      <w14:textFill>
                        <w14:solidFill>
                          <w14:schemeClr w14:val="tx1"/>
                        </w14:solidFill>
                      </w14:textFill>
                    </w:rPr>
                    <w:t>III</w:t>
                  </w:r>
                  <w:r>
                    <w:rPr>
                      <w:bCs/>
                      <w:color w:val="000000" w:themeColor="text1"/>
                      <w:highlight w:val="none"/>
                      <w:u w:val="single"/>
                      <w14:textFill>
                        <w14:solidFill>
                          <w14:schemeClr w14:val="tx1"/>
                        </w14:solidFill>
                      </w14:textFill>
                    </w:rPr>
                    <w:fldChar w:fldCharType="end"/>
                  </w:r>
                  <w:r>
                    <w:rPr>
                      <w:rFonts w:hint="eastAsia"/>
                      <w:bCs/>
                      <w:color w:val="000000" w:themeColor="text1"/>
                      <w:highlight w:val="none"/>
                      <w:u w:val="single"/>
                      <w:lang w:bidi="zh-CN"/>
                      <w14:textFill>
                        <w14:solidFill>
                          <w14:schemeClr w14:val="tx1"/>
                        </w14:solidFill>
                      </w14:textFill>
                    </w:rPr>
                    <w:t>类标准</w:t>
                  </w:r>
                </w:p>
              </w:tc>
              <w:tc>
                <w:tcPr>
                  <w:tcW w:w="1732" w:type="dxa"/>
                  <w:gridSpan w:val="2"/>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WN  570m</w:t>
                  </w:r>
                </w:p>
              </w:tc>
              <w:tc>
                <w:tcPr>
                  <w:tcW w:w="1586" w:type="dxa"/>
                  <w:gridSpan w:val="2"/>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WN  480m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Align w:val="center"/>
                </w:tcPr>
                <w:p>
                  <w:pPr>
                    <w:wordWrap w:val="0"/>
                    <w:adjustRightInd w:val="0"/>
                    <w:snapToGrid w:val="0"/>
                    <w:spacing w:line="276" w:lineRule="auto"/>
                    <w:jc w:val="center"/>
                    <w:rPr>
                      <w:rFonts w:cs="Times New Roman"/>
                      <w:color w:val="000000" w:themeColor="text1"/>
                      <w:sz w:val="21"/>
                      <w:szCs w:val="21"/>
                      <w:highlight w:val="none"/>
                      <w:u w:val="single"/>
                      <w14:textFill>
                        <w14:solidFill>
                          <w14:schemeClr w14:val="tx1"/>
                        </w14:solidFill>
                      </w14:textFill>
                    </w:rPr>
                  </w:pPr>
                  <w:r>
                    <w:rPr>
                      <w:rFonts w:hint="eastAsia" w:cs="Times New Roman"/>
                      <w:color w:val="000000" w:themeColor="text1"/>
                      <w:sz w:val="21"/>
                      <w:szCs w:val="21"/>
                      <w:highlight w:val="none"/>
                      <w:u w:val="single"/>
                      <w14:textFill>
                        <w14:solidFill>
                          <w14:schemeClr w14:val="tx1"/>
                        </w14:solidFill>
                      </w14:textFill>
                    </w:rPr>
                    <w:t>声</w:t>
                  </w:r>
                </w:p>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环境</w:t>
                  </w:r>
                </w:p>
              </w:tc>
              <w:tc>
                <w:tcPr>
                  <w:tcW w:w="8585" w:type="dxa"/>
                  <w:gridSpan w:val="10"/>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本项目厂界外</w:t>
                  </w:r>
                  <w:r>
                    <w:rPr>
                      <w:color w:val="000000" w:themeColor="text1"/>
                      <w:highlight w:val="none"/>
                      <w:u w:val="single"/>
                      <w14:textFill>
                        <w14:solidFill>
                          <w14:schemeClr w14:val="tx1"/>
                        </w14:solidFill>
                      </w14:textFill>
                    </w:rPr>
                    <w:t>50m</w:t>
                  </w:r>
                  <w:r>
                    <w:rPr>
                      <w:rFonts w:hint="eastAsia"/>
                      <w:color w:val="000000" w:themeColor="text1"/>
                      <w:highlight w:val="none"/>
                      <w:u w:val="single"/>
                      <w14:textFill>
                        <w14:solidFill>
                          <w14:schemeClr w14:val="tx1"/>
                        </w14:solidFill>
                      </w14:textFill>
                    </w:rPr>
                    <w:t>范围内无声环境敏感点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地下水</w:t>
                  </w:r>
                </w:p>
              </w:tc>
              <w:tc>
                <w:tcPr>
                  <w:tcW w:w="8585" w:type="dxa"/>
                  <w:gridSpan w:val="10"/>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本项目厂界外500米范围内无地下水集中式饮用水水源和热水、矿泉水、温泉等特殊地下水资源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生态环境</w:t>
                  </w:r>
                </w:p>
              </w:tc>
              <w:tc>
                <w:tcPr>
                  <w:tcW w:w="8585" w:type="dxa"/>
                  <w:gridSpan w:val="10"/>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本项目不涉及生态环境保护目标。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8" w:type="dxa"/>
                  <w:gridSpan w:val="11"/>
                  <w:vAlign w:val="center"/>
                </w:tcPr>
                <w:p>
                  <w:pPr>
                    <w:pStyle w:val="38"/>
                    <w:widowControl w:val="0"/>
                    <w:jc w:val="left"/>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注：以水厂中心坐标作为X Y坐标原点（E 113.530427411，N 29.380710291）</w:t>
                  </w:r>
                </w:p>
              </w:tc>
            </w:tr>
          </w:tbl>
          <w:p>
            <w:pPr>
              <w:pStyle w:val="5"/>
              <w:widowControl w:val="0"/>
              <w:ind w:firstLine="0" w:firstLineChars="0"/>
              <w:jc w:val="center"/>
              <w:rPr>
                <w:rFonts w:hint="eastAsia" w:cs="Times New Roman"/>
                <w:b/>
                <w:bCs/>
                <w:color w:val="000000" w:themeColor="text1"/>
                <w:highlight w:val="none"/>
                <w:u w:val="single"/>
                <w14:textFill>
                  <w14:solidFill>
                    <w14:schemeClr w14:val="tx1"/>
                  </w14:solidFill>
                </w14:textFill>
              </w:rPr>
            </w:pPr>
            <w:r>
              <w:rPr>
                <w:rFonts w:hint="eastAsia" w:cs="Times New Roman"/>
                <w:b/>
                <w:bCs/>
                <w:color w:val="000000" w:themeColor="text1"/>
                <w:highlight w:val="none"/>
                <w:u w:val="single"/>
                <w14:textFill>
                  <w14:solidFill>
                    <w14:schemeClr w14:val="tx1"/>
                  </w14:solidFill>
                </w14:textFill>
              </w:rPr>
              <w:t>表3-</w:t>
            </w:r>
            <w:r>
              <w:rPr>
                <w:rFonts w:hint="eastAsia" w:cs="Times New Roman"/>
                <w:b/>
                <w:bCs/>
                <w:color w:val="000000" w:themeColor="text1"/>
                <w:highlight w:val="none"/>
                <w:u w:val="single"/>
                <w:lang w:val="en-US" w:eastAsia="zh-CN"/>
                <w14:textFill>
                  <w14:solidFill>
                    <w14:schemeClr w14:val="tx1"/>
                  </w14:solidFill>
                </w14:textFill>
              </w:rPr>
              <w:t>4</w:t>
            </w:r>
            <w:r>
              <w:rPr>
                <w:rFonts w:hint="eastAsia" w:cs="Times New Roman"/>
                <w:b/>
                <w:bCs/>
                <w:color w:val="000000" w:themeColor="text1"/>
                <w:highlight w:val="none"/>
                <w:u w:val="single"/>
                <w14:textFill>
                  <w14:solidFill>
                    <w14:schemeClr w14:val="tx1"/>
                  </w14:solidFill>
                </w14:textFill>
              </w:rPr>
              <w:t xml:space="preserve">  项目配水管线</w:t>
            </w:r>
            <w:r>
              <w:rPr>
                <w:rFonts w:hint="eastAsia" w:cs="Times New Roman"/>
                <w:b/>
                <w:bCs/>
                <w:color w:val="000000" w:themeColor="text1"/>
                <w:highlight w:val="none"/>
                <w:u w:val="single"/>
                <w:lang w:val="en-US" w:eastAsia="zh-CN"/>
                <w14:textFill>
                  <w14:solidFill>
                    <w14:schemeClr w14:val="tx1"/>
                  </w14:solidFill>
                </w14:textFill>
              </w:rPr>
              <w:t>周围</w:t>
            </w:r>
            <w:r>
              <w:rPr>
                <w:rFonts w:hint="eastAsia" w:cs="Times New Roman"/>
                <w:b/>
                <w:bCs/>
                <w:color w:val="000000" w:themeColor="text1"/>
                <w:highlight w:val="none"/>
                <w:u w:val="single"/>
                <w14:textFill>
                  <w14:solidFill>
                    <w14:schemeClr w14:val="tx1"/>
                  </w14:solidFill>
                </w14:textFill>
              </w:rPr>
              <w:t>环境保护目标</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3"/>
              <w:gridCol w:w="1176"/>
              <w:gridCol w:w="627"/>
              <w:gridCol w:w="641"/>
              <w:gridCol w:w="8"/>
              <w:gridCol w:w="838"/>
              <w:gridCol w:w="1776"/>
              <w:gridCol w:w="1459"/>
              <w:gridCol w:w="1186"/>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restart"/>
                  <w:vAlign w:val="center"/>
                </w:tcPr>
                <w:p>
                  <w:pPr>
                    <w:pStyle w:val="38"/>
                    <w:widowControl w:val="0"/>
                    <w:rPr>
                      <w:b/>
                      <w:color w:val="000000" w:themeColor="text1"/>
                      <w:highlight w:val="none"/>
                      <w:u w:val="single"/>
                      <w14:textFill>
                        <w14:solidFill>
                          <w14:schemeClr w14:val="tx1"/>
                        </w14:solidFill>
                      </w14:textFill>
                    </w:rPr>
                  </w:pPr>
                  <w:r>
                    <w:rPr>
                      <w:rFonts w:hint="eastAsia"/>
                      <w:b/>
                      <w:color w:val="000000" w:themeColor="text1"/>
                      <w:highlight w:val="none"/>
                      <w:u w:val="single"/>
                      <w14:textFill>
                        <w14:solidFill>
                          <w14:schemeClr w14:val="tx1"/>
                        </w14:solidFill>
                      </w14:textFill>
                    </w:rPr>
                    <w:t>环境</w:t>
                  </w:r>
                </w:p>
                <w:p>
                  <w:pPr>
                    <w:pStyle w:val="38"/>
                    <w:widowControl w:val="0"/>
                    <w:rPr>
                      <w:color w:val="000000" w:themeColor="text1"/>
                      <w:highlight w:val="none"/>
                      <w:u w:val="single"/>
                      <w14:textFill>
                        <w14:solidFill>
                          <w14:schemeClr w14:val="tx1"/>
                        </w14:solidFill>
                      </w14:textFill>
                    </w:rPr>
                  </w:pPr>
                  <w:r>
                    <w:rPr>
                      <w:rFonts w:hint="eastAsia"/>
                      <w:b/>
                      <w:color w:val="000000" w:themeColor="text1"/>
                      <w:highlight w:val="none"/>
                      <w:u w:val="single"/>
                      <w14:textFill>
                        <w14:solidFill>
                          <w14:schemeClr w14:val="tx1"/>
                        </w14:solidFill>
                      </w14:textFill>
                    </w:rPr>
                    <w:t>要素</w:t>
                  </w:r>
                </w:p>
              </w:tc>
              <w:tc>
                <w:tcPr>
                  <w:tcW w:w="1176" w:type="dxa"/>
                  <w:vMerge w:val="restart"/>
                  <w:vAlign w:val="center"/>
                </w:tcPr>
                <w:p>
                  <w:pPr>
                    <w:wordWrap w:val="0"/>
                    <w:adjustRightInd w:val="0"/>
                    <w:snapToGrid w:val="0"/>
                    <w:spacing w:line="276" w:lineRule="auto"/>
                    <w:jc w:val="center"/>
                    <w:rPr>
                      <w:rFonts w:cs="Times New Roman"/>
                      <w:b/>
                      <w:color w:val="000000" w:themeColor="text1"/>
                      <w:sz w:val="21"/>
                      <w:szCs w:val="21"/>
                      <w:highlight w:val="none"/>
                      <w:u w:val="single"/>
                      <w14:textFill>
                        <w14:solidFill>
                          <w14:schemeClr w14:val="tx1"/>
                        </w14:solidFill>
                      </w14:textFill>
                    </w:rPr>
                  </w:pPr>
                  <w:r>
                    <w:rPr>
                      <w:rFonts w:hint="eastAsia" w:cs="Times New Roman"/>
                      <w:b/>
                      <w:color w:val="000000" w:themeColor="text1"/>
                      <w:sz w:val="21"/>
                      <w:szCs w:val="21"/>
                      <w:highlight w:val="none"/>
                      <w:u w:val="single"/>
                      <w14:textFill>
                        <w14:solidFill>
                          <w14:schemeClr w14:val="tx1"/>
                        </w14:solidFill>
                      </w14:textFill>
                    </w:rPr>
                    <w:t>保护</w:t>
                  </w:r>
                </w:p>
                <w:p>
                  <w:pPr>
                    <w:pStyle w:val="38"/>
                    <w:widowControl w:val="0"/>
                    <w:rPr>
                      <w:color w:val="000000" w:themeColor="text1"/>
                      <w:highlight w:val="none"/>
                      <w:u w:val="single"/>
                      <w14:textFill>
                        <w14:solidFill>
                          <w14:schemeClr w14:val="tx1"/>
                        </w14:solidFill>
                      </w14:textFill>
                    </w:rPr>
                  </w:pPr>
                  <w:r>
                    <w:rPr>
                      <w:rFonts w:hint="eastAsia"/>
                      <w:b/>
                      <w:color w:val="000000" w:themeColor="text1"/>
                      <w:highlight w:val="none"/>
                      <w:u w:val="single"/>
                      <w14:textFill>
                        <w14:solidFill>
                          <w14:schemeClr w14:val="tx1"/>
                        </w14:solidFill>
                      </w14:textFill>
                    </w:rPr>
                    <w:t>目标</w:t>
                  </w:r>
                </w:p>
              </w:tc>
              <w:tc>
                <w:tcPr>
                  <w:tcW w:w="1268" w:type="dxa"/>
                  <w:gridSpan w:val="2"/>
                  <w:vAlign w:val="center"/>
                </w:tcPr>
                <w:p>
                  <w:pPr>
                    <w:pStyle w:val="38"/>
                    <w:widowControl w:val="0"/>
                    <w:rPr>
                      <w:color w:val="000000" w:themeColor="text1"/>
                      <w:highlight w:val="none"/>
                      <w:u w:val="single"/>
                      <w14:textFill>
                        <w14:solidFill>
                          <w14:schemeClr w14:val="tx1"/>
                        </w14:solidFill>
                      </w14:textFill>
                    </w:rPr>
                  </w:pPr>
                  <w:r>
                    <w:rPr>
                      <w:rFonts w:hint="eastAsia"/>
                      <w:b/>
                      <w:color w:val="000000" w:themeColor="text1"/>
                      <w:highlight w:val="none"/>
                      <w:u w:val="single"/>
                      <w:lang w:val="en-US" w:eastAsia="zh-CN"/>
                      <w14:textFill>
                        <w14:solidFill>
                          <w14:schemeClr w14:val="tx1"/>
                        </w14:solidFill>
                      </w14:textFill>
                    </w:rPr>
                    <w:t>中心</w:t>
                  </w:r>
                  <w:r>
                    <w:rPr>
                      <w:rFonts w:hint="eastAsia"/>
                      <w:b/>
                      <w:color w:val="000000" w:themeColor="text1"/>
                      <w:highlight w:val="none"/>
                      <w:u w:val="single"/>
                      <w14:textFill>
                        <w14:solidFill>
                          <w14:schemeClr w14:val="tx1"/>
                        </w14:solidFill>
                      </w14:textFill>
                    </w:rPr>
                    <w:t>坐标</w:t>
                  </w:r>
                </w:p>
              </w:tc>
              <w:tc>
                <w:tcPr>
                  <w:tcW w:w="846" w:type="dxa"/>
                  <w:gridSpan w:val="2"/>
                  <w:vMerge w:val="restart"/>
                  <w:vAlign w:val="center"/>
                </w:tcPr>
                <w:p>
                  <w:pPr>
                    <w:wordWrap w:val="0"/>
                    <w:adjustRightInd w:val="0"/>
                    <w:snapToGrid w:val="0"/>
                    <w:spacing w:line="276" w:lineRule="auto"/>
                    <w:jc w:val="center"/>
                    <w:rPr>
                      <w:rFonts w:cs="Times New Roman"/>
                      <w:b/>
                      <w:color w:val="000000" w:themeColor="text1"/>
                      <w:sz w:val="21"/>
                      <w:szCs w:val="21"/>
                      <w:highlight w:val="none"/>
                      <w:u w:val="single"/>
                      <w14:textFill>
                        <w14:solidFill>
                          <w14:schemeClr w14:val="tx1"/>
                        </w14:solidFill>
                      </w14:textFill>
                    </w:rPr>
                  </w:pPr>
                  <w:r>
                    <w:rPr>
                      <w:rFonts w:hint="eastAsia" w:cs="Times New Roman"/>
                      <w:b/>
                      <w:color w:val="000000" w:themeColor="text1"/>
                      <w:sz w:val="21"/>
                      <w:szCs w:val="21"/>
                      <w:highlight w:val="none"/>
                      <w:u w:val="single"/>
                      <w14:textFill>
                        <w14:solidFill>
                          <w14:schemeClr w14:val="tx1"/>
                        </w14:solidFill>
                      </w14:textFill>
                    </w:rPr>
                    <w:t>保护</w:t>
                  </w:r>
                </w:p>
                <w:p>
                  <w:pPr>
                    <w:pStyle w:val="38"/>
                    <w:widowControl w:val="0"/>
                    <w:rPr>
                      <w:color w:val="000000" w:themeColor="text1"/>
                      <w:highlight w:val="none"/>
                      <w:u w:val="single"/>
                      <w14:textFill>
                        <w14:solidFill>
                          <w14:schemeClr w14:val="tx1"/>
                        </w14:solidFill>
                      </w14:textFill>
                    </w:rPr>
                  </w:pPr>
                  <w:r>
                    <w:rPr>
                      <w:rFonts w:hint="eastAsia"/>
                      <w:b/>
                      <w:color w:val="000000" w:themeColor="text1"/>
                      <w:highlight w:val="none"/>
                      <w:u w:val="single"/>
                      <w14:textFill>
                        <w14:solidFill>
                          <w14:schemeClr w14:val="tx1"/>
                        </w14:solidFill>
                      </w14:textFill>
                    </w:rPr>
                    <w:t>对象</w:t>
                  </w:r>
                </w:p>
              </w:tc>
              <w:tc>
                <w:tcPr>
                  <w:tcW w:w="1776" w:type="dxa"/>
                  <w:vMerge w:val="restart"/>
                  <w:vAlign w:val="center"/>
                </w:tcPr>
                <w:p>
                  <w:pPr>
                    <w:wordWrap w:val="0"/>
                    <w:adjustRightInd w:val="0"/>
                    <w:snapToGrid w:val="0"/>
                    <w:spacing w:line="276" w:lineRule="auto"/>
                    <w:jc w:val="center"/>
                    <w:rPr>
                      <w:rFonts w:cs="Times New Roman"/>
                      <w:b/>
                      <w:color w:val="000000" w:themeColor="text1"/>
                      <w:sz w:val="21"/>
                      <w:szCs w:val="21"/>
                      <w:highlight w:val="none"/>
                      <w:u w:val="single"/>
                      <w14:textFill>
                        <w14:solidFill>
                          <w14:schemeClr w14:val="tx1"/>
                        </w14:solidFill>
                      </w14:textFill>
                    </w:rPr>
                  </w:pPr>
                  <w:r>
                    <w:rPr>
                      <w:rFonts w:hint="eastAsia" w:cs="Times New Roman"/>
                      <w:b/>
                      <w:color w:val="000000" w:themeColor="text1"/>
                      <w:sz w:val="21"/>
                      <w:szCs w:val="21"/>
                      <w:highlight w:val="none"/>
                      <w:u w:val="single"/>
                      <w14:textFill>
                        <w14:solidFill>
                          <w14:schemeClr w14:val="tx1"/>
                        </w14:solidFill>
                      </w14:textFill>
                    </w:rPr>
                    <w:t>保护</w:t>
                  </w:r>
                </w:p>
                <w:p>
                  <w:pPr>
                    <w:pStyle w:val="38"/>
                    <w:widowControl w:val="0"/>
                    <w:rPr>
                      <w:color w:val="000000" w:themeColor="text1"/>
                      <w:highlight w:val="none"/>
                      <w:u w:val="single"/>
                      <w14:textFill>
                        <w14:solidFill>
                          <w14:schemeClr w14:val="tx1"/>
                        </w14:solidFill>
                      </w14:textFill>
                    </w:rPr>
                  </w:pPr>
                  <w:r>
                    <w:rPr>
                      <w:rFonts w:hint="eastAsia"/>
                      <w:b/>
                      <w:color w:val="000000" w:themeColor="text1"/>
                      <w:highlight w:val="none"/>
                      <w:u w:val="single"/>
                      <w14:textFill>
                        <w14:solidFill>
                          <w14:schemeClr w14:val="tx1"/>
                        </w14:solidFill>
                      </w14:textFill>
                    </w:rPr>
                    <w:t>规模</w:t>
                  </w:r>
                </w:p>
              </w:tc>
              <w:tc>
                <w:tcPr>
                  <w:tcW w:w="1459" w:type="dxa"/>
                  <w:vMerge w:val="restart"/>
                  <w:vAlign w:val="center"/>
                </w:tcPr>
                <w:p>
                  <w:pPr>
                    <w:pStyle w:val="38"/>
                    <w:widowControl w:val="0"/>
                    <w:rPr>
                      <w:color w:val="000000" w:themeColor="text1"/>
                      <w:highlight w:val="none"/>
                      <w:u w:val="single"/>
                      <w14:textFill>
                        <w14:solidFill>
                          <w14:schemeClr w14:val="tx1"/>
                        </w14:solidFill>
                      </w14:textFill>
                    </w:rPr>
                  </w:pPr>
                  <w:r>
                    <w:rPr>
                      <w:rFonts w:hint="eastAsia"/>
                      <w:b/>
                      <w:color w:val="000000" w:themeColor="text1"/>
                      <w:highlight w:val="none"/>
                      <w:u w:val="single"/>
                      <w14:textFill>
                        <w14:solidFill>
                          <w14:schemeClr w14:val="tx1"/>
                        </w14:solidFill>
                      </w14:textFill>
                    </w:rPr>
                    <w:t>环境功能</w:t>
                  </w:r>
                </w:p>
              </w:tc>
              <w:tc>
                <w:tcPr>
                  <w:tcW w:w="1186" w:type="dxa"/>
                  <w:vMerge w:val="restar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相对管道方位和距离</w:t>
                  </w:r>
                </w:p>
              </w:tc>
              <w:tc>
                <w:tcPr>
                  <w:tcW w:w="874" w:type="dxa"/>
                  <w:vMerge w:val="restart"/>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相对管道高差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1176"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62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b/>
                      <w:bCs/>
                      <w:color w:val="000000" w:themeColor="text1"/>
                      <w:highlight w:val="none"/>
                      <w:u w:val="single"/>
                      <w:lang w:val="en-US" w:eastAsia="zh-CN"/>
                      <w14:textFill>
                        <w14:solidFill>
                          <w14:schemeClr w14:val="tx1"/>
                        </w14:solidFill>
                      </w14:textFill>
                    </w:rPr>
                    <w:t>X</w:t>
                  </w:r>
                </w:p>
              </w:tc>
              <w:tc>
                <w:tcPr>
                  <w:tcW w:w="641"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Y</w:t>
                  </w:r>
                </w:p>
              </w:tc>
              <w:tc>
                <w:tcPr>
                  <w:tcW w:w="846" w:type="dxa"/>
                  <w:gridSpan w:val="2"/>
                  <w:vMerge w:val="continue"/>
                  <w:vAlign w:val="center"/>
                </w:tcPr>
                <w:p>
                  <w:pPr>
                    <w:pStyle w:val="38"/>
                    <w:widowControl w:val="0"/>
                    <w:rPr>
                      <w:color w:val="000000" w:themeColor="text1"/>
                      <w:highlight w:val="none"/>
                      <w:u w:val="single"/>
                      <w14:textFill>
                        <w14:solidFill>
                          <w14:schemeClr w14:val="tx1"/>
                        </w14:solidFill>
                      </w14:textFill>
                    </w:rPr>
                  </w:pPr>
                </w:p>
              </w:tc>
              <w:tc>
                <w:tcPr>
                  <w:tcW w:w="1776"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1459"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1186"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874" w:type="dxa"/>
                  <w:vMerge w:val="continue"/>
                  <w:vAlign w:val="center"/>
                </w:tcPr>
                <w:p>
                  <w:pPr>
                    <w:pStyle w:val="38"/>
                    <w:widowControl w:val="0"/>
                    <w:rPr>
                      <w:color w:val="000000" w:themeColor="text1"/>
                      <w:highlight w:val="none"/>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trPr>
              <w:tc>
                <w:tcPr>
                  <w:tcW w:w="573" w:type="dxa"/>
                  <w:vMerge w:val="restar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大气环境</w:t>
                  </w:r>
                </w:p>
              </w:tc>
              <w:tc>
                <w:tcPr>
                  <w:tcW w:w="1176"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木形村居民</w:t>
                  </w:r>
                </w:p>
              </w:tc>
              <w:tc>
                <w:tcPr>
                  <w:tcW w:w="62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-171</w:t>
                  </w:r>
                </w:p>
              </w:tc>
              <w:tc>
                <w:tcPr>
                  <w:tcW w:w="641"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398</w:t>
                  </w:r>
                </w:p>
              </w:tc>
              <w:tc>
                <w:tcPr>
                  <w:tcW w:w="846" w:type="dxa"/>
                  <w:gridSpan w:val="2"/>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居民</w:t>
                  </w:r>
                </w:p>
              </w:tc>
              <w:tc>
                <w:tcPr>
                  <w:tcW w:w="1776"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约100户，400人</w:t>
                  </w:r>
                </w:p>
              </w:tc>
              <w:tc>
                <w:tcPr>
                  <w:tcW w:w="1459" w:type="dxa"/>
                  <w:vMerge w:val="restar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w:t>
                  </w:r>
                  <w:r>
                    <w:rPr>
                      <w:color w:val="000000" w:themeColor="text1"/>
                      <w:highlight w:val="none"/>
                      <w:u w:val="single"/>
                      <w14:textFill>
                        <w14:solidFill>
                          <w14:schemeClr w14:val="tx1"/>
                        </w14:solidFill>
                      </w14:textFill>
                    </w:rPr>
                    <w:t>GB3095-2012</w:t>
                  </w:r>
                  <w:r>
                    <w:rPr>
                      <w:rFonts w:hint="eastAsia"/>
                      <w:color w:val="000000" w:themeColor="text1"/>
                      <w:highlight w:val="none"/>
                      <w:u w:val="single"/>
                      <w14:textFill>
                        <w14:solidFill>
                          <w14:schemeClr w14:val="tx1"/>
                        </w14:solidFill>
                      </w14:textFill>
                    </w:rPr>
                    <w:t>》二级标准</w:t>
                  </w:r>
                </w:p>
              </w:tc>
              <w:tc>
                <w:tcPr>
                  <w:tcW w:w="1186"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N</w:t>
                  </w:r>
                </w:p>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55m-500m</w:t>
                  </w:r>
                </w:p>
              </w:tc>
              <w:tc>
                <w:tcPr>
                  <w:tcW w:w="874"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continue"/>
                  <w:vAlign w:val="center"/>
                </w:tcPr>
                <w:p>
                  <w:pPr>
                    <w:pStyle w:val="38"/>
                    <w:widowControl w:val="0"/>
                    <w:rPr>
                      <w:rFonts w:hint="eastAsia"/>
                      <w:color w:val="000000" w:themeColor="text1"/>
                      <w:highlight w:val="none"/>
                      <w:u w:val="single"/>
                      <w14:textFill>
                        <w14:solidFill>
                          <w14:schemeClr w14:val="tx1"/>
                        </w14:solidFill>
                      </w14:textFill>
                    </w:rPr>
                  </w:pPr>
                </w:p>
              </w:tc>
              <w:tc>
                <w:tcPr>
                  <w:tcW w:w="1176"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木形村村委会</w:t>
                  </w:r>
                </w:p>
              </w:tc>
              <w:tc>
                <w:tcPr>
                  <w:tcW w:w="62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-52</w:t>
                  </w:r>
                </w:p>
              </w:tc>
              <w:tc>
                <w:tcPr>
                  <w:tcW w:w="641"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548</w:t>
                  </w:r>
                </w:p>
              </w:tc>
              <w:tc>
                <w:tcPr>
                  <w:tcW w:w="846" w:type="dxa"/>
                  <w:gridSpan w:val="2"/>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居民</w:t>
                  </w:r>
                </w:p>
              </w:tc>
              <w:tc>
                <w:tcPr>
                  <w:tcW w:w="1776"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约20人</w:t>
                  </w:r>
                </w:p>
              </w:tc>
              <w:tc>
                <w:tcPr>
                  <w:tcW w:w="1459" w:type="dxa"/>
                  <w:vMerge w:val="continue"/>
                  <w:vAlign w:val="center"/>
                </w:tcPr>
                <w:p>
                  <w:pPr>
                    <w:pStyle w:val="38"/>
                    <w:widowControl w:val="0"/>
                    <w:rPr>
                      <w:rFonts w:hint="eastAsia"/>
                      <w:color w:val="000000" w:themeColor="text1"/>
                      <w:highlight w:val="none"/>
                      <w:u w:val="single"/>
                      <w14:textFill>
                        <w14:solidFill>
                          <w14:schemeClr w14:val="tx1"/>
                        </w14:solidFill>
                      </w14:textFill>
                    </w:rPr>
                  </w:pPr>
                </w:p>
              </w:tc>
              <w:tc>
                <w:tcPr>
                  <w:tcW w:w="1186"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N</w:t>
                  </w:r>
                </w:p>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469m</w:t>
                  </w:r>
                </w:p>
              </w:tc>
              <w:tc>
                <w:tcPr>
                  <w:tcW w:w="874"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1176" w:type="dxa"/>
                  <w:vMerge w:val="restart"/>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忠防社区居民</w:t>
                  </w:r>
                </w:p>
              </w:tc>
              <w:tc>
                <w:tcPr>
                  <w:tcW w:w="627" w:type="dxa"/>
                  <w:vAlign w:val="center"/>
                </w:tcPr>
                <w:p>
                  <w:pPr>
                    <w:pStyle w:val="38"/>
                    <w:widowControl w:val="0"/>
                    <w:rPr>
                      <w:rFonts w:hint="default" w:ascii="Times New Roman" w:hAnsi="Times New Roman" w:eastAsia="宋体" w:cs="Times New Roman"/>
                      <w:color w:val="000000" w:themeColor="text1"/>
                      <w:sz w:val="21"/>
                      <w:szCs w:val="21"/>
                      <w:highlight w:val="none"/>
                      <w:u w:val="single"/>
                      <w:lang w:val="en-US" w:eastAsia="zh-CN" w:bidi="ar-SA"/>
                      <w14:textFill>
                        <w14:solidFill>
                          <w14:schemeClr w14:val="tx1"/>
                        </w14:solidFill>
                      </w14:textFill>
                    </w:rPr>
                  </w:pPr>
                  <w:r>
                    <w:rPr>
                      <w:rFonts w:hint="eastAsia" w:eastAsia="宋体" w:cs="Times New Roman"/>
                      <w:color w:val="000000" w:themeColor="text1"/>
                      <w:sz w:val="21"/>
                      <w:szCs w:val="21"/>
                      <w:highlight w:val="none"/>
                      <w:u w:val="single"/>
                      <w:lang w:val="en-US" w:eastAsia="zh-CN" w:bidi="ar-SA"/>
                      <w14:textFill>
                        <w14:solidFill>
                          <w14:schemeClr w14:val="tx1"/>
                        </w14:solidFill>
                      </w14:textFill>
                    </w:rPr>
                    <w:t>-28</w:t>
                  </w:r>
                </w:p>
              </w:tc>
              <w:tc>
                <w:tcPr>
                  <w:tcW w:w="641" w:type="dxa"/>
                  <w:vAlign w:val="center"/>
                </w:tcPr>
                <w:p>
                  <w:pPr>
                    <w:pStyle w:val="38"/>
                    <w:widowControl w:val="0"/>
                    <w:rPr>
                      <w:rFonts w:hint="default" w:ascii="Times New Roman" w:hAnsi="Times New Roman" w:eastAsia="宋体" w:cs="Times New Roman"/>
                      <w:color w:val="000000" w:themeColor="text1"/>
                      <w:sz w:val="21"/>
                      <w:szCs w:val="21"/>
                      <w:highlight w:val="none"/>
                      <w:u w:val="single"/>
                      <w:lang w:val="en-US" w:eastAsia="zh-CN" w:bidi="ar-SA"/>
                      <w14:textFill>
                        <w14:solidFill>
                          <w14:schemeClr w14:val="tx1"/>
                        </w14:solidFill>
                      </w14:textFill>
                    </w:rPr>
                  </w:pPr>
                  <w:r>
                    <w:rPr>
                      <w:rFonts w:hint="eastAsia" w:eastAsia="宋体" w:cs="Times New Roman"/>
                      <w:color w:val="000000" w:themeColor="text1"/>
                      <w:sz w:val="21"/>
                      <w:szCs w:val="21"/>
                      <w:highlight w:val="none"/>
                      <w:u w:val="single"/>
                      <w:lang w:val="en-US" w:eastAsia="zh-CN" w:bidi="ar-SA"/>
                      <w14:textFill>
                        <w14:solidFill>
                          <w14:schemeClr w14:val="tx1"/>
                        </w14:solidFill>
                      </w14:textFill>
                    </w:rPr>
                    <w:t>90</w:t>
                  </w:r>
                </w:p>
              </w:tc>
              <w:tc>
                <w:tcPr>
                  <w:tcW w:w="846" w:type="dxa"/>
                  <w:gridSpan w:val="2"/>
                  <w:vAlign w:val="center"/>
                </w:tcPr>
                <w:p>
                  <w:pPr>
                    <w:pStyle w:val="38"/>
                    <w:widowControl w:val="0"/>
                    <w:rPr>
                      <w:rFonts w:hint="eastAsia"/>
                      <w:color w:val="000000" w:themeColor="text1"/>
                      <w:highlight w:val="none"/>
                      <w:u w:val="single"/>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居民</w:t>
                  </w:r>
                </w:p>
              </w:tc>
              <w:tc>
                <w:tcPr>
                  <w:tcW w:w="1776"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约1户，4人</w:t>
                  </w:r>
                </w:p>
              </w:tc>
              <w:tc>
                <w:tcPr>
                  <w:tcW w:w="1459"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1186"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N</w:t>
                  </w:r>
                </w:p>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22m</w:t>
                  </w:r>
                </w:p>
              </w:tc>
              <w:tc>
                <w:tcPr>
                  <w:tcW w:w="874"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1176" w:type="dxa"/>
                  <w:vMerge w:val="continue"/>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p>
              </w:tc>
              <w:tc>
                <w:tcPr>
                  <w:tcW w:w="627" w:type="dxa"/>
                  <w:vAlign w:val="center"/>
                </w:tcPr>
                <w:p>
                  <w:pPr>
                    <w:pStyle w:val="38"/>
                    <w:widowControl w:val="0"/>
                    <w:rPr>
                      <w:rFonts w:hint="default" w:ascii="Times New Roman" w:hAnsi="Times New Roman" w:eastAsia="宋体" w:cs="Times New Roman"/>
                      <w:color w:val="000000" w:themeColor="text1"/>
                      <w:sz w:val="21"/>
                      <w:szCs w:val="21"/>
                      <w:highlight w:val="none"/>
                      <w:u w:val="single"/>
                      <w:lang w:val="en-US" w:eastAsia="zh-CN" w:bidi="ar-SA"/>
                      <w14:textFill>
                        <w14:solidFill>
                          <w14:schemeClr w14:val="tx1"/>
                        </w14:solidFill>
                      </w14:textFill>
                    </w:rPr>
                  </w:pPr>
                  <w:r>
                    <w:rPr>
                      <w:rFonts w:hint="eastAsia" w:eastAsia="宋体" w:cs="Times New Roman"/>
                      <w:color w:val="000000" w:themeColor="text1"/>
                      <w:sz w:val="21"/>
                      <w:szCs w:val="21"/>
                      <w:highlight w:val="none"/>
                      <w:u w:val="single"/>
                      <w:lang w:val="en-US" w:eastAsia="zh-CN" w:bidi="ar-SA"/>
                      <w14:textFill>
                        <w14:solidFill>
                          <w14:schemeClr w14:val="tx1"/>
                        </w14:solidFill>
                      </w14:textFill>
                    </w:rPr>
                    <w:t>-95</w:t>
                  </w:r>
                </w:p>
              </w:tc>
              <w:tc>
                <w:tcPr>
                  <w:tcW w:w="641" w:type="dxa"/>
                  <w:vAlign w:val="center"/>
                </w:tcPr>
                <w:p>
                  <w:pPr>
                    <w:pStyle w:val="38"/>
                    <w:widowControl w:val="0"/>
                    <w:rPr>
                      <w:rFonts w:hint="default" w:ascii="Times New Roman" w:hAnsi="Times New Roman" w:eastAsia="宋体" w:cs="Times New Roman"/>
                      <w:color w:val="000000" w:themeColor="text1"/>
                      <w:sz w:val="21"/>
                      <w:szCs w:val="21"/>
                      <w:highlight w:val="none"/>
                      <w:u w:val="single"/>
                      <w:lang w:val="en-US" w:eastAsia="zh-CN" w:bidi="ar-SA"/>
                      <w14:textFill>
                        <w14:solidFill>
                          <w14:schemeClr w14:val="tx1"/>
                        </w14:solidFill>
                      </w14:textFill>
                    </w:rPr>
                  </w:pPr>
                  <w:r>
                    <w:rPr>
                      <w:rFonts w:hint="eastAsia" w:eastAsia="宋体" w:cs="Times New Roman"/>
                      <w:color w:val="000000" w:themeColor="text1"/>
                      <w:sz w:val="21"/>
                      <w:szCs w:val="21"/>
                      <w:highlight w:val="none"/>
                      <w:u w:val="single"/>
                      <w:lang w:val="en-US" w:eastAsia="zh-CN" w:bidi="ar-SA"/>
                      <w14:textFill>
                        <w14:solidFill>
                          <w14:schemeClr w14:val="tx1"/>
                        </w14:solidFill>
                      </w14:textFill>
                    </w:rPr>
                    <w:t>-201</w:t>
                  </w:r>
                </w:p>
              </w:tc>
              <w:tc>
                <w:tcPr>
                  <w:tcW w:w="846" w:type="dxa"/>
                  <w:gridSpan w:val="2"/>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居民</w:t>
                  </w:r>
                </w:p>
              </w:tc>
              <w:tc>
                <w:tcPr>
                  <w:tcW w:w="1776"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约17户，68人</w:t>
                  </w:r>
                </w:p>
              </w:tc>
              <w:tc>
                <w:tcPr>
                  <w:tcW w:w="1459"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1186"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S</w:t>
                  </w:r>
                </w:p>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39m-500m</w:t>
                  </w:r>
                </w:p>
              </w:tc>
              <w:tc>
                <w:tcPr>
                  <w:tcW w:w="874"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restar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水环境</w:t>
                  </w:r>
                </w:p>
              </w:tc>
              <w:tc>
                <w:tcPr>
                  <w:tcW w:w="1176"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木形水库</w:t>
                  </w:r>
                </w:p>
              </w:tc>
              <w:tc>
                <w:tcPr>
                  <w:tcW w:w="5349" w:type="dxa"/>
                  <w:gridSpan w:val="6"/>
                  <w:vAlign w:val="center"/>
                </w:tcPr>
                <w:p>
                  <w:pPr>
                    <w:pStyle w:val="38"/>
                    <w:widowControl w:val="0"/>
                    <w:rPr>
                      <w:bCs/>
                      <w:color w:val="000000" w:themeColor="text1"/>
                      <w:highlight w:val="none"/>
                      <w:u w:val="single"/>
                      <w14:textFill>
                        <w14:solidFill>
                          <w14:schemeClr w14:val="tx1"/>
                        </w14:solidFill>
                      </w14:textFill>
                    </w:rPr>
                  </w:pPr>
                  <w:r>
                    <w:rPr>
                      <w:rFonts w:hint="default" w:ascii="Times New Roman" w:hAnsi="Times New Roman" w:cs="Times New Roman"/>
                      <w:bCs/>
                      <w:color w:val="000000" w:themeColor="text1"/>
                      <w:highlight w:val="none"/>
                      <w:u w:val="single"/>
                      <w:lang w:bidi="zh-CN"/>
                      <w14:textFill>
                        <w14:solidFill>
                          <w14:schemeClr w14:val="tx1"/>
                        </w14:solidFill>
                      </w14:textFill>
                    </w:rPr>
                    <w:t>《GB3838-2002》</w:t>
                  </w:r>
                  <w:r>
                    <w:rPr>
                      <w:rFonts w:hint="default" w:ascii="Times New Roman" w:hAnsi="Times New Roman" w:eastAsia="宋体" w:cs="Times New Roman"/>
                      <w:bCs/>
                      <w:color w:val="000000" w:themeColor="text1"/>
                      <w:highlight w:val="none"/>
                      <w:u w:val="single"/>
                      <w:lang w:bidi="zh-CN"/>
                      <w14:textFill>
                        <w14:solidFill>
                          <w14:schemeClr w14:val="tx1"/>
                        </w14:solidFill>
                      </w14:textFill>
                    </w:rPr>
                    <w:t>Ⅱ</w:t>
                  </w:r>
                  <w:r>
                    <w:rPr>
                      <w:rFonts w:hint="default" w:ascii="Times New Roman" w:hAnsi="Times New Roman" w:cs="Times New Roman"/>
                      <w:bCs/>
                      <w:color w:val="000000" w:themeColor="text1"/>
                      <w:highlight w:val="none"/>
                      <w:u w:val="single"/>
                      <w:lang w:bidi="zh-CN"/>
                      <w14:textFill>
                        <w14:solidFill>
                          <w14:schemeClr w14:val="tx1"/>
                        </w14:solidFill>
                      </w14:textFill>
                    </w:rPr>
                    <w:t>类标准</w:t>
                  </w:r>
                </w:p>
              </w:tc>
              <w:tc>
                <w:tcPr>
                  <w:tcW w:w="2060" w:type="dxa"/>
                  <w:gridSpan w:val="2"/>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continue"/>
                  <w:vAlign w:val="center"/>
                </w:tcPr>
                <w:p>
                  <w:pPr>
                    <w:pStyle w:val="38"/>
                    <w:widowControl w:val="0"/>
                    <w:rPr>
                      <w:rFonts w:hint="eastAsia"/>
                      <w:color w:val="000000" w:themeColor="text1"/>
                      <w:highlight w:val="none"/>
                      <w:u w:val="single"/>
                      <w14:textFill>
                        <w14:solidFill>
                          <w14:schemeClr w14:val="tx1"/>
                        </w14:solidFill>
                      </w14:textFill>
                    </w:rPr>
                  </w:pPr>
                </w:p>
              </w:tc>
              <w:tc>
                <w:tcPr>
                  <w:tcW w:w="1176"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游港河</w:t>
                  </w:r>
                </w:p>
              </w:tc>
              <w:tc>
                <w:tcPr>
                  <w:tcW w:w="5349" w:type="dxa"/>
                  <w:gridSpan w:val="6"/>
                  <w:vAlign w:val="center"/>
                </w:tcPr>
                <w:p>
                  <w:pPr>
                    <w:pStyle w:val="38"/>
                    <w:widowControl w:val="0"/>
                    <w:rPr>
                      <w:rFonts w:hint="eastAsia"/>
                      <w:bCs/>
                      <w:color w:val="000000" w:themeColor="text1"/>
                      <w:highlight w:val="none"/>
                      <w:u w:val="single"/>
                      <w:lang w:bidi="zh-CN"/>
                      <w14:textFill>
                        <w14:solidFill>
                          <w14:schemeClr w14:val="tx1"/>
                        </w14:solidFill>
                      </w14:textFill>
                    </w:rPr>
                  </w:pPr>
                  <w:r>
                    <w:rPr>
                      <w:rFonts w:hint="eastAsia"/>
                      <w:bCs/>
                      <w:color w:val="000000" w:themeColor="text1"/>
                      <w:highlight w:val="none"/>
                      <w:u w:val="single"/>
                      <w:lang w:bidi="zh-CN"/>
                      <w14:textFill>
                        <w14:solidFill>
                          <w14:schemeClr w14:val="tx1"/>
                        </w14:solidFill>
                      </w14:textFill>
                    </w:rPr>
                    <w:t>《</w:t>
                  </w:r>
                  <w:r>
                    <w:rPr>
                      <w:bCs/>
                      <w:color w:val="000000" w:themeColor="text1"/>
                      <w:highlight w:val="none"/>
                      <w:u w:val="single"/>
                      <w:lang w:bidi="zh-CN"/>
                      <w14:textFill>
                        <w14:solidFill>
                          <w14:schemeClr w14:val="tx1"/>
                        </w14:solidFill>
                      </w14:textFill>
                    </w:rPr>
                    <w:t>GB3838-2002</w:t>
                  </w:r>
                  <w:r>
                    <w:rPr>
                      <w:rFonts w:hint="eastAsia"/>
                      <w:bCs/>
                      <w:color w:val="000000" w:themeColor="text1"/>
                      <w:highlight w:val="none"/>
                      <w:u w:val="single"/>
                      <w:lang w:bidi="zh-CN"/>
                      <w14:textFill>
                        <w14:solidFill>
                          <w14:schemeClr w14:val="tx1"/>
                        </w14:solidFill>
                      </w14:textFill>
                    </w:rPr>
                    <w:t>》</w:t>
                  </w:r>
                  <w:r>
                    <w:rPr>
                      <w:bCs/>
                      <w:color w:val="000000" w:themeColor="text1"/>
                      <w:highlight w:val="none"/>
                      <w:u w:val="single"/>
                      <w:lang w:bidi="zh-CN"/>
                      <w14:textFill>
                        <w14:solidFill>
                          <w14:schemeClr w14:val="tx1"/>
                        </w14:solidFill>
                      </w14:textFill>
                    </w:rPr>
                    <w:fldChar w:fldCharType="begin"/>
                  </w:r>
                  <w:r>
                    <w:rPr>
                      <w:bCs/>
                      <w:color w:val="000000" w:themeColor="text1"/>
                      <w:highlight w:val="none"/>
                      <w:u w:val="single"/>
                      <w:lang w:bidi="zh-CN"/>
                      <w14:textFill>
                        <w14:solidFill>
                          <w14:schemeClr w14:val="tx1"/>
                        </w14:solidFill>
                      </w14:textFill>
                    </w:rPr>
                    <w:instrText xml:space="preserve"> = 3 \* ROMAN </w:instrText>
                  </w:r>
                  <w:r>
                    <w:rPr>
                      <w:bCs/>
                      <w:color w:val="000000" w:themeColor="text1"/>
                      <w:highlight w:val="none"/>
                      <w:u w:val="single"/>
                      <w:lang w:bidi="zh-CN"/>
                      <w14:textFill>
                        <w14:solidFill>
                          <w14:schemeClr w14:val="tx1"/>
                        </w14:solidFill>
                      </w14:textFill>
                    </w:rPr>
                    <w:fldChar w:fldCharType="separate"/>
                  </w:r>
                  <w:r>
                    <w:rPr>
                      <w:bCs/>
                      <w:color w:val="000000" w:themeColor="text1"/>
                      <w:highlight w:val="none"/>
                      <w:u w:val="single"/>
                      <w:lang w:bidi="zh-CN"/>
                      <w14:textFill>
                        <w14:solidFill>
                          <w14:schemeClr w14:val="tx1"/>
                        </w14:solidFill>
                      </w14:textFill>
                    </w:rPr>
                    <w:t>III</w:t>
                  </w:r>
                  <w:r>
                    <w:rPr>
                      <w:bCs/>
                      <w:color w:val="000000" w:themeColor="text1"/>
                      <w:highlight w:val="none"/>
                      <w:u w:val="single"/>
                      <w14:textFill>
                        <w14:solidFill>
                          <w14:schemeClr w14:val="tx1"/>
                        </w14:solidFill>
                      </w14:textFill>
                    </w:rPr>
                    <w:fldChar w:fldCharType="end"/>
                  </w:r>
                  <w:r>
                    <w:rPr>
                      <w:rFonts w:hint="eastAsia"/>
                      <w:bCs/>
                      <w:color w:val="000000" w:themeColor="text1"/>
                      <w:highlight w:val="none"/>
                      <w:u w:val="single"/>
                      <w:lang w:bidi="zh-CN"/>
                      <w14:textFill>
                        <w14:solidFill>
                          <w14:schemeClr w14:val="tx1"/>
                        </w14:solidFill>
                      </w14:textFill>
                    </w:rPr>
                    <w:t>类标准</w:t>
                  </w:r>
                </w:p>
              </w:tc>
              <w:tc>
                <w:tcPr>
                  <w:tcW w:w="2060" w:type="dxa"/>
                  <w:gridSpan w:val="2"/>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restart"/>
                  <w:vAlign w:val="center"/>
                </w:tcPr>
                <w:p>
                  <w:pPr>
                    <w:wordWrap w:val="0"/>
                    <w:adjustRightInd w:val="0"/>
                    <w:snapToGrid w:val="0"/>
                    <w:spacing w:line="276" w:lineRule="auto"/>
                    <w:jc w:val="center"/>
                    <w:rPr>
                      <w:rFonts w:cs="Times New Roman"/>
                      <w:color w:val="000000" w:themeColor="text1"/>
                      <w:sz w:val="21"/>
                      <w:szCs w:val="21"/>
                      <w:highlight w:val="none"/>
                      <w:u w:val="single"/>
                      <w14:textFill>
                        <w14:solidFill>
                          <w14:schemeClr w14:val="tx1"/>
                        </w14:solidFill>
                      </w14:textFill>
                    </w:rPr>
                  </w:pPr>
                  <w:r>
                    <w:rPr>
                      <w:rFonts w:hint="eastAsia" w:cs="Times New Roman"/>
                      <w:color w:val="000000" w:themeColor="text1"/>
                      <w:sz w:val="21"/>
                      <w:szCs w:val="21"/>
                      <w:highlight w:val="none"/>
                      <w:u w:val="single"/>
                      <w14:textFill>
                        <w14:solidFill>
                          <w14:schemeClr w14:val="tx1"/>
                        </w14:solidFill>
                      </w14:textFill>
                    </w:rPr>
                    <w:t>声</w:t>
                  </w:r>
                </w:p>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环境</w:t>
                  </w:r>
                </w:p>
              </w:tc>
              <w:tc>
                <w:tcPr>
                  <w:tcW w:w="1176" w:type="dxa"/>
                  <w:vMerge w:val="restar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忠防社区居民</w:t>
                  </w:r>
                </w:p>
              </w:tc>
              <w:tc>
                <w:tcPr>
                  <w:tcW w:w="627" w:type="dxa"/>
                  <w:vAlign w:val="center"/>
                </w:tcPr>
                <w:p>
                  <w:pPr>
                    <w:pStyle w:val="38"/>
                    <w:widowControl w:val="0"/>
                    <w:rPr>
                      <w:color w:val="000000" w:themeColor="text1"/>
                      <w:highlight w:val="none"/>
                      <w:u w:val="single"/>
                      <w14:textFill>
                        <w14:solidFill>
                          <w14:schemeClr w14:val="tx1"/>
                        </w14:solidFill>
                      </w14:textFill>
                    </w:rPr>
                  </w:pPr>
                  <w:r>
                    <w:rPr>
                      <w:rFonts w:hint="eastAsia" w:eastAsia="宋体" w:cs="Times New Roman"/>
                      <w:color w:val="000000" w:themeColor="text1"/>
                      <w:sz w:val="21"/>
                      <w:szCs w:val="21"/>
                      <w:highlight w:val="none"/>
                      <w:u w:val="single"/>
                      <w:lang w:val="en-US" w:eastAsia="zh-CN" w:bidi="ar-SA"/>
                      <w14:textFill>
                        <w14:solidFill>
                          <w14:schemeClr w14:val="tx1"/>
                        </w14:solidFill>
                      </w14:textFill>
                    </w:rPr>
                    <w:t>-28</w:t>
                  </w:r>
                </w:p>
              </w:tc>
              <w:tc>
                <w:tcPr>
                  <w:tcW w:w="649" w:type="dxa"/>
                  <w:gridSpan w:val="2"/>
                  <w:vAlign w:val="center"/>
                </w:tcPr>
                <w:p>
                  <w:pPr>
                    <w:pStyle w:val="38"/>
                    <w:widowControl w:val="0"/>
                    <w:rPr>
                      <w:color w:val="000000" w:themeColor="text1"/>
                      <w:highlight w:val="none"/>
                      <w:u w:val="single"/>
                      <w14:textFill>
                        <w14:solidFill>
                          <w14:schemeClr w14:val="tx1"/>
                        </w14:solidFill>
                      </w14:textFill>
                    </w:rPr>
                  </w:pPr>
                  <w:r>
                    <w:rPr>
                      <w:rFonts w:hint="eastAsia" w:eastAsia="宋体" w:cs="Times New Roman"/>
                      <w:color w:val="000000" w:themeColor="text1"/>
                      <w:sz w:val="21"/>
                      <w:szCs w:val="21"/>
                      <w:highlight w:val="none"/>
                      <w:u w:val="single"/>
                      <w:lang w:val="en-US" w:eastAsia="zh-CN" w:bidi="ar-SA"/>
                      <w14:textFill>
                        <w14:solidFill>
                          <w14:schemeClr w14:val="tx1"/>
                        </w14:solidFill>
                      </w14:textFill>
                    </w:rPr>
                    <w:t>90</w:t>
                  </w:r>
                </w:p>
              </w:tc>
              <w:tc>
                <w:tcPr>
                  <w:tcW w:w="838" w:type="dxa"/>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居民</w:t>
                  </w:r>
                </w:p>
              </w:tc>
              <w:tc>
                <w:tcPr>
                  <w:tcW w:w="1776" w:type="dxa"/>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约1户，4人</w:t>
                  </w:r>
                </w:p>
              </w:tc>
              <w:tc>
                <w:tcPr>
                  <w:tcW w:w="1459" w:type="dxa"/>
                  <w:vMerge w:val="restart"/>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（GB12348－2008）2类</w:t>
                  </w:r>
                </w:p>
              </w:tc>
              <w:tc>
                <w:tcPr>
                  <w:tcW w:w="1186"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N</w:t>
                  </w:r>
                </w:p>
                <w:p>
                  <w:pPr>
                    <w:pStyle w:val="38"/>
                    <w:widowControl w:val="0"/>
                    <w:rPr>
                      <w:color w:val="000000" w:themeColor="text1"/>
                      <w:highlight w:val="none"/>
                      <w:u w:val="single"/>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22m</w:t>
                  </w:r>
                </w:p>
              </w:tc>
              <w:tc>
                <w:tcPr>
                  <w:tcW w:w="874" w:type="dxa"/>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Merge w:val="continue"/>
                  <w:vAlign w:val="center"/>
                </w:tcPr>
                <w:p>
                  <w:pPr>
                    <w:pStyle w:val="38"/>
                    <w:widowControl w:val="0"/>
                    <w:rPr>
                      <w:rFonts w:hint="eastAsia"/>
                      <w:color w:val="000000" w:themeColor="text1"/>
                      <w:highlight w:val="none"/>
                      <w:u w:val="single"/>
                      <w14:textFill>
                        <w14:solidFill>
                          <w14:schemeClr w14:val="tx1"/>
                        </w14:solidFill>
                      </w14:textFill>
                    </w:rPr>
                  </w:pPr>
                </w:p>
              </w:tc>
              <w:tc>
                <w:tcPr>
                  <w:tcW w:w="1176" w:type="dxa"/>
                  <w:vMerge w:val="continue"/>
                  <w:vAlign w:val="center"/>
                </w:tcPr>
                <w:p>
                  <w:pPr>
                    <w:pStyle w:val="38"/>
                    <w:widowControl w:val="0"/>
                    <w:rPr>
                      <w:rFonts w:hint="eastAsia"/>
                      <w:color w:val="000000" w:themeColor="text1"/>
                      <w:highlight w:val="none"/>
                      <w:u w:val="single"/>
                      <w:lang w:val="en-US" w:eastAsia="zh-CN"/>
                      <w14:textFill>
                        <w14:solidFill>
                          <w14:schemeClr w14:val="tx1"/>
                        </w14:solidFill>
                      </w14:textFill>
                    </w:rPr>
                  </w:pPr>
                </w:p>
              </w:tc>
              <w:tc>
                <w:tcPr>
                  <w:tcW w:w="627" w:type="dxa"/>
                  <w:vAlign w:val="center"/>
                </w:tcPr>
                <w:p>
                  <w:pPr>
                    <w:pStyle w:val="38"/>
                    <w:widowControl w:val="0"/>
                    <w:rPr>
                      <w:rFonts w:hint="eastAsia" w:eastAsia="宋体" w:cs="Times New Roman"/>
                      <w:color w:val="000000" w:themeColor="text1"/>
                      <w:sz w:val="21"/>
                      <w:szCs w:val="21"/>
                      <w:highlight w:val="none"/>
                      <w:u w:val="single"/>
                      <w:lang w:val="en-US" w:eastAsia="zh-CN" w:bidi="ar-SA"/>
                      <w14:textFill>
                        <w14:solidFill>
                          <w14:schemeClr w14:val="tx1"/>
                        </w14:solidFill>
                      </w14:textFill>
                    </w:rPr>
                  </w:pPr>
                  <w:r>
                    <w:rPr>
                      <w:rFonts w:hint="eastAsia" w:eastAsia="宋体" w:cs="Times New Roman"/>
                      <w:color w:val="000000" w:themeColor="text1"/>
                      <w:sz w:val="21"/>
                      <w:szCs w:val="21"/>
                      <w:highlight w:val="none"/>
                      <w:u w:val="single"/>
                      <w:lang w:val="en-US" w:eastAsia="zh-CN" w:bidi="ar-SA"/>
                      <w14:textFill>
                        <w14:solidFill>
                          <w14:schemeClr w14:val="tx1"/>
                        </w14:solidFill>
                      </w14:textFill>
                    </w:rPr>
                    <w:t>-95</w:t>
                  </w:r>
                </w:p>
              </w:tc>
              <w:tc>
                <w:tcPr>
                  <w:tcW w:w="649" w:type="dxa"/>
                  <w:gridSpan w:val="2"/>
                  <w:vAlign w:val="center"/>
                </w:tcPr>
                <w:p>
                  <w:pPr>
                    <w:pStyle w:val="38"/>
                    <w:widowControl w:val="0"/>
                    <w:rPr>
                      <w:rFonts w:hint="eastAsia" w:eastAsia="宋体" w:cs="Times New Roman"/>
                      <w:color w:val="000000" w:themeColor="text1"/>
                      <w:sz w:val="21"/>
                      <w:szCs w:val="21"/>
                      <w:highlight w:val="none"/>
                      <w:u w:val="single"/>
                      <w:lang w:val="en-US" w:eastAsia="zh-CN" w:bidi="ar-SA"/>
                      <w14:textFill>
                        <w14:solidFill>
                          <w14:schemeClr w14:val="tx1"/>
                        </w14:solidFill>
                      </w14:textFill>
                    </w:rPr>
                  </w:pPr>
                  <w:r>
                    <w:rPr>
                      <w:rFonts w:hint="eastAsia" w:eastAsia="宋体" w:cs="Times New Roman"/>
                      <w:color w:val="000000" w:themeColor="text1"/>
                      <w:sz w:val="21"/>
                      <w:szCs w:val="21"/>
                      <w:highlight w:val="none"/>
                      <w:u w:val="single"/>
                      <w:lang w:val="en-US" w:eastAsia="zh-CN" w:bidi="ar-SA"/>
                      <w14:textFill>
                        <w14:solidFill>
                          <w14:schemeClr w14:val="tx1"/>
                        </w14:solidFill>
                      </w14:textFill>
                    </w:rPr>
                    <w:t>-201</w:t>
                  </w:r>
                </w:p>
              </w:tc>
              <w:tc>
                <w:tcPr>
                  <w:tcW w:w="838" w:type="dxa"/>
                  <w:vAlign w:val="center"/>
                </w:tcPr>
                <w:p>
                  <w:pPr>
                    <w:pStyle w:val="38"/>
                    <w:widowControl w:val="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14:textFill>
                        <w14:solidFill>
                          <w14:schemeClr w14:val="tx1"/>
                        </w14:solidFill>
                      </w14:textFill>
                    </w:rPr>
                    <w:t>居民</w:t>
                  </w:r>
                </w:p>
              </w:tc>
              <w:tc>
                <w:tcPr>
                  <w:tcW w:w="1776" w:type="dxa"/>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约2户，8人</w:t>
                  </w:r>
                </w:p>
              </w:tc>
              <w:tc>
                <w:tcPr>
                  <w:tcW w:w="1459" w:type="dxa"/>
                  <w:vMerge w:val="continue"/>
                  <w:vAlign w:val="center"/>
                </w:tcPr>
                <w:p>
                  <w:pPr>
                    <w:pStyle w:val="38"/>
                    <w:widowControl w:val="0"/>
                    <w:rPr>
                      <w:color w:val="000000" w:themeColor="text1"/>
                      <w:highlight w:val="none"/>
                      <w:u w:val="single"/>
                      <w14:textFill>
                        <w14:solidFill>
                          <w14:schemeClr w14:val="tx1"/>
                        </w14:solidFill>
                      </w14:textFill>
                    </w:rPr>
                  </w:pPr>
                </w:p>
              </w:tc>
              <w:tc>
                <w:tcPr>
                  <w:tcW w:w="1186"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S</w:t>
                  </w:r>
                </w:p>
                <w:p>
                  <w:pPr>
                    <w:pStyle w:val="38"/>
                    <w:widowControl w:val="0"/>
                    <w:rPr>
                      <w:color w:val="000000" w:themeColor="text1"/>
                      <w:highlight w:val="none"/>
                      <w:u w:val="single"/>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39m-50m</w:t>
                  </w:r>
                </w:p>
              </w:tc>
              <w:tc>
                <w:tcPr>
                  <w:tcW w:w="874" w:type="dxa"/>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地下水</w:t>
                  </w:r>
                </w:p>
              </w:tc>
              <w:tc>
                <w:tcPr>
                  <w:tcW w:w="8585" w:type="dxa"/>
                  <w:gridSpan w:val="9"/>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本项目厂界外500米范围内无地下水集中式饮用水水源和热水、矿泉水、温泉等特殊地下水资源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dxa"/>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生态环境</w:t>
                  </w:r>
                </w:p>
              </w:tc>
              <w:tc>
                <w:tcPr>
                  <w:tcW w:w="8585" w:type="dxa"/>
                  <w:gridSpan w:val="9"/>
                  <w:vAlign w:val="center"/>
                </w:tcPr>
                <w:p>
                  <w:pPr>
                    <w:pStyle w:val="38"/>
                    <w:widowControl w:val="0"/>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本项目不涉及生态环境保护目标。</w:t>
                  </w:r>
                </w:p>
              </w:tc>
            </w:tr>
          </w:tbl>
          <w:p>
            <w:pPr>
              <w:pStyle w:val="5"/>
              <w:widowControl w:val="0"/>
              <w:ind w:firstLine="480"/>
              <w:rPr>
                <w:rFonts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 w:type="pct"/>
            <w:vAlign w:val="center"/>
          </w:tcPr>
          <w:p>
            <w:pPr>
              <w:jc w:val="center"/>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污染物排放控制标准</w:t>
            </w:r>
          </w:p>
        </w:tc>
        <w:tc>
          <w:tcPr>
            <w:tcW w:w="4709" w:type="pct"/>
          </w:tcPr>
          <w:p>
            <w:pPr>
              <w:pStyle w:val="5"/>
              <w:widowControl w:val="0"/>
              <w:ind w:left="0" w:leftChars="0" w:firstLine="0" w:firstLineChars="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w:t>
            </w:r>
            <w:r>
              <w:rPr>
                <w:rFonts w:hint="eastAsia"/>
                <w:b/>
                <w:bCs/>
                <w:color w:val="000000" w:themeColor="text1"/>
                <w:highlight w:val="none"/>
                <w14:textFill>
                  <w14:solidFill>
                    <w14:schemeClr w14:val="tx1"/>
                  </w14:solidFill>
                </w14:textFill>
              </w:rPr>
              <w:t>污染物排放控制标准</w:t>
            </w:r>
          </w:p>
          <w:p>
            <w:pPr>
              <w:pStyle w:val="5"/>
              <w:widowControl w:val="0"/>
              <w:ind w:firstLine="482"/>
              <w:rPr>
                <w:rFonts w:hint="eastAsia"/>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1</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废气排放控制标准</w:t>
            </w:r>
          </w:p>
          <w:p>
            <w:pPr>
              <w:pStyle w:val="5"/>
              <w:widowControl w:val="0"/>
              <w:ind w:firstLine="480"/>
              <w:rPr>
                <w:rFonts w:hint="default"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14:textFill>
                  <w14:solidFill>
                    <w14:schemeClr w14:val="tx1"/>
                  </w14:solidFill>
                </w14:textFill>
              </w:rPr>
              <w:t>施工期扬尘执行《大气污染物综合排放标准》(GB16297-1996)表 2 中颗粒物无组织排放监控浓度限值：</w:t>
            </w:r>
            <w:r>
              <w:rPr>
                <w:rFonts w:hint="eastAsia" w:cs="Times New Roman"/>
                <w:bCs/>
                <w:color w:val="000000" w:themeColor="text1"/>
                <w:highlight w:val="none"/>
                <w:lang w:val="en-US" w:eastAsia="zh-CN"/>
                <w14:textFill>
                  <w14:solidFill>
                    <w14:schemeClr w14:val="tx1"/>
                  </w14:solidFill>
                </w14:textFill>
              </w:rPr>
              <w:t>运营期食堂油烟满足《饮食业油烟排放标准（试行）》（GB18483-2001）标准要求；柴油发电废气参照《大气污染物综合排放标准》（GB 16297-1996）表2二级标准。</w:t>
            </w:r>
          </w:p>
          <w:p>
            <w:pPr>
              <w:pStyle w:val="5"/>
              <w:widowControl w:val="0"/>
              <w:ind w:firstLine="0" w:firstLineChars="0"/>
              <w:jc w:val="center"/>
              <w:rPr>
                <w:rFonts w:cs="Times New Roman"/>
                <w:b/>
                <w:color w:val="000000" w:themeColor="text1"/>
                <w:highlight w:val="none"/>
                <w14:textFill>
                  <w14:solidFill>
                    <w14:schemeClr w14:val="tx1"/>
                  </w14:solidFill>
                </w14:textFill>
              </w:rPr>
            </w:pPr>
            <w:r>
              <w:rPr>
                <w:rFonts w:hint="eastAsia" w:cs="Times New Roman"/>
                <w:b/>
                <w:color w:val="000000" w:themeColor="text1"/>
                <w:highlight w:val="none"/>
                <w14:textFill>
                  <w14:solidFill>
                    <w14:schemeClr w14:val="tx1"/>
                  </w14:solidFill>
                </w14:textFill>
              </w:rPr>
              <w:t>表</w:t>
            </w:r>
            <w:r>
              <w:rPr>
                <w:rFonts w:cs="Times New Roman"/>
                <w:b/>
                <w:color w:val="000000" w:themeColor="text1"/>
                <w:highlight w:val="none"/>
                <w14:textFill>
                  <w14:solidFill>
                    <w14:schemeClr w14:val="tx1"/>
                  </w14:solidFill>
                </w14:textFill>
              </w:rPr>
              <w:t>3-</w:t>
            </w:r>
            <w:r>
              <w:rPr>
                <w:rFonts w:hint="eastAsia" w:cs="Times New Roman"/>
                <w:b/>
                <w:color w:val="000000" w:themeColor="text1"/>
                <w:highlight w:val="none"/>
                <w:lang w:val="en-US" w:eastAsia="zh-CN"/>
                <w14:textFill>
                  <w14:solidFill>
                    <w14:schemeClr w14:val="tx1"/>
                  </w14:solidFill>
                </w14:textFill>
              </w:rPr>
              <w:t>5</w:t>
            </w:r>
            <w:r>
              <w:rPr>
                <w:rFonts w:cs="Times New Roman"/>
                <w:b/>
                <w:color w:val="000000" w:themeColor="text1"/>
                <w:highlight w:val="none"/>
                <w14:textFill>
                  <w14:solidFill>
                    <w14:schemeClr w14:val="tx1"/>
                  </w14:solidFill>
                </w14:textFill>
              </w:rPr>
              <w:t xml:space="preserve">  </w:t>
            </w:r>
            <w:r>
              <w:rPr>
                <w:rFonts w:hint="eastAsia" w:cs="Times New Roman"/>
                <w:b/>
                <w:color w:val="000000" w:themeColor="text1"/>
                <w:highlight w:val="none"/>
                <w14:textFill>
                  <w14:solidFill>
                    <w14:schemeClr w14:val="tx1"/>
                  </w14:solidFill>
                </w14:textFill>
              </w:rPr>
              <w:t>《大气污染物综合排放标准》（</w:t>
            </w:r>
            <w:r>
              <w:rPr>
                <w:rFonts w:cs="Times New Roman"/>
                <w:b/>
                <w:color w:val="000000" w:themeColor="text1"/>
                <w:highlight w:val="none"/>
                <w14:textFill>
                  <w14:solidFill>
                    <w14:schemeClr w14:val="tx1"/>
                  </w14:solidFill>
                </w14:textFill>
              </w:rPr>
              <w:t>GB16297-1996</w:t>
            </w:r>
            <w:r>
              <w:rPr>
                <w:rFonts w:hint="eastAsia" w:cs="Times New Roman"/>
                <w:b/>
                <w:color w:val="000000" w:themeColor="text1"/>
                <w:highlight w:val="none"/>
                <w14:textFill>
                  <w14:solidFill>
                    <w14:schemeClr w14:val="tx1"/>
                  </w14:solidFill>
                </w14:textFill>
              </w:rPr>
              <w:t>）</w:t>
            </w:r>
            <w:r>
              <w:rPr>
                <w:rFonts w:cs="Times New Roman"/>
                <w:b/>
                <w:color w:val="000000" w:themeColor="text1"/>
                <w:highlight w:val="none"/>
                <w14:textFill>
                  <w14:solidFill>
                    <w14:schemeClr w14:val="tx1"/>
                  </w14:solidFill>
                </w14:textFill>
              </w:rPr>
              <w:t xml:space="preserve"> </w:t>
            </w:r>
            <w:r>
              <w:rPr>
                <w:rFonts w:hint="eastAsia" w:cs="Times New Roman"/>
                <w:b/>
                <w:color w:val="000000" w:themeColor="text1"/>
                <w:highlight w:val="none"/>
                <w14:textFill>
                  <w14:solidFill>
                    <w14:schemeClr w14:val="tx1"/>
                  </w14:solidFill>
                </w14:textFill>
              </w:rPr>
              <w:t>（节选）</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7"/>
              <w:gridCol w:w="1118"/>
              <w:gridCol w:w="1043"/>
              <w:gridCol w:w="1044"/>
              <w:gridCol w:w="2762"/>
              <w:gridCol w:w="1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7" w:type="dxa"/>
                  <w:vMerge w:val="restart"/>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污染物</w:t>
                  </w:r>
                </w:p>
              </w:tc>
              <w:tc>
                <w:tcPr>
                  <w:tcW w:w="3205" w:type="dxa"/>
                  <w:gridSpan w:val="3"/>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有组织排放浓度限值要求</w:t>
                  </w:r>
                </w:p>
              </w:tc>
              <w:tc>
                <w:tcPr>
                  <w:tcW w:w="4663" w:type="dxa"/>
                  <w:gridSpan w:val="2"/>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1107" w:type="dxa"/>
                  <w:vMerge w:val="continue"/>
                  <w:vAlign w:val="center"/>
                </w:tcPr>
                <w:p>
                  <w:pPr>
                    <w:pStyle w:val="38"/>
                    <w:widowControl w:val="0"/>
                    <w:rPr>
                      <w:color w:val="000000" w:themeColor="text1"/>
                      <w:highlight w:val="none"/>
                      <w14:textFill>
                        <w14:solidFill>
                          <w14:schemeClr w14:val="tx1"/>
                        </w14:solidFill>
                      </w14:textFill>
                    </w:rPr>
                  </w:pPr>
                </w:p>
              </w:tc>
              <w:tc>
                <w:tcPr>
                  <w:tcW w:w="111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排气筒高度</w:t>
                  </w:r>
                </w:p>
              </w:tc>
              <w:tc>
                <w:tcPr>
                  <w:tcW w:w="1043"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浓度</w:t>
                  </w:r>
                  <w:r>
                    <w:rPr>
                      <w:color w:val="000000" w:themeColor="text1"/>
                      <w:highlight w:val="none"/>
                      <w14:textFill>
                        <w14:solidFill>
                          <w14:schemeClr w14:val="tx1"/>
                        </w14:solidFill>
                      </w14:textFill>
                    </w:rPr>
                    <w:t>mg/m</w:t>
                  </w:r>
                  <w:r>
                    <w:rPr>
                      <w:color w:val="000000" w:themeColor="text1"/>
                      <w:highlight w:val="none"/>
                      <w:vertAlign w:val="superscript"/>
                      <w14:textFill>
                        <w14:solidFill>
                          <w14:schemeClr w14:val="tx1"/>
                        </w14:solidFill>
                      </w14:textFill>
                    </w:rPr>
                    <w:t>3</w:t>
                  </w:r>
                </w:p>
              </w:tc>
              <w:tc>
                <w:tcPr>
                  <w:tcW w:w="1044"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速率kg/h</w:t>
                  </w:r>
                </w:p>
              </w:tc>
              <w:tc>
                <w:tcPr>
                  <w:tcW w:w="276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监控点</w:t>
                  </w:r>
                </w:p>
              </w:tc>
              <w:tc>
                <w:tcPr>
                  <w:tcW w:w="1901"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浓度</w:t>
                  </w:r>
                  <w:r>
                    <w:rPr>
                      <w:color w:val="000000" w:themeColor="text1"/>
                      <w:highlight w:val="none"/>
                      <w14:textFill>
                        <w14:solidFill>
                          <w14:schemeClr w14:val="tx1"/>
                        </w14:solidFill>
                      </w14:textFill>
                    </w:rPr>
                    <w:t>mg/m</w:t>
                  </w:r>
                  <w:r>
                    <w:rPr>
                      <w:color w:val="000000" w:themeColor="text1"/>
                      <w:highlight w:val="none"/>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7"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颗粒物</w:t>
                  </w:r>
                </w:p>
              </w:tc>
              <w:tc>
                <w:tcPr>
                  <w:tcW w:w="1118"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15</w:t>
                  </w:r>
                </w:p>
              </w:tc>
              <w:tc>
                <w:tcPr>
                  <w:tcW w:w="1043"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120</w:t>
                  </w:r>
                </w:p>
              </w:tc>
              <w:tc>
                <w:tcPr>
                  <w:tcW w:w="1044" w:type="dxa"/>
                  <w:vAlign w:val="center"/>
                </w:tcPr>
                <w:p>
                  <w:pPr>
                    <w:pStyle w:val="38"/>
                    <w:widowControl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3.5</w:t>
                  </w:r>
                </w:p>
              </w:tc>
              <w:tc>
                <w:tcPr>
                  <w:tcW w:w="2762" w:type="dxa"/>
                  <w:vAlign w:val="center"/>
                </w:tcPr>
                <w:p>
                  <w:pPr>
                    <w:pStyle w:val="38"/>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周界外浓度最高点</w:t>
                  </w:r>
                </w:p>
              </w:tc>
              <w:tc>
                <w:tcPr>
                  <w:tcW w:w="1901" w:type="dxa"/>
                  <w:vAlign w:val="center"/>
                </w:tcPr>
                <w:p>
                  <w:pPr>
                    <w:pStyle w:val="38"/>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7" w:type="dxa"/>
                  <w:vAlign w:val="center"/>
                </w:tcPr>
                <w:p>
                  <w:pPr>
                    <w:pStyle w:val="38"/>
                    <w:widowControl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二氧化硫</w:t>
                  </w:r>
                </w:p>
              </w:tc>
              <w:tc>
                <w:tcPr>
                  <w:tcW w:w="1118" w:type="dxa"/>
                  <w:vAlign w:val="center"/>
                </w:tcPr>
                <w:p>
                  <w:pPr>
                    <w:pStyle w:val="38"/>
                    <w:widowControl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15</w:t>
                  </w:r>
                </w:p>
              </w:tc>
              <w:tc>
                <w:tcPr>
                  <w:tcW w:w="1043" w:type="dxa"/>
                  <w:vAlign w:val="center"/>
                </w:tcPr>
                <w:p>
                  <w:pPr>
                    <w:pStyle w:val="38"/>
                    <w:widowControl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550</w:t>
                  </w:r>
                </w:p>
              </w:tc>
              <w:tc>
                <w:tcPr>
                  <w:tcW w:w="1044" w:type="dxa"/>
                  <w:vAlign w:val="center"/>
                </w:tcPr>
                <w:p>
                  <w:pPr>
                    <w:pStyle w:val="38"/>
                    <w:widowControl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2.6</w:t>
                  </w:r>
                </w:p>
              </w:tc>
              <w:tc>
                <w:tcPr>
                  <w:tcW w:w="276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周界外浓度最高点</w:t>
                  </w:r>
                </w:p>
              </w:tc>
              <w:tc>
                <w:tcPr>
                  <w:tcW w:w="1901"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7" w:type="dxa"/>
                  <w:vAlign w:val="center"/>
                </w:tcPr>
                <w:p>
                  <w:pPr>
                    <w:pStyle w:val="38"/>
                    <w:widowControl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氮氧化物</w:t>
                  </w:r>
                </w:p>
              </w:tc>
              <w:tc>
                <w:tcPr>
                  <w:tcW w:w="1118" w:type="dxa"/>
                  <w:vAlign w:val="center"/>
                </w:tcPr>
                <w:p>
                  <w:pPr>
                    <w:pStyle w:val="38"/>
                    <w:widowControl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15</w:t>
                  </w:r>
                </w:p>
              </w:tc>
              <w:tc>
                <w:tcPr>
                  <w:tcW w:w="1043" w:type="dxa"/>
                  <w:vAlign w:val="center"/>
                </w:tcPr>
                <w:p>
                  <w:pPr>
                    <w:pStyle w:val="38"/>
                    <w:widowControl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240</w:t>
                  </w:r>
                </w:p>
              </w:tc>
              <w:tc>
                <w:tcPr>
                  <w:tcW w:w="1044" w:type="dxa"/>
                  <w:vAlign w:val="center"/>
                </w:tcPr>
                <w:p>
                  <w:pPr>
                    <w:pStyle w:val="38"/>
                    <w:widowControl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0.77</w:t>
                  </w:r>
                </w:p>
              </w:tc>
              <w:tc>
                <w:tcPr>
                  <w:tcW w:w="2762" w:type="dxa"/>
                  <w:vAlign w:val="center"/>
                </w:tcPr>
                <w:p>
                  <w:pPr>
                    <w:pStyle w:val="38"/>
                    <w:widowControl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周界外浓度最高点</w:t>
                  </w:r>
                </w:p>
              </w:tc>
              <w:tc>
                <w:tcPr>
                  <w:tcW w:w="1901" w:type="dxa"/>
                  <w:vAlign w:val="center"/>
                </w:tcPr>
                <w:p>
                  <w:pPr>
                    <w:pStyle w:val="38"/>
                    <w:widowControl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0.12</w:t>
                  </w:r>
                </w:p>
              </w:tc>
            </w:tr>
          </w:tbl>
          <w:p>
            <w:pPr>
              <w:autoSpaceDE/>
              <w:autoSpaceDN/>
              <w:spacing w:line="240" w:lineRule="auto"/>
              <w:jc w:val="both"/>
              <w:rPr>
                <w:rFonts w:cs="Times New Roman"/>
                <w:b/>
                <w:color w:val="000000" w:themeColor="text1"/>
                <w:kern w:val="2"/>
                <w:highlight w:val="none"/>
                <w:lang w:val="en-US" w:bidi="ar-SA"/>
                <w14:textFill>
                  <w14:solidFill>
                    <w14:schemeClr w14:val="tx1"/>
                  </w14:solidFill>
                </w14:textFill>
              </w:rPr>
            </w:pPr>
          </w:p>
          <w:p>
            <w:pPr>
              <w:autoSpaceDE/>
              <w:autoSpaceDN/>
              <w:spacing w:line="240" w:lineRule="auto"/>
              <w:jc w:val="center"/>
              <w:rPr>
                <w:rFonts w:cs="Times New Roman"/>
                <w:b/>
                <w:color w:val="000000" w:themeColor="text1"/>
                <w:kern w:val="2"/>
                <w:highlight w:val="none"/>
                <w:lang w:val="en-US" w:bidi="ar-SA"/>
                <w14:textFill>
                  <w14:solidFill>
                    <w14:schemeClr w14:val="tx1"/>
                  </w14:solidFill>
                </w14:textFill>
              </w:rPr>
            </w:pPr>
            <w:r>
              <w:rPr>
                <w:rFonts w:cs="Times New Roman"/>
                <w:b/>
                <w:color w:val="000000" w:themeColor="text1"/>
                <w:kern w:val="2"/>
                <w:highlight w:val="none"/>
                <w:lang w:val="en-US" w:bidi="ar-SA"/>
                <w14:textFill>
                  <w14:solidFill>
                    <w14:schemeClr w14:val="tx1"/>
                  </w14:solidFill>
                </w14:textFill>
              </w:rPr>
              <w:t>表</w:t>
            </w:r>
            <w:r>
              <w:rPr>
                <w:rFonts w:hint="eastAsia" w:cs="Times New Roman"/>
                <w:b/>
                <w:color w:val="000000" w:themeColor="text1"/>
                <w:kern w:val="2"/>
                <w:highlight w:val="none"/>
                <w:lang w:val="en-US" w:bidi="ar-SA"/>
                <w14:textFill>
                  <w14:solidFill>
                    <w14:schemeClr w14:val="tx1"/>
                  </w14:solidFill>
                </w14:textFill>
              </w:rPr>
              <w:t>3</w:t>
            </w:r>
            <w:r>
              <w:rPr>
                <w:rFonts w:cs="Times New Roman"/>
                <w:b/>
                <w:color w:val="000000" w:themeColor="text1"/>
                <w:kern w:val="2"/>
                <w:highlight w:val="none"/>
                <w:lang w:val="en-US" w:bidi="ar-SA"/>
                <w14:textFill>
                  <w14:solidFill>
                    <w14:schemeClr w14:val="tx1"/>
                  </w14:solidFill>
                </w14:textFill>
              </w:rPr>
              <w:t>-</w:t>
            </w:r>
            <w:r>
              <w:rPr>
                <w:rFonts w:hint="eastAsia" w:cs="Times New Roman"/>
                <w:b/>
                <w:color w:val="000000" w:themeColor="text1"/>
                <w:kern w:val="2"/>
                <w:highlight w:val="none"/>
                <w:lang w:val="en-US" w:eastAsia="zh-CN" w:bidi="ar-SA"/>
                <w14:textFill>
                  <w14:solidFill>
                    <w14:schemeClr w14:val="tx1"/>
                  </w14:solidFill>
                </w14:textFill>
              </w:rPr>
              <w:t>6</w:t>
            </w:r>
            <w:r>
              <w:rPr>
                <w:rFonts w:cs="Times New Roman"/>
                <w:b/>
                <w:color w:val="000000" w:themeColor="text1"/>
                <w:kern w:val="2"/>
                <w:highlight w:val="none"/>
                <w:lang w:val="en-US" w:bidi="ar-SA"/>
                <w14:textFill>
                  <w14:solidFill>
                    <w14:schemeClr w14:val="tx1"/>
                  </w14:solidFill>
                </w14:textFill>
              </w:rPr>
              <w:t xml:space="preserve"> 《饮食业油烟排放标准（试行）》（GB18483-2001）</w:t>
            </w:r>
          </w:p>
          <w:tbl>
            <w:tblPr>
              <w:tblStyle w:val="27"/>
              <w:tblW w:w="5000" w:type="pct"/>
              <w:jc w:val="center"/>
              <w:tblBorders>
                <w:top w:val="single" w:color="000000" w:sz="6" w:space="0"/>
                <w:left w:val="single" w:color="000000" w:sz="4" w:space="0"/>
                <w:bottom w:val="single" w:color="000000" w:sz="6"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832"/>
              <w:gridCol w:w="5275"/>
              <w:gridCol w:w="3051"/>
            </w:tblGrid>
            <w:tr>
              <w:tblPrEx>
                <w:tblBorders>
                  <w:top w:val="single" w:color="000000" w:sz="6" w:space="0"/>
                  <w:left w:val="single" w:color="000000" w:sz="4" w:space="0"/>
                  <w:bottom w:val="single" w:color="000000" w:sz="6"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9" w:hRule="atLeast"/>
                <w:jc w:val="center"/>
              </w:trPr>
              <w:tc>
                <w:tcPr>
                  <w:tcW w:w="454" w:type="pct"/>
                  <w:vAlign w:val="center"/>
                </w:tcPr>
                <w:p>
                  <w:pPr>
                    <w:autoSpaceDE/>
                    <w:autoSpaceDN/>
                    <w:adjustRightInd w:val="0"/>
                    <w:snapToGrid w:val="0"/>
                    <w:spacing w:line="276" w:lineRule="auto"/>
                    <w:jc w:val="center"/>
                    <w:rPr>
                      <w:rFonts w:cs="Times New Roman"/>
                      <w:color w:val="000000" w:themeColor="text1"/>
                      <w:kern w:val="2"/>
                      <w:sz w:val="21"/>
                      <w:szCs w:val="21"/>
                      <w:highlight w:val="none"/>
                      <w:lang w:val="en-US" w:bidi="ar-SA"/>
                      <w14:textFill>
                        <w14:solidFill>
                          <w14:schemeClr w14:val="tx1"/>
                        </w14:solidFill>
                      </w14:textFill>
                    </w:rPr>
                  </w:pPr>
                  <w:r>
                    <w:rPr>
                      <w:rFonts w:cs="Times New Roman"/>
                      <w:color w:val="000000" w:themeColor="text1"/>
                      <w:kern w:val="2"/>
                      <w:sz w:val="21"/>
                      <w:szCs w:val="21"/>
                      <w:highlight w:val="none"/>
                      <w:lang w:val="en-US" w:bidi="ar-SA"/>
                      <w14:textFill>
                        <w14:solidFill>
                          <w14:schemeClr w14:val="tx1"/>
                        </w14:solidFill>
                      </w14:textFill>
                    </w:rPr>
                    <w:t>序号</w:t>
                  </w:r>
                </w:p>
              </w:tc>
              <w:tc>
                <w:tcPr>
                  <w:tcW w:w="2880" w:type="pct"/>
                  <w:vAlign w:val="center"/>
                </w:tcPr>
                <w:p>
                  <w:pPr>
                    <w:autoSpaceDE/>
                    <w:autoSpaceDN/>
                    <w:adjustRightInd w:val="0"/>
                    <w:snapToGrid w:val="0"/>
                    <w:spacing w:line="276" w:lineRule="auto"/>
                    <w:jc w:val="center"/>
                    <w:rPr>
                      <w:rFonts w:cs="Times New Roman"/>
                      <w:color w:val="000000" w:themeColor="text1"/>
                      <w:kern w:val="2"/>
                      <w:sz w:val="21"/>
                      <w:szCs w:val="21"/>
                      <w:highlight w:val="none"/>
                      <w:lang w:val="en-US" w:bidi="ar-SA"/>
                      <w14:textFill>
                        <w14:solidFill>
                          <w14:schemeClr w14:val="tx1"/>
                        </w14:solidFill>
                      </w14:textFill>
                    </w:rPr>
                  </w:pPr>
                  <w:r>
                    <w:rPr>
                      <w:rFonts w:cs="Times New Roman"/>
                      <w:color w:val="000000" w:themeColor="text1"/>
                      <w:kern w:val="2"/>
                      <w:sz w:val="21"/>
                      <w:szCs w:val="21"/>
                      <w:highlight w:val="none"/>
                      <w:lang w:val="en-US" w:bidi="ar-SA"/>
                      <w14:textFill>
                        <w14:solidFill>
                          <w14:schemeClr w14:val="tx1"/>
                        </w14:solidFill>
                      </w14:textFill>
                    </w:rPr>
                    <w:t>规模</w:t>
                  </w:r>
                </w:p>
              </w:tc>
              <w:tc>
                <w:tcPr>
                  <w:tcW w:w="1666" w:type="pct"/>
                  <w:vAlign w:val="center"/>
                </w:tcPr>
                <w:p>
                  <w:pPr>
                    <w:autoSpaceDE/>
                    <w:autoSpaceDN/>
                    <w:adjustRightInd w:val="0"/>
                    <w:snapToGrid w:val="0"/>
                    <w:spacing w:line="276" w:lineRule="auto"/>
                    <w:jc w:val="center"/>
                    <w:rPr>
                      <w:rFonts w:cs="Times New Roman"/>
                      <w:color w:val="000000" w:themeColor="text1"/>
                      <w:kern w:val="2"/>
                      <w:sz w:val="21"/>
                      <w:szCs w:val="21"/>
                      <w:highlight w:val="none"/>
                      <w:lang w:val="en-US" w:bidi="ar-SA"/>
                      <w14:textFill>
                        <w14:solidFill>
                          <w14:schemeClr w14:val="tx1"/>
                        </w14:solidFill>
                      </w14:textFill>
                    </w:rPr>
                  </w:pPr>
                  <w:r>
                    <w:rPr>
                      <w:rFonts w:hint="eastAsia" w:cs="Times New Roman"/>
                      <w:color w:val="000000" w:themeColor="text1"/>
                      <w:kern w:val="2"/>
                      <w:sz w:val="21"/>
                      <w:szCs w:val="21"/>
                      <w:highlight w:val="none"/>
                      <w:lang w:val="en-US" w:bidi="ar-SA"/>
                      <w14:textFill>
                        <w14:solidFill>
                          <w14:schemeClr w14:val="tx1"/>
                        </w14:solidFill>
                      </w14:textFill>
                    </w:rPr>
                    <w:t>小型</w:t>
                  </w:r>
                </w:p>
              </w:tc>
            </w:tr>
            <w:tr>
              <w:tblPrEx>
                <w:tblBorders>
                  <w:top w:val="single" w:color="000000" w:sz="6" w:space="0"/>
                  <w:left w:val="single" w:color="000000" w:sz="4" w:space="0"/>
                  <w:bottom w:val="single" w:color="000000" w:sz="6"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9" w:hRule="atLeast"/>
                <w:jc w:val="center"/>
              </w:trPr>
              <w:tc>
                <w:tcPr>
                  <w:tcW w:w="454" w:type="pct"/>
                  <w:vAlign w:val="center"/>
                </w:tcPr>
                <w:p>
                  <w:pPr>
                    <w:autoSpaceDE/>
                    <w:autoSpaceDN/>
                    <w:adjustRightInd w:val="0"/>
                    <w:snapToGrid w:val="0"/>
                    <w:spacing w:line="276" w:lineRule="auto"/>
                    <w:jc w:val="center"/>
                    <w:rPr>
                      <w:rFonts w:cs="Times New Roman"/>
                      <w:color w:val="000000" w:themeColor="text1"/>
                      <w:kern w:val="2"/>
                      <w:sz w:val="21"/>
                      <w:szCs w:val="21"/>
                      <w:highlight w:val="none"/>
                      <w:lang w:val="en-US" w:bidi="ar-SA"/>
                      <w14:textFill>
                        <w14:solidFill>
                          <w14:schemeClr w14:val="tx1"/>
                        </w14:solidFill>
                      </w14:textFill>
                    </w:rPr>
                  </w:pPr>
                  <w:r>
                    <w:rPr>
                      <w:rFonts w:cs="Times New Roman"/>
                      <w:color w:val="000000" w:themeColor="text1"/>
                      <w:kern w:val="2"/>
                      <w:sz w:val="21"/>
                      <w:szCs w:val="21"/>
                      <w:highlight w:val="none"/>
                      <w:lang w:val="en-US" w:bidi="ar-SA"/>
                      <w14:textFill>
                        <w14:solidFill>
                          <w14:schemeClr w14:val="tx1"/>
                        </w14:solidFill>
                      </w14:textFill>
                    </w:rPr>
                    <w:t>1</w:t>
                  </w:r>
                </w:p>
              </w:tc>
              <w:tc>
                <w:tcPr>
                  <w:tcW w:w="2880" w:type="pct"/>
                  <w:vAlign w:val="center"/>
                </w:tcPr>
                <w:p>
                  <w:pPr>
                    <w:autoSpaceDE/>
                    <w:autoSpaceDN/>
                    <w:adjustRightInd w:val="0"/>
                    <w:snapToGrid w:val="0"/>
                    <w:spacing w:line="276" w:lineRule="auto"/>
                    <w:jc w:val="center"/>
                    <w:rPr>
                      <w:rFonts w:cs="Times New Roman"/>
                      <w:color w:val="000000" w:themeColor="text1"/>
                      <w:kern w:val="2"/>
                      <w:sz w:val="21"/>
                      <w:szCs w:val="21"/>
                      <w:highlight w:val="none"/>
                      <w:lang w:val="en-US" w:bidi="ar-SA"/>
                      <w14:textFill>
                        <w14:solidFill>
                          <w14:schemeClr w14:val="tx1"/>
                        </w14:solidFill>
                      </w14:textFill>
                    </w:rPr>
                  </w:pPr>
                  <w:r>
                    <w:rPr>
                      <w:rFonts w:cs="Times New Roman"/>
                      <w:color w:val="000000" w:themeColor="text1"/>
                      <w:kern w:val="2"/>
                      <w:sz w:val="21"/>
                      <w:szCs w:val="21"/>
                      <w:highlight w:val="none"/>
                      <w:lang w:val="en-US" w:bidi="ar-SA"/>
                      <w14:textFill>
                        <w14:solidFill>
                          <w14:schemeClr w14:val="tx1"/>
                        </w14:solidFill>
                      </w14:textFill>
                    </w:rPr>
                    <w:t>最高允许排放浓度（mg/m</w:t>
                  </w:r>
                  <w:r>
                    <w:rPr>
                      <w:rFonts w:cs="Times New Roman"/>
                      <w:color w:val="000000" w:themeColor="text1"/>
                      <w:kern w:val="2"/>
                      <w:sz w:val="21"/>
                      <w:szCs w:val="21"/>
                      <w:highlight w:val="none"/>
                      <w:vertAlign w:val="superscript"/>
                      <w:lang w:val="en-US" w:bidi="ar-SA"/>
                      <w14:textFill>
                        <w14:solidFill>
                          <w14:schemeClr w14:val="tx1"/>
                        </w14:solidFill>
                      </w14:textFill>
                    </w:rPr>
                    <w:t>3</w:t>
                  </w:r>
                  <w:r>
                    <w:rPr>
                      <w:rFonts w:cs="Times New Roman"/>
                      <w:color w:val="000000" w:themeColor="text1"/>
                      <w:kern w:val="2"/>
                      <w:sz w:val="21"/>
                      <w:szCs w:val="21"/>
                      <w:highlight w:val="none"/>
                      <w:lang w:val="en-US" w:bidi="ar-SA"/>
                      <w14:textFill>
                        <w14:solidFill>
                          <w14:schemeClr w14:val="tx1"/>
                        </w14:solidFill>
                      </w14:textFill>
                    </w:rPr>
                    <w:t>）</w:t>
                  </w:r>
                </w:p>
              </w:tc>
              <w:tc>
                <w:tcPr>
                  <w:tcW w:w="1666" w:type="pct"/>
                  <w:vAlign w:val="center"/>
                </w:tcPr>
                <w:p>
                  <w:pPr>
                    <w:autoSpaceDE/>
                    <w:autoSpaceDN/>
                    <w:adjustRightInd w:val="0"/>
                    <w:snapToGrid w:val="0"/>
                    <w:spacing w:line="276" w:lineRule="auto"/>
                    <w:jc w:val="center"/>
                    <w:rPr>
                      <w:rFonts w:cs="Times New Roman"/>
                      <w:color w:val="000000" w:themeColor="text1"/>
                      <w:kern w:val="2"/>
                      <w:sz w:val="21"/>
                      <w:szCs w:val="21"/>
                      <w:highlight w:val="none"/>
                      <w:lang w:val="en-US" w:bidi="ar-SA"/>
                      <w14:textFill>
                        <w14:solidFill>
                          <w14:schemeClr w14:val="tx1"/>
                        </w14:solidFill>
                      </w14:textFill>
                    </w:rPr>
                  </w:pPr>
                  <w:r>
                    <w:rPr>
                      <w:rFonts w:cs="Times New Roman"/>
                      <w:color w:val="000000" w:themeColor="text1"/>
                      <w:kern w:val="2"/>
                      <w:sz w:val="21"/>
                      <w:szCs w:val="21"/>
                      <w:highlight w:val="none"/>
                      <w:lang w:val="en-US" w:bidi="ar-SA"/>
                      <w14:textFill>
                        <w14:solidFill>
                          <w14:schemeClr w14:val="tx1"/>
                        </w14:solidFill>
                      </w14:textFill>
                    </w:rPr>
                    <w:t>2.0</w:t>
                  </w:r>
                </w:p>
              </w:tc>
            </w:tr>
            <w:tr>
              <w:tblPrEx>
                <w:tblBorders>
                  <w:top w:val="single" w:color="000000" w:sz="6" w:space="0"/>
                  <w:left w:val="single" w:color="000000" w:sz="4" w:space="0"/>
                  <w:bottom w:val="single" w:color="000000" w:sz="6"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9" w:hRule="atLeast"/>
                <w:jc w:val="center"/>
              </w:trPr>
              <w:tc>
                <w:tcPr>
                  <w:tcW w:w="454" w:type="pct"/>
                  <w:vAlign w:val="center"/>
                </w:tcPr>
                <w:p>
                  <w:pPr>
                    <w:autoSpaceDE/>
                    <w:autoSpaceDN/>
                    <w:adjustRightInd w:val="0"/>
                    <w:snapToGrid w:val="0"/>
                    <w:spacing w:line="276" w:lineRule="auto"/>
                    <w:jc w:val="center"/>
                    <w:rPr>
                      <w:rFonts w:cs="Times New Roman"/>
                      <w:color w:val="000000" w:themeColor="text1"/>
                      <w:kern w:val="2"/>
                      <w:sz w:val="21"/>
                      <w:szCs w:val="21"/>
                      <w:highlight w:val="none"/>
                      <w:lang w:val="en-US" w:bidi="ar-SA"/>
                      <w14:textFill>
                        <w14:solidFill>
                          <w14:schemeClr w14:val="tx1"/>
                        </w14:solidFill>
                      </w14:textFill>
                    </w:rPr>
                  </w:pPr>
                  <w:r>
                    <w:rPr>
                      <w:rFonts w:cs="Times New Roman"/>
                      <w:color w:val="000000" w:themeColor="text1"/>
                      <w:kern w:val="2"/>
                      <w:sz w:val="21"/>
                      <w:szCs w:val="21"/>
                      <w:highlight w:val="none"/>
                      <w:lang w:val="en-US" w:bidi="ar-SA"/>
                      <w14:textFill>
                        <w14:solidFill>
                          <w14:schemeClr w14:val="tx1"/>
                        </w14:solidFill>
                      </w14:textFill>
                    </w:rPr>
                    <w:t>2</w:t>
                  </w:r>
                </w:p>
              </w:tc>
              <w:tc>
                <w:tcPr>
                  <w:tcW w:w="2880" w:type="pct"/>
                  <w:vAlign w:val="center"/>
                </w:tcPr>
                <w:p>
                  <w:pPr>
                    <w:autoSpaceDE/>
                    <w:autoSpaceDN/>
                    <w:adjustRightInd w:val="0"/>
                    <w:snapToGrid w:val="0"/>
                    <w:spacing w:line="276" w:lineRule="auto"/>
                    <w:jc w:val="center"/>
                    <w:rPr>
                      <w:rFonts w:cs="Times New Roman"/>
                      <w:color w:val="000000" w:themeColor="text1"/>
                      <w:kern w:val="2"/>
                      <w:sz w:val="21"/>
                      <w:szCs w:val="21"/>
                      <w:highlight w:val="none"/>
                      <w:lang w:val="en-US" w:bidi="ar-SA"/>
                      <w14:textFill>
                        <w14:solidFill>
                          <w14:schemeClr w14:val="tx1"/>
                        </w14:solidFill>
                      </w14:textFill>
                    </w:rPr>
                  </w:pPr>
                  <w:r>
                    <w:rPr>
                      <w:rFonts w:cs="Times New Roman"/>
                      <w:color w:val="000000" w:themeColor="text1"/>
                      <w:kern w:val="2"/>
                      <w:sz w:val="21"/>
                      <w:szCs w:val="21"/>
                      <w:highlight w:val="none"/>
                      <w:lang w:val="en-US" w:bidi="ar-SA"/>
                      <w14:textFill>
                        <w14:solidFill>
                          <w14:schemeClr w14:val="tx1"/>
                        </w14:solidFill>
                      </w14:textFill>
                    </w:rPr>
                    <w:t>最低去除效率（%）</w:t>
                  </w:r>
                </w:p>
              </w:tc>
              <w:tc>
                <w:tcPr>
                  <w:tcW w:w="1666" w:type="pct"/>
                  <w:vAlign w:val="center"/>
                </w:tcPr>
                <w:p>
                  <w:pPr>
                    <w:autoSpaceDE/>
                    <w:autoSpaceDN/>
                    <w:adjustRightInd w:val="0"/>
                    <w:snapToGrid w:val="0"/>
                    <w:spacing w:line="276" w:lineRule="auto"/>
                    <w:jc w:val="center"/>
                    <w:rPr>
                      <w:rFonts w:cs="Times New Roman"/>
                      <w:color w:val="000000" w:themeColor="text1"/>
                      <w:kern w:val="2"/>
                      <w:sz w:val="21"/>
                      <w:szCs w:val="21"/>
                      <w:highlight w:val="none"/>
                      <w:lang w:val="en-US" w:bidi="ar-SA"/>
                      <w14:textFill>
                        <w14:solidFill>
                          <w14:schemeClr w14:val="tx1"/>
                        </w14:solidFill>
                      </w14:textFill>
                    </w:rPr>
                  </w:pPr>
                  <w:r>
                    <w:rPr>
                      <w:rFonts w:cs="Times New Roman"/>
                      <w:color w:val="000000" w:themeColor="text1"/>
                      <w:kern w:val="2"/>
                      <w:sz w:val="21"/>
                      <w:szCs w:val="21"/>
                      <w:highlight w:val="none"/>
                      <w:lang w:val="en-US" w:bidi="ar-SA"/>
                      <w14:textFill>
                        <w14:solidFill>
                          <w14:schemeClr w14:val="tx1"/>
                        </w14:solidFill>
                      </w14:textFill>
                    </w:rPr>
                    <w:t>60</w:t>
                  </w:r>
                </w:p>
              </w:tc>
            </w:tr>
          </w:tbl>
          <w:p>
            <w:pPr>
              <w:pStyle w:val="5"/>
              <w:widowControl w:val="0"/>
              <w:ind w:firstLine="482"/>
              <w:rPr>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2</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废水排放控制标准</w:t>
            </w:r>
          </w:p>
          <w:p>
            <w:pPr>
              <w:pStyle w:val="5"/>
              <w:widowControl w:val="0"/>
              <w:ind w:firstLine="48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本</w:t>
            </w:r>
            <w:r>
              <w:rPr>
                <w:rFonts w:hint="default" w:ascii="Times New Roman" w:hAnsi="Times New Roman" w:cs="Times New Roman"/>
                <w:color w:val="000000" w:themeColor="text1"/>
                <w:highlight w:val="none"/>
                <w14:textFill>
                  <w14:solidFill>
                    <w14:schemeClr w14:val="tx1"/>
                  </w14:solidFill>
                </w14:textFill>
              </w:rPr>
              <w:t>项目</w:t>
            </w:r>
            <w:r>
              <w:rPr>
                <w:rFonts w:hint="default" w:ascii="Times New Roman" w:hAnsi="Times New Roman" w:cs="Times New Roman"/>
                <w:color w:val="000000" w:themeColor="text1"/>
                <w:highlight w:val="none"/>
                <w:lang w:val="en-US" w:eastAsia="zh-CN"/>
                <w14:textFill>
                  <w14:solidFill>
                    <w14:schemeClr w14:val="tx1"/>
                  </w14:solidFill>
                </w14:textFill>
              </w:rPr>
              <w:t>生活污水经三级化粪池处理后作为周边菜地农肥，不外排；</w:t>
            </w:r>
            <w:r>
              <w:rPr>
                <w:rFonts w:hint="eastAsia" w:cs="Times New Roman"/>
                <w:color w:val="000000" w:themeColor="text1"/>
                <w:highlight w:val="none"/>
                <w:lang w:val="en-US" w:eastAsia="zh-CN"/>
                <w14:textFill>
                  <w14:solidFill>
                    <w14:schemeClr w14:val="tx1"/>
                  </w14:solidFill>
                </w14:textFill>
              </w:rPr>
              <w:t>冲洗</w:t>
            </w:r>
            <w:r>
              <w:rPr>
                <w:rFonts w:hint="default" w:ascii="Times New Roman" w:hAnsi="Times New Roman" w:cs="Times New Roman"/>
                <w:color w:val="000000" w:themeColor="text1"/>
                <w:highlight w:val="none"/>
                <w:lang w:val="en-US" w:eastAsia="zh-CN"/>
                <w14:textFill>
                  <w14:solidFill>
                    <w14:schemeClr w14:val="tx1"/>
                  </w14:solidFill>
                </w14:textFill>
              </w:rPr>
              <w:t>废水作为原水回用不外排；沉淀池排泥水收集至污泥池，上清液回流作为原水回用；浓缩污泥经污泥压滤机脱水处理，压滤水作为厂区绿化使用，不外排。</w:t>
            </w:r>
          </w:p>
          <w:p>
            <w:pPr>
              <w:pStyle w:val="5"/>
              <w:widowControl w:val="0"/>
              <w:ind w:firstLine="480"/>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为保障用水安全，</w:t>
            </w:r>
            <w:r>
              <w:rPr>
                <w:rFonts w:hint="eastAsia" w:cs="Times New Roman"/>
                <w:color w:val="000000" w:themeColor="text1"/>
                <w:highlight w:val="none"/>
                <w:u w:val="single"/>
                <w:lang w:val="en-US" w:eastAsia="zh-CN"/>
                <w14:textFill>
                  <w14:solidFill>
                    <w14:schemeClr w14:val="tx1"/>
                  </w14:solidFill>
                </w14:textFill>
              </w:rPr>
              <w:t>本评价要求建设单位按饮用水水源保护区要求执行相关规定并采取相应保护措施，确保</w:t>
            </w:r>
            <w:r>
              <w:rPr>
                <w:rFonts w:hint="default" w:ascii="Times New Roman" w:hAnsi="Times New Roman" w:cs="Times New Roman"/>
                <w:color w:val="000000" w:themeColor="text1"/>
                <w:highlight w:val="none"/>
                <w:u w:val="single"/>
                <w:lang w:val="en-US" w:eastAsia="zh-CN"/>
                <w14:textFill>
                  <w14:solidFill>
                    <w14:schemeClr w14:val="tx1"/>
                  </w14:solidFill>
                </w14:textFill>
              </w:rPr>
              <w:t>木形水库</w:t>
            </w:r>
            <w:r>
              <w:rPr>
                <w:rFonts w:hint="eastAsia" w:cs="Times New Roman"/>
                <w:color w:val="000000" w:themeColor="text1"/>
                <w:highlight w:val="none"/>
                <w:u w:val="single"/>
                <w:lang w:val="en-US" w:eastAsia="zh-CN"/>
                <w14:textFill>
                  <w14:solidFill>
                    <w14:schemeClr w14:val="tx1"/>
                  </w14:solidFill>
                </w14:textFill>
              </w:rPr>
              <w:t>水质持续</w:t>
            </w:r>
            <w:r>
              <w:rPr>
                <w:rFonts w:hint="default" w:ascii="Times New Roman" w:hAnsi="Times New Roman" w:cs="Times New Roman"/>
                <w:color w:val="000000" w:themeColor="text1"/>
                <w:highlight w:val="none"/>
                <w:u w:val="single"/>
                <w:lang w:val="en-US" w:eastAsia="zh-CN"/>
                <w14:textFill>
                  <w14:solidFill>
                    <w14:schemeClr w14:val="tx1"/>
                  </w14:solidFill>
                </w14:textFill>
              </w:rPr>
              <w:t>满足</w:t>
            </w:r>
            <w:r>
              <w:rPr>
                <w:rFonts w:hint="eastAsia" w:ascii="Times New Roman" w:hAnsi="Times New Roman" w:cs="Times New Roman"/>
                <w:color w:val="000000" w:themeColor="text1"/>
                <w:highlight w:val="none"/>
                <w:u w:val="single"/>
                <w:lang w:val="en-US" w:eastAsia="zh-CN"/>
                <w14:textFill>
                  <w14:solidFill>
                    <w14:schemeClr w14:val="tx1"/>
                  </w14:solidFill>
                </w14:textFill>
              </w:rPr>
              <w:t>《</w:t>
            </w:r>
            <w:r>
              <w:rPr>
                <w:rFonts w:hint="default" w:ascii="Times New Roman" w:hAnsi="Times New Roman" w:cs="Times New Roman"/>
                <w:color w:val="000000" w:themeColor="text1"/>
                <w:highlight w:val="none"/>
                <w:u w:val="single"/>
                <w:lang w:val="en-US" w:eastAsia="zh-CN"/>
                <w14:textFill>
                  <w14:solidFill>
                    <w14:schemeClr w14:val="tx1"/>
                  </w14:solidFill>
                </w14:textFill>
              </w:rPr>
              <w:t>地表水环境质量标准》（GB3838-2002）中Ⅱ类标准要求。</w:t>
            </w:r>
          </w:p>
          <w:p>
            <w:pPr>
              <w:pStyle w:val="5"/>
              <w:widowControl w:val="0"/>
              <w:ind w:firstLine="0" w:firstLineChars="0"/>
              <w:jc w:val="center"/>
              <w:rPr>
                <w:rFonts w:hint="eastAsia" w:ascii="Times New Roman" w:hAnsi="Times New Roman" w:eastAsia="宋体" w:cs="Times New Roman"/>
                <w:b/>
                <w:bCs/>
                <w:color w:val="000000" w:themeColor="text1"/>
                <w:highlight w:val="none"/>
                <w:u w:val="single"/>
                <w:lang w:eastAsia="zh-CN"/>
                <w14:textFill>
                  <w14:solidFill>
                    <w14:schemeClr w14:val="tx1"/>
                  </w14:solidFill>
                </w14:textFill>
              </w:rPr>
            </w:pPr>
            <w:r>
              <w:rPr>
                <w:rFonts w:hint="default" w:ascii="Times New Roman" w:hAnsi="Times New Roman" w:cs="Times New Roman"/>
                <w:b/>
                <w:bCs/>
                <w:color w:val="000000" w:themeColor="text1"/>
                <w:highlight w:val="none"/>
                <w:u w:val="single"/>
                <w14:textFill>
                  <w14:solidFill>
                    <w14:schemeClr w14:val="tx1"/>
                  </w14:solidFill>
                </w14:textFill>
              </w:rPr>
              <w:t>表3-</w:t>
            </w:r>
            <w:r>
              <w:rPr>
                <w:rFonts w:hint="eastAsia" w:ascii="Times New Roman" w:hAnsi="Times New Roman" w:cs="Times New Roman"/>
                <w:b/>
                <w:bCs/>
                <w:color w:val="000000" w:themeColor="text1"/>
                <w:highlight w:val="none"/>
                <w:u w:val="single"/>
                <w:lang w:val="en-US" w:eastAsia="zh-CN"/>
                <w14:textFill>
                  <w14:solidFill>
                    <w14:schemeClr w14:val="tx1"/>
                  </w14:solidFill>
                </w14:textFill>
              </w:rPr>
              <w:t>7</w:t>
            </w:r>
            <w:r>
              <w:rPr>
                <w:rFonts w:hint="default" w:ascii="Times New Roman" w:hAnsi="Times New Roman" w:cs="Times New Roman"/>
                <w:b/>
                <w:bCs/>
                <w:color w:val="000000" w:themeColor="text1"/>
                <w:highlight w:val="none"/>
                <w:u w:val="single"/>
                <w14:textFill>
                  <w14:solidFill>
                    <w14:schemeClr w14:val="tx1"/>
                  </w14:solidFill>
                </w14:textFill>
              </w:rPr>
              <w:t xml:space="preserve">  本项目</w:t>
            </w:r>
            <w:r>
              <w:rPr>
                <w:rFonts w:hint="default" w:ascii="Times New Roman" w:hAnsi="Times New Roman" w:cs="Times New Roman"/>
                <w:b/>
                <w:bCs/>
                <w:color w:val="000000" w:themeColor="text1"/>
                <w:highlight w:val="none"/>
                <w:u w:val="single"/>
                <w:lang w:val="en-US" w:eastAsia="zh-CN"/>
                <w14:textFill>
                  <w14:solidFill>
                    <w14:schemeClr w14:val="tx1"/>
                  </w14:solidFill>
                </w14:textFill>
              </w:rPr>
              <w:t>原水水质</w:t>
            </w:r>
            <w:r>
              <w:rPr>
                <w:rFonts w:hint="default" w:ascii="Times New Roman" w:hAnsi="Times New Roman" w:cs="Times New Roman"/>
                <w:b/>
                <w:bCs/>
                <w:color w:val="000000" w:themeColor="text1"/>
                <w:highlight w:val="none"/>
                <w:u w:val="single"/>
                <w14:textFill>
                  <w14:solidFill>
                    <w14:schemeClr w14:val="tx1"/>
                  </w14:solidFill>
                </w14:textFill>
              </w:rPr>
              <w:t>标准限值</w:t>
            </w:r>
            <w:r>
              <w:rPr>
                <w:rFonts w:hint="eastAsia" w:cs="Times New Roman"/>
                <w:b/>
                <w:bCs/>
                <w:color w:val="000000" w:themeColor="text1"/>
                <w:highlight w:val="none"/>
                <w:u w:val="single"/>
                <w:lang w:eastAsia="zh-CN"/>
                <w14:textFill>
                  <w14:solidFill>
                    <w14:schemeClr w14:val="tx1"/>
                  </w14:solidFill>
                </w14:textFill>
              </w:rPr>
              <w:t>（</w:t>
            </w:r>
            <w:r>
              <w:rPr>
                <w:rFonts w:hint="eastAsia" w:cs="Times New Roman"/>
                <w:b/>
                <w:bCs/>
                <w:color w:val="000000" w:themeColor="text1"/>
                <w:highlight w:val="none"/>
                <w:u w:val="single"/>
                <w:lang w:val="en-US" w:eastAsia="zh-CN"/>
                <w14:textFill>
                  <w14:solidFill>
                    <w14:schemeClr w14:val="tx1"/>
                  </w14:solidFill>
                </w14:textFill>
              </w:rPr>
              <w:t>节选</w:t>
            </w:r>
            <w:r>
              <w:rPr>
                <w:rFonts w:hint="eastAsia" w:cs="Times New Roman"/>
                <w:b/>
                <w:bCs/>
                <w:color w:val="000000" w:themeColor="text1"/>
                <w:highlight w:val="none"/>
                <w:u w:val="single"/>
                <w:lang w:eastAsia="zh-CN"/>
                <w14:textFill>
                  <w14:solidFill>
                    <w14:schemeClr w14:val="tx1"/>
                  </w14:solidFill>
                </w14:textFill>
              </w:rPr>
              <w:t>）</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9"/>
              <w:gridCol w:w="1159"/>
              <w:gridCol w:w="1827"/>
              <w:gridCol w:w="1187"/>
              <w:gridCol w:w="1186"/>
              <w:gridCol w:w="1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779"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污染物</w:t>
                  </w:r>
                </w:p>
              </w:tc>
              <w:tc>
                <w:tcPr>
                  <w:tcW w:w="1159"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执行标准</w:t>
                  </w:r>
                </w:p>
              </w:tc>
              <w:tc>
                <w:tcPr>
                  <w:tcW w:w="182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标准限值</w:t>
                  </w:r>
                </w:p>
              </w:tc>
              <w:tc>
                <w:tcPr>
                  <w:tcW w:w="118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污染物</w:t>
                  </w:r>
                </w:p>
              </w:tc>
              <w:tc>
                <w:tcPr>
                  <w:tcW w:w="1186"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执行标准</w:t>
                  </w: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pH值</w:t>
                  </w:r>
                </w:p>
              </w:tc>
              <w:tc>
                <w:tcPr>
                  <w:tcW w:w="1159" w:type="dxa"/>
                  <w:vMerge w:val="restart"/>
                  <w:vAlign w:val="center"/>
                </w:tcPr>
                <w:p>
                  <w:pPr>
                    <w:pStyle w:val="38"/>
                    <w:widowControl w:val="0"/>
                    <w:rPr>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Ⅱ类</w:t>
                  </w:r>
                </w:p>
              </w:tc>
              <w:tc>
                <w:tcPr>
                  <w:tcW w:w="182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6-9</w:t>
                  </w:r>
                </w:p>
              </w:tc>
              <w:tc>
                <w:tcPr>
                  <w:tcW w:w="1187"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铬</w:t>
                  </w:r>
                </w:p>
              </w:tc>
              <w:tc>
                <w:tcPr>
                  <w:tcW w:w="1186" w:type="dxa"/>
                  <w:vMerge w:val="restart"/>
                  <w:vAlign w:val="center"/>
                </w:tcPr>
                <w:p>
                  <w:pPr>
                    <w:pStyle w:val="38"/>
                    <w:widowControl w:val="0"/>
                    <w:rPr>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Ⅱ类</w:t>
                  </w: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溶解氧</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6</w:t>
                  </w:r>
                </w:p>
              </w:tc>
              <w:tc>
                <w:tcPr>
                  <w:tcW w:w="1187"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铅</w:t>
                  </w:r>
                </w:p>
              </w:tc>
              <w:tc>
                <w:tcPr>
                  <w:tcW w:w="1186"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高锰酸盐指数</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4</w:t>
                  </w:r>
                </w:p>
              </w:tc>
              <w:tc>
                <w:tcPr>
                  <w:tcW w:w="1187"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氰化物</w:t>
                  </w:r>
                </w:p>
              </w:tc>
              <w:tc>
                <w:tcPr>
                  <w:tcW w:w="1186"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化学需氧量</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15</w:t>
                  </w:r>
                </w:p>
              </w:tc>
              <w:tc>
                <w:tcPr>
                  <w:tcW w:w="1187"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挥发酚</w:t>
                  </w:r>
                </w:p>
              </w:tc>
              <w:tc>
                <w:tcPr>
                  <w:tcW w:w="1186"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五日生化需氧量</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3</w:t>
                  </w:r>
                </w:p>
              </w:tc>
              <w:tc>
                <w:tcPr>
                  <w:tcW w:w="1187"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石油类</w:t>
                  </w:r>
                </w:p>
              </w:tc>
              <w:tc>
                <w:tcPr>
                  <w:tcW w:w="1186"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氨氮</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0.5</w:t>
                  </w:r>
                </w:p>
              </w:tc>
              <w:tc>
                <w:tcPr>
                  <w:tcW w:w="118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阴离子表面活性剂</w:t>
                  </w:r>
                </w:p>
              </w:tc>
              <w:tc>
                <w:tcPr>
                  <w:tcW w:w="1186"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总磷</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0.025</w:t>
                  </w:r>
                </w:p>
              </w:tc>
              <w:tc>
                <w:tcPr>
                  <w:tcW w:w="1187"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硫化物</w:t>
                  </w:r>
                </w:p>
              </w:tc>
              <w:tc>
                <w:tcPr>
                  <w:tcW w:w="1186"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总氮</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0.5</w:t>
                  </w:r>
                </w:p>
              </w:tc>
              <w:tc>
                <w:tcPr>
                  <w:tcW w:w="1187"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粪大肠菌群</w:t>
                  </w:r>
                </w:p>
              </w:tc>
              <w:tc>
                <w:tcPr>
                  <w:tcW w:w="1186"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铜</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w:t>
                  </w:r>
                </w:p>
              </w:tc>
              <w:tc>
                <w:tcPr>
                  <w:tcW w:w="1187"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硫酸盐</w:t>
                  </w:r>
                </w:p>
              </w:tc>
              <w:tc>
                <w:tcPr>
                  <w:tcW w:w="1186" w:type="dxa"/>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w:t>
                  </w: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锌</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w:t>
                  </w:r>
                </w:p>
              </w:tc>
              <w:tc>
                <w:tcPr>
                  <w:tcW w:w="1187"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氯化物</w:t>
                  </w:r>
                </w:p>
              </w:tc>
              <w:tc>
                <w:tcPr>
                  <w:tcW w:w="1186" w:type="dxa"/>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w:t>
                  </w: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氟化物</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w:t>
                  </w:r>
                </w:p>
              </w:tc>
              <w:tc>
                <w:tcPr>
                  <w:tcW w:w="1187"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硝酸盐</w:t>
                  </w:r>
                </w:p>
              </w:tc>
              <w:tc>
                <w:tcPr>
                  <w:tcW w:w="1186" w:type="dxa"/>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w:t>
                  </w: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硒</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0.01</w:t>
                  </w:r>
                </w:p>
              </w:tc>
              <w:tc>
                <w:tcPr>
                  <w:tcW w:w="1187"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铁</w:t>
                  </w:r>
                </w:p>
              </w:tc>
              <w:tc>
                <w:tcPr>
                  <w:tcW w:w="1186" w:type="dxa"/>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w:t>
                  </w: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砷</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0.05</w:t>
                  </w:r>
                </w:p>
              </w:tc>
              <w:tc>
                <w:tcPr>
                  <w:tcW w:w="1187"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锰</w:t>
                  </w:r>
                </w:p>
              </w:tc>
              <w:tc>
                <w:tcPr>
                  <w:tcW w:w="1186" w:type="dxa"/>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w:t>
                  </w: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汞</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0.00005</w:t>
                  </w:r>
                </w:p>
              </w:tc>
              <w:tc>
                <w:tcPr>
                  <w:tcW w:w="118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三氯甲烷</w:t>
                  </w:r>
                </w:p>
              </w:tc>
              <w:tc>
                <w:tcPr>
                  <w:tcW w:w="1186" w:type="dxa"/>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w:t>
                  </w: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9"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镉</w:t>
                  </w:r>
                </w:p>
              </w:tc>
              <w:tc>
                <w:tcPr>
                  <w:tcW w:w="1159" w:type="dxa"/>
                  <w:vMerge w:val="continue"/>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p>
              </w:tc>
              <w:tc>
                <w:tcPr>
                  <w:tcW w:w="1827" w:type="dxa"/>
                  <w:vAlign w:val="center"/>
                </w:tcPr>
                <w:p>
                  <w:pPr>
                    <w:pStyle w:val="38"/>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0.005</w:t>
                  </w:r>
                </w:p>
              </w:tc>
              <w:tc>
                <w:tcPr>
                  <w:tcW w:w="1187" w:type="dxa"/>
                  <w:vAlign w:val="center"/>
                </w:tcPr>
                <w:p>
                  <w:pPr>
                    <w:pStyle w:val="38"/>
                    <w:widowControl w:val="0"/>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四氯化碳</w:t>
                  </w:r>
                </w:p>
              </w:tc>
              <w:tc>
                <w:tcPr>
                  <w:tcW w:w="1186" w:type="dxa"/>
                  <w:vAlign w:val="center"/>
                </w:tcPr>
                <w:p>
                  <w:pPr>
                    <w:pStyle w:val="38"/>
                    <w:widowControl w:val="0"/>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w:t>
                  </w:r>
                </w:p>
              </w:tc>
              <w:tc>
                <w:tcPr>
                  <w:tcW w:w="1837" w:type="dxa"/>
                  <w:vAlign w:val="center"/>
                </w:tcPr>
                <w:p>
                  <w:pPr>
                    <w:pStyle w:val="38"/>
                    <w:widowControl w:val="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0.002</w:t>
                  </w:r>
                </w:p>
              </w:tc>
            </w:tr>
          </w:tbl>
          <w:p>
            <w:pPr>
              <w:pStyle w:val="5"/>
              <w:widowControl w:val="0"/>
              <w:ind w:firstLine="482"/>
              <w:rPr>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3</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噪声排放控制标准</w:t>
            </w:r>
          </w:p>
          <w:p>
            <w:pPr>
              <w:pStyle w:val="5"/>
              <w:widowControl w:val="0"/>
              <w:ind w:firstLine="48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项目施工期噪声执行《建筑施工场界环境噪声排放标准》（</w:t>
            </w:r>
            <w:r>
              <w:rPr>
                <w:color w:val="000000" w:themeColor="text1"/>
                <w:highlight w:val="none"/>
                <w14:textFill>
                  <w14:solidFill>
                    <w14:schemeClr w14:val="tx1"/>
                  </w14:solidFill>
                </w14:textFill>
              </w:rPr>
              <w:t>GB 12523-2011</w:t>
            </w:r>
            <w:r>
              <w:rPr>
                <w:rFonts w:hint="eastAsia"/>
                <w:color w:val="000000" w:themeColor="text1"/>
                <w:highlight w:val="none"/>
                <w14:textFill>
                  <w14:solidFill>
                    <w14:schemeClr w14:val="tx1"/>
                  </w14:solidFill>
                </w14:textFill>
              </w:rPr>
              <w:t>）；项目营运期厂界噪声执行《工业企业厂界环境噪声排放标准》（</w:t>
            </w:r>
            <w:r>
              <w:rPr>
                <w:color w:val="000000" w:themeColor="text1"/>
                <w:highlight w:val="none"/>
                <w14:textFill>
                  <w14:solidFill>
                    <w14:schemeClr w14:val="tx1"/>
                  </w14:solidFill>
                </w14:textFill>
              </w:rPr>
              <w:t>GB 12348-2008</w:t>
            </w:r>
            <w:r>
              <w:rPr>
                <w:rFonts w:hint="eastAsia"/>
                <w:color w:val="000000" w:themeColor="text1"/>
                <w:highlight w:val="none"/>
                <w14:textFill>
                  <w14:solidFill>
                    <w14:schemeClr w14:val="tx1"/>
                  </w14:solidFill>
                </w14:textFill>
              </w:rPr>
              <w:t>）中的</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类标准；具体见下表</w:t>
            </w:r>
            <w:r>
              <w:rPr>
                <w:rFonts w:hint="eastAsia"/>
                <w:color w:val="000000" w:themeColor="text1"/>
                <w:highlight w:val="none"/>
                <w:lang w:eastAsia="zh-CN"/>
                <w14:textFill>
                  <w14:solidFill>
                    <w14:schemeClr w14:val="tx1"/>
                  </w14:solidFill>
                </w14:textFill>
              </w:rPr>
              <w:t>：</w:t>
            </w:r>
          </w:p>
          <w:p>
            <w:pPr>
              <w:pStyle w:val="5"/>
              <w:widowControl w:val="0"/>
              <w:ind w:firstLine="0" w:firstLineChars="0"/>
              <w:jc w:val="center"/>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表</w:t>
            </w:r>
            <w:r>
              <w:rPr>
                <w:b/>
                <w:bCs/>
                <w:color w:val="000000" w:themeColor="text1"/>
                <w:highlight w:val="none"/>
                <w14:textFill>
                  <w14:solidFill>
                    <w14:schemeClr w14:val="tx1"/>
                  </w14:solidFill>
                </w14:textFill>
              </w:rPr>
              <w:t>3</w:t>
            </w:r>
            <w:r>
              <w:rPr>
                <w:rFonts w:hint="eastAsia"/>
                <w:b/>
                <w:bCs/>
                <w:color w:val="000000" w:themeColor="text1"/>
                <w:highlight w:val="none"/>
                <w:lang w:val="en-US" w:eastAsia="zh-CN"/>
                <w14:textFill>
                  <w14:solidFill>
                    <w14:schemeClr w14:val="tx1"/>
                  </w14:solidFill>
                </w14:textFill>
              </w:rPr>
              <w:t>-8</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本项目噪声排放标准限值</w:t>
            </w:r>
          </w:p>
          <w:tbl>
            <w:tblPr>
              <w:tblStyle w:val="27"/>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57" w:type="dxa"/>
                <w:bottom w:w="0" w:type="dxa"/>
                <w:right w:w="57" w:type="dxa"/>
              </w:tblCellMar>
            </w:tblPr>
            <w:tblGrid>
              <w:gridCol w:w="966"/>
              <w:gridCol w:w="934"/>
              <w:gridCol w:w="938"/>
              <w:gridCol w:w="632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340" w:hRule="atLeast"/>
                <w:jc w:val="center"/>
              </w:trPr>
              <w:tc>
                <w:tcPr>
                  <w:tcW w:w="527" w:type="pct"/>
                  <w:vMerge w:val="restart"/>
                  <w:vAlign w:val="center"/>
                </w:tcPr>
                <w:p>
                  <w:pPr>
                    <w:pStyle w:val="3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阶段</w:t>
                  </w:r>
                </w:p>
              </w:tc>
              <w:tc>
                <w:tcPr>
                  <w:tcW w:w="1022" w:type="pct"/>
                  <w:gridSpan w:val="2"/>
                  <w:vAlign w:val="center"/>
                </w:tcPr>
                <w:p>
                  <w:pPr>
                    <w:pStyle w:val="3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标准值</w:t>
                  </w:r>
                  <w:r>
                    <w:rPr>
                      <w:b/>
                      <w:bCs/>
                      <w:color w:val="000000" w:themeColor="text1"/>
                      <w:highlight w:val="none"/>
                      <w14:textFill>
                        <w14:solidFill>
                          <w14:schemeClr w14:val="tx1"/>
                        </w14:solidFill>
                      </w14:textFill>
                    </w:rPr>
                    <w:t>dB</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A</w:t>
                  </w:r>
                  <w:r>
                    <w:rPr>
                      <w:rFonts w:hint="eastAsia"/>
                      <w:b/>
                      <w:bCs/>
                      <w:color w:val="000000" w:themeColor="text1"/>
                      <w:highlight w:val="none"/>
                      <w14:textFill>
                        <w14:solidFill>
                          <w14:schemeClr w14:val="tx1"/>
                        </w14:solidFill>
                      </w14:textFill>
                    </w:rPr>
                    <w:t>）</w:t>
                  </w:r>
                </w:p>
              </w:tc>
              <w:tc>
                <w:tcPr>
                  <w:tcW w:w="3450" w:type="pct"/>
                  <w:vMerge w:val="restart"/>
                  <w:vAlign w:val="center"/>
                </w:tcPr>
                <w:p>
                  <w:pPr>
                    <w:pStyle w:val="38"/>
                    <w:rPr>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评价标准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340" w:hRule="atLeast"/>
                <w:jc w:val="center"/>
              </w:trPr>
              <w:tc>
                <w:tcPr>
                  <w:tcW w:w="527" w:type="pct"/>
                  <w:vMerge w:val="continue"/>
                  <w:vAlign w:val="center"/>
                </w:tcPr>
                <w:p>
                  <w:pPr>
                    <w:pStyle w:val="38"/>
                    <w:rPr>
                      <w:b/>
                      <w:bCs/>
                      <w:color w:val="000000" w:themeColor="text1"/>
                      <w:highlight w:val="none"/>
                      <w14:textFill>
                        <w14:solidFill>
                          <w14:schemeClr w14:val="tx1"/>
                        </w14:solidFill>
                      </w14:textFill>
                    </w:rPr>
                  </w:pPr>
                </w:p>
              </w:tc>
              <w:tc>
                <w:tcPr>
                  <w:tcW w:w="510" w:type="pct"/>
                  <w:vAlign w:val="center"/>
                </w:tcPr>
                <w:p>
                  <w:pPr>
                    <w:pStyle w:val="3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昼间</w:t>
                  </w:r>
                </w:p>
              </w:tc>
              <w:tc>
                <w:tcPr>
                  <w:tcW w:w="511" w:type="pct"/>
                  <w:vAlign w:val="center"/>
                </w:tcPr>
                <w:p>
                  <w:pPr>
                    <w:pStyle w:val="38"/>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夜间</w:t>
                  </w:r>
                </w:p>
              </w:tc>
              <w:tc>
                <w:tcPr>
                  <w:tcW w:w="3450" w:type="pct"/>
                  <w:vMerge w:val="continue"/>
                  <w:vAlign w:val="center"/>
                </w:tcPr>
                <w:p>
                  <w:pPr>
                    <w:pStyle w:val="38"/>
                    <w:rPr>
                      <w:color w:val="000000" w:themeColor="text1"/>
                      <w:highlight w:val="none"/>
                      <w14:textFill>
                        <w14:solidFill>
                          <w14:schemeClr w14:val="tx1"/>
                        </w14:solidFill>
                      </w14:textFill>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340" w:hRule="atLeast"/>
                <w:jc w:val="center"/>
              </w:trPr>
              <w:tc>
                <w:tcPr>
                  <w:tcW w:w="527" w:type="pct"/>
                  <w:vAlign w:val="center"/>
                </w:tcPr>
                <w:p>
                  <w:pPr>
                    <w:pStyle w:val="3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施工期</w:t>
                  </w:r>
                </w:p>
              </w:tc>
              <w:tc>
                <w:tcPr>
                  <w:tcW w:w="510" w:type="pct"/>
                  <w:vAlign w:val="center"/>
                </w:tcPr>
                <w:p>
                  <w:pPr>
                    <w:pStyle w:val="3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511" w:type="pct"/>
                  <w:vAlign w:val="center"/>
                </w:tcPr>
                <w:p>
                  <w:pPr>
                    <w:pStyle w:val="3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c>
                <w:tcPr>
                  <w:tcW w:w="3450" w:type="pct"/>
                  <w:vAlign w:val="center"/>
                </w:tcPr>
                <w:p>
                  <w:pPr>
                    <w:pStyle w:val="3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《建筑施工场界环境噪声排放标准》（</w:t>
                  </w:r>
                  <w:r>
                    <w:rPr>
                      <w:color w:val="000000" w:themeColor="text1"/>
                      <w:highlight w:val="none"/>
                      <w14:textFill>
                        <w14:solidFill>
                          <w14:schemeClr w14:val="tx1"/>
                        </w14:solidFill>
                      </w14:textFill>
                    </w:rPr>
                    <w:t>GB12523-2011</w:t>
                  </w:r>
                  <w:r>
                    <w:rPr>
                      <w:rFonts w:hint="eastAsia"/>
                      <w:color w:val="000000" w:themeColor="text1"/>
                      <w:highlight w:val="none"/>
                      <w14:textFill>
                        <w14:solidFill>
                          <w14:schemeClr w14:val="tx1"/>
                        </w14:solidFill>
                      </w14:textFill>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340" w:hRule="atLeast"/>
                <w:jc w:val="center"/>
              </w:trPr>
              <w:tc>
                <w:tcPr>
                  <w:tcW w:w="527" w:type="pct"/>
                  <w:vAlign w:val="center"/>
                </w:tcPr>
                <w:p>
                  <w:pPr>
                    <w:pStyle w:val="3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营运期</w:t>
                  </w:r>
                </w:p>
              </w:tc>
              <w:tc>
                <w:tcPr>
                  <w:tcW w:w="510" w:type="pct"/>
                  <w:vAlign w:val="center"/>
                </w:tcPr>
                <w:p>
                  <w:pPr>
                    <w:pStyle w:val="3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60</w:t>
                  </w:r>
                </w:p>
              </w:tc>
              <w:tc>
                <w:tcPr>
                  <w:tcW w:w="511" w:type="pct"/>
                  <w:vAlign w:val="center"/>
                </w:tcPr>
                <w:p>
                  <w:pPr>
                    <w:pStyle w:val="3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w:t>
                  </w:r>
                </w:p>
              </w:tc>
              <w:tc>
                <w:tcPr>
                  <w:tcW w:w="3450" w:type="pct"/>
                  <w:vAlign w:val="center"/>
                </w:tcPr>
                <w:p>
                  <w:pPr>
                    <w:pStyle w:val="3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《工业企业厂界环境噪声排放标准》（</w:t>
                  </w:r>
                  <w:r>
                    <w:rPr>
                      <w:color w:val="000000" w:themeColor="text1"/>
                      <w:highlight w:val="none"/>
                      <w14:textFill>
                        <w14:solidFill>
                          <w14:schemeClr w14:val="tx1"/>
                        </w14:solidFill>
                      </w14:textFill>
                    </w:rPr>
                    <w:t>GB12348</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2008</w:t>
                  </w:r>
                  <w:r>
                    <w:rPr>
                      <w:rFonts w:hint="eastAsia"/>
                      <w:color w:val="000000" w:themeColor="text1"/>
                      <w:highlight w:val="none"/>
                      <w14:textFill>
                        <w14:solidFill>
                          <w14:schemeClr w14:val="tx1"/>
                        </w14:solidFill>
                      </w14:textFill>
                    </w:rPr>
                    <w:t>）中</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类标准</w:t>
                  </w:r>
                </w:p>
              </w:tc>
            </w:tr>
          </w:tbl>
          <w:p>
            <w:pPr>
              <w:pStyle w:val="5"/>
              <w:widowControl w:val="0"/>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 xml:space="preserve">3.3.4  </w:t>
            </w:r>
            <w:r>
              <w:rPr>
                <w:rFonts w:hint="eastAsia"/>
                <w:b/>
                <w:bCs/>
                <w:color w:val="000000" w:themeColor="text1"/>
                <w:highlight w:val="none"/>
                <w14:textFill>
                  <w14:solidFill>
                    <w14:schemeClr w14:val="tx1"/>
                  </w14:solidFill>
                </w14:textFill>
              </w:rPr>
              <w:t>固体废物存储、处置标准</w:t>
            </w:r>
          </w:p>
          <w:p>
            <w:pPr>
              <w:pStyle w:val="5"/>
              <w:widowControl w:val="0"/>
              <w:ind w:firstLine="480"/>
              <w:rPr>
                <w:rFonts w:hint="eastAsia" w:eastAsia="宋体"/>
                <w:color w:val="000000" w:themeColor="text1"/>
                <w:highlight w:val="none"/>
                <w:lang w:eastAsia="zh-CN"/>
                <w14:textFill>
                  <w14:solidFill>
                    <w14:schemeClr w14:val="tx1"/>
                  </w14:solidFill>
                </w14:textFill>
              </w:rPr>
            </w:pPr>
            <w:r>
              <w:rPr>
                <w:rFonts w:hint="eastAsia" w:cs="Times New Roman"/>
                <w:color w:val="000000" w:themeColor="text1"/>
                <w:highlight w:val="none"/>
                <w14:textFill>
                  <w14:solidFill>
                    <w14:schemeClr w14:val="tx1"/>
                  </w14:solidFill>
                </w14:textFill>
              </w:rPr>
              <w:t>一般固体废物的</w:t>
            </w:r>
            <w:r>
              <w:rPr>
                <w:rFonts w:hint="eastAsia"/>
                <w:color w:val="000000" w:themeColor="text1"/>
                <w:highlight w:val="none"/>
                <w14:textFill>
                  <w14:solidFill>
                    <w14:schemeClr w14:val="tx1"/>
                  </w14:solidFill>
                </w14:textFill>
              </w:rPr>
              <w:t>贮存、处置</w:t>
            </w:r>
            <w:r>
              <w:rPr>
                <w:rFonts w:hint="eastAsia" w:cs="Times New Roman"/>
                <w:color w:val="000000" w:themeColor="text1"/>
                <w:highlight w:val="none"/>
                <w14:textFill>
                  <w14:solidFill>
                    <w14:schemeClr w14:val="tx1"/>
                  </w14:solidFill>
                </w14:textFill>
              </w:rPr>
              <w:t>执行《一般工业固体废物贮存和填埋污染控制标准》（</w:t>
            </w:r>
            <w:r>
              <w:rPr>
                <w:rFonts w:cs="Times New Roman"/>
                <w:color w:val="000000" w:themeColor="text1"/>
                <w:highlight w:val="none"/>
                <w14:textFill>
                  <w14:solidFill>
                    <w14:schemeClr w14:val="tx1"/>
                  </w14:solidFill>
                </w14:textFill>
              </w:rPr>
              <w:t>GB18599-2020</w:t>
            </w:r>
            <w:r>
              <w:rPr>
                <w:rFonts w:hint="eastAsia" w:cs="Times New Roman"/>
                <w:color w:val="000000" w:themeColor="text1"/>
                <w:highlight w:val="none"/>
                <w14:textFill>
                  <w14:solidFill>
                    <w14:schemeClr w14:val="tx1"/>
                  </w14:solidFill>
                </w14:textFill>
              </w:rPr>
              <w:t>）和《中华人民共和国固体废弃物污染环境防治法》中的有关规定</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等</w:t>
            </w:r>
            <w:r>
              <w:rPr>
                <w:rFonts w:hint="eastAsia" w:cs="Times New Roman"/>
                <w:color w:val="000000" w:themeColor="text1"/>
                <w:highlight w:val="none"/>
                <w:lang w:eastAsia="zh-CN"/>
                <w14:textFill>
                  <w14:solidFill>
                    <w14:schemeClr w14:val="tx1"/>
                  </w14:solidFill>
                </w14:textFill>
              </w:rPr>
              <w:t>危险废物执行《危险废物贮存污染控制标准》（GB18597-2023）。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 w:type="pct"/>
            <w:vAlign w:val="center"/>
          </w:tcPr>
          <w:p>
            <w:pPr>
              <w:jc w:val="center"/>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总量控制指标</w:t>
            </w:r>
          </w:p>
        </w:tc>
        <w:tc>
          <w:tcPr>
            <w:tcW w:w="4709" w:type="pct"/>
            <w:vAlign w:val="center"/>
          </w:tcPr>
          <w:p>
            <w:pPr>
              <w:pStyle w:val="5"/>
              <w:widowControl w:val="0"/>
              <w:ind w:firstLine="480"/>
              <w:jc w:val="both"/>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无</w:t>
            </w:r>
            <w:r>
              <w:rPr>
                <w:rFonts w:hint="eastAsia"/>
                <w:color w:val="000000" w:themeColor="text1"/>
                <w:highlight w:val="none"/>
                <w14:textFill>
                  <w14:solidFill>
                    <w14:schemeClr w14:val="tx1"/>
                  </w14:solidFill>
                </w14:textFill>
              </w:rPr>
              <w:t>。</w:t>
            </w:r>
          </w:p>
        </w:tc>
      </w:tr>
    </w:tbl>
    <w:p>
      <w:pPr>
        <w:outlineLvl w:val="9"/>
        <w:rPr>
          <w:color w:val="000000" w:themeColor="text1"/>
          <w:highlight w:val="none"/>
          <w:lang w:val="en-US"/>
          <w14:textFill>
            <w14:solidFill>
              <w14:schemeClr w14:val="tx1"/>
            </w14:solidFill>
          </w14:textFill>
        </w:rPr>
      </w:pPr>
      <w:r>
        <w:rPr>
          <w:color w:val="000000" w:themeColor="text1"/>
          <w:highlight w:val="none"/>
          <w:lang w:val="en-US"/>
          <w14:textFill>
            <w14:solidFill>
              <w14:schemeClr w14:val="tx1"/>
            </w14:solidFill>
          </w14:textFill>
        </w:rPr>
        <w:br w:type="page"/>
      </w:r>
    </w:p>
    <w:p>
      <w:pPr>
        <w:pStyle w:val="3"/>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四、主要环境影响和保护措施</w:t>
      </w:r>
      <w:bookmarkEnd w:id="5"/>
    </w:p>
    <w:tbl>
      <w:tblPr>
        <w:tblStyle w:val="2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
        <w:gridCol w:w="94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39" w:type="pct"/>
            <w:vAlign w:val="center"/>
          </w:tcPr>
          <w:p>
            <w:pPr>
              <w:jc w:val="center"/>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施工期环境保护措施</w:t>
            </w:r>
          </w:p>
        </w:tc>
        <w:tc>
          <w:tcPr>
            <w:tcW w:w="4760" w:type="pct"/>
          </w:tcPr>
          <w:p>
            <w:pPr>
              <w:keepNext w:val="0"/>
              <w:keepLines w:val="0"/>
              <w:pageBreakBefore w:val="0"/>
              <w:widowControl/>
              <w:numPr>
                <w:ilvl w:val="0"/>
                <w:numId w:val="0"/>
              </w:numPr>
              <w:tabs>
                <w:tab w:val="left" w:pos="0"/>
              </w:tabs>
              <w:kinsoku/>
              <w:wordWrap/>
              <w:overflowPunct/>
              <w:topLinePunct w:val="0"/>
              <w:autoSpaceDE/>
              <w:autoSpaceDN/>
              <w:bidi w:val="0"/>
              <w:adjustRightInd w:val="0"/>
              <w:snapToGrid w:val="0"/>
              <w:spacing w:before="157" w:beforeLines="50" w:line="360" w:lineRule="auto"/>
              <w:jc w:val="both"/>
              <w:textAlignment w:val="auto"/>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pPr>
            <w:r>
              <w:rPr>
                <w:rFonts w:hint="eastAsia" w:cs="Times New Roman"/>
                <w:b/>
                <w:bCs/>
                <w:color w:val="000000" w:themeColor="text1"/>
                <w:sz w:val="24"/>
                <w:szCs w:val="24"/>
                <w:highlight w:val="none"/>
                <w:u w:val="none" w:color="auto"/>
                <w:lang w:val="en-US" w:eastAsia="zh-CN"/>
                <w14:textFill>
                  <w14:solidFill>
                    <w14:schemeClr w14:val="tx1"/>
                  </w14:solidFill>
                </w14:textFill>
              </w:rPr>
              <w:t>1、施工废气</w:t>
            </w:r>
          </w:p>
          <w:p>
            <w:pPr>
              <w:ind w:firstLine="480" w:firstLineChars="200"/>
              <w:jc w:val="both"/>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施工期大气污染源主要为施工区扬尘和燃油机械产生的尾气。</w:t>
            </w:r>
          </w:p>
          <w:p>
            <w:pPr>
              <w:bidi w:val="0"/>
              <w:ind w:firstLine="480" w:firstLineChars="20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①施工扬尘</w:t>
            </w:r>
          </w:p>
          <w:p>
            <w:pPr>
              <w:bidi w:val="0"/>
              <w:ind w:firstLine="480" w:firstLineChars="20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项目施工扬尘产生的途径主要为：</w:t>
            </w:r>
            <w:r>
              <w:rPr>
                <w:rFonts w:hint="eastAsia" w:ascii="Times New Roman" w:hAnsi="Times New Roman" w:cs="Times New Roman"/>
                <w:highlight w:val="none"/>
                <w:lang w:val="en-US" w:eastAsia="zh-CN"/>
              </w:rPr>
              <w:t>场地平整、土方开挖</w:t>
            </w:r>
            <w:r>
              <w:rPr>
                <w:rFonts w:hint="default" w:ascii="Times New Roman" w:hAnsi="Times New Roman" w:cs="Times New Roman"/>
                <w:highlight w:val="none"/>
                <w:lang w:val="en-US" w:eastAsia="zh-CN"/>
              </w:rPr>
              <w:t>等和水泥、砂石、混凝土等建筑材料，在运输、装卸、储存等环节易造成的扬尘；根据本项目的特征，施工过程中产生的扬尘大多是粒径较大的尘土，多数沉降于施工现场，少数形成飘尘，主要影响范围局限在施工场地下风向150m范围内。根据有关实测资料，在施工现场近地面的粉尘浓度为0.5～12mg/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，环境空气的影响范围较小，且程度较轻。但在风大的季节，颗粒物将随风飘散，施工近地面粉尘浓度超过《环境空气质量标准》（GB3096-2012）二级标准中日平均值，超标范围在l～40倍之间。</w:t>
            </w:r>
          </w:p>
          <w:p>
            <w:pPr>
              <w:bidi w:val="0"/>
              <w:ind w:firstLine="480" w:firstLineChars="20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②燃油机械废气</w:t>
            </w:r>
          </w:p>
          <w:p>
            <w:pPr>
              <w:bidi w:val="0"/>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lang w:val="en-US" w:eastAsia="zh-CN"/>
              </w:rPr>
              <w:t>项目运输车辆行驶将产生汽车尾气、施工机械运行时将产生废气，主要含有</w:t>
            </w:r>
            <w:r>
              <w:rPr>
                <w:rFonts w:hint="default" w:ascii="Times New Roman" w:hAnsi="Times New Roman" w:cs="Times New Roman"/>
                <w:highlight w:val="none"/>
              </w:rPr>
              <w:t>THC、CO、NOx等污染物质。由于本项目施工区地形较为开阔，施工期尾气排放对区域大气环境的影响相对较小。</w:t>
            </w:r>
          </w:p>
          <w:p>
            <w:pPr>
              <w:keepNext w:val="0"/>
              <w:keepLines w:val="0"/>
              <w:pageBreakBefore w:val="0"/>
              <w:widowControl/>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t>（</w:t>
            </w:r>
            <w:r>
              <w:rPr>
                <w:rFonts w:hint="default" w:ascii="Times New Roman" w:hAnsi="Times New Roman" w:eastAsia="TimesNewRomanPSMT" w:cs="Times New Roman"/>
                <w:b/>
                <w:bCs/>
                <w:sz w:val="24"/>
                <w:szCs w:val="24"/>
                <w:highlight w:val="none"/>
              </w:rPr>
              <w:t>1</w:t>
            </w:r>
            <w:r>
              <w:rPr>
                <w:rFonts w:hint="default" w:ascii="Times New Roman" w:hAnsi="Times New Roman" w:eastAsia="宋体" w:cs="Times New Roman"/>
                <w:b/>
                <w:bCs/>
                <w:sz w:val="24"/>
                <w:szCs w:val="24"/>
                <w:highlight w:val="none"/>
              </w:rPr>
              <w:t>）扬尘对环境影响分析</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产生的扬尘主要集中土建施工阶段，按起尘的原因可分为风力起尘和动力起尘，其中风力起尘主要是由于露天堆放的建材（如黄沙、水泥等）及裸露的施工区表层浮尘，因天气干燥及大风，产尘扬尘；而动力起尘主要是在建材的装卸、搅拌过程中，由于外力而产生的尘粒再悬浮而造成，其中施工及装卸车辆造成的扬尘最为严重。据有关文献资料介绍，车辆行驶产生的扬尘占总扬尘的</w:t>
            </w:r>
            <w:r>
              <w:rPr>
                <w:rFonts w:hint="default" w:ascii="Times New Roman" w:hAnsi="Times New Roman" w:eastAsia="TimesNewRomanPSMT" w:cs="Times New Roman"/>
                <w:sz w:val="24"/>
                <w:szCs w:val="24"/>
                <w:highlight w:val="none"/>
              </w:rPr>
              <w:t>60%</w:t>
            </w:r>
            <w:r>
              <w:rPr>
                <w:rFonts w:hint="default" w:ascii="Times New Roman" w:hAnsi="Times New Roman" w:eastAsia="宋体" w:cs="Times New Roman"/>
                <w:sz w:val="24"/>
                <w:szCs w:val="24"/>
                <w:highlight w:val="none"/>
              </w:rPr>
              <w:t>上。车辆行驶产生的扬尘，在完全干燥情况下，可按下列经验公式计算：</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center"/>
              <w:textAlignment w:val="auto"/>
              <w:rPr>
                <w:rFonts w:hint="default" w:ascii="Times New Roman" w:hAnsi="Times New Roman" w:eastAsia="TimesNewRomanPSMT" w:cs="Times New Roman"/>
                <w:sz w:val="24"/>
                <w:szCs w:val="24"/>
                <w:highlight w:val="none"/>
              </w:rPr>
            </w:pPr>
            <w:r>
              <w:rPr>
                <w:rFonts w:hint="default" w:ascii="Times New Roman" w:hAnsi="Times New Roman" w:eastAsia="TimesNewRomanPSMT" w:cs="Times New Roman"/>
                <w:sz w:val="24"/>
                <w:szCs w:val="24"/>
                <w:highlight w:val="none"/>
              </w:rPr>
              <w:t>Q</w:t>
            </w:r>
            <w:r>
              <w:rPr>
                <w:rFonts w:hint="default" w:ascii="Times New Roman" w:hAnsi="Times New Roman" w:eastAsia="宋体" w:cs="Times New Roman"/>
                <w:sz w:val="24"/>
                <w:szCs w:val="24"/>
                <w:highlight w:val="none"/>
              </w:rPr>
              <w:t>＝</w:t>
            </w:r>
            <w:r>
              <w:rPr>
                <w:rFonts w:hint="default" w:ascii="Times New Roman" w:hAnsi="Times New Roman" w:eastAsia="TimesNewRomanPSMT" w:cs="Times New Roman"/>
                <w:sz w:val="24"/>
                <w:szCs w:val="24"/>
                <w:highlight w:val="none"/>
              </w:rPr>
              <w:t>0.123(v/5)(W/6.8)0.85(P/0.5)0.75</w:t>
            </w:r>
          </w:p>
          <w:p>
            <w:pPr>
              <w:keepNext w:val="0"/>
              <w:keepLines w:val="0"/>
              <w:pageBreakBefore w:val="0"/>
              <w:widowControl/>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式中：</w:t>
            </w:r>
            <w:r>
              <w:rPr>
                <w:rFonts w:hint="default" w:ascii="Times New Roman" w:hAnsi="Times New Roman" w:eastAsia="TimesNewRomanPSMT" w:cs="Times New Roman"/>
                <w:sz w:val="24"/>
                <w:szCs w:val="24"/>
                <w:highlight w:val="none"/>
              </w:rPr>
              <w:t>Q—</w:t>
            </w:r>
            <w:r>
              <w:rPr>
                <w:rFonts w:hint="default" w:ascii="Times New Roman" w:hAnsi="Times New Roman" w:eastAsia="宋体" w:cs="Times New Roman"/>
                <w:sz w:val="24"/>
                <w:szCs w:val="24"/>
                <w:highlight w:val="none"/>
              </w:rPr>
              <w:t>汽车行驶的扬尘，</w:t>
            </w:r>
            <w:r>
              <w:rPr>
                <w:rFonts w:hint="default" w:ascii="Times New Roman" w:hAnsi="Times New Roman" w:eastAsia="TimesNewRomanPSMT" w:cs="Times New Roman"/>
                <w:sz w:val="24"/>
                <w:szCs w:val="24"/>
                <w:highlight w:val="none"/>
              </w:rPr>
              <w:t>kg/km</w:t>
            </w:r>
            <w:r>
              <w:rPr>
                <w:rFonts w:hint="default" w:ascii="Times New Roman" w:hAnsi="Times New Roman" w:eastAsia="宋体" w:cs="Times New Roman"/>
                <w:sz w:val="24"/>
                <w:szCs w:val="24"/>
                <w:highlight w:val="none"/>
                <w:lang w:val="en-US" w:eastAsia="zh-CN"/>
              </w:rPr>
              <w:t>·</w:t>
            </w:r>
            <w:r>
              <w:rPr>
                <w:rFonts w:hint="default" w:ascii="Times New Roman" w:hAnsi="Times New Roman" w:eastAsia="宋体" w:cs="Times New Roman"/>
                <w:sz w:val="24"/>
                <w:szCs w:val="24"/>
                <w:highlight w:val="none"/>
              </w:rPr>
              <w:t>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highlight w:val="none"/>
              </w:rPr>
            </w:pPr>
            <w:r>
              <w:rPr>
                <w:rFonts w:hint="default" w:ascii="Times New Roman" w:hAnsi="Times New Roman" w:eastAsia="TimesNewRomanPSMT" w:cs="Times New Roman"/>
                <w:sz w:val="24"/>
                <w:szCs w:val="24"/>
                <w:highlight w:val="none"/>
              </w:rPr>
              <w:t>v—</w:t>
            </w:r>
            <w:r>
              <w:rPr>
                <w:rFonts w:hint="default" w:ascii="Times New Roman" w:hAnsi="Times New Roman" w:eastAsia="宋体" w:cs="Times New Roman"/>
                <w:sz w:val="24"/>
                <w:szCs w:val="24"/>
                <w:highlight w:val="none"/>
              </w:rPr>
              <w:t>汽车速度，</w:t>
            </w:r>
            <w:r>
              <w:rPr>
                <w:rFonts w:hint="default" w:ascii="Times New Roman" w:hAnsi="Times New Roman" w:eastAsia="TimesNewRomanPSMT" w:cs="Times New Roman"/>
                <w:sz w:val="24"/>
                <w:szCs w:val="24"/>
                <w:highlight w:val="none"/>
              </w:rPr>
              <w:t>km/h</w:t>
            </w:r>
            <w:r>
              <w:rPr>
                <w:rFonts w:hint="default" w:ascii="Times New Roman" w:hAnsi="Times New Roman" w:eastAsia="宋体" w:cs="Times New Roman"/>
                <w:sz w:val="24"/>
                <w:szCs w:val="24"/>
                <w:highlight w:val="none"/>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highlight w:val="none"/>
              </w:rPr>
            </w:pPr>
            <w:r>
              <w:rPr>
                <w:rFonts w:hint="default" w:ascii="Times New Roman" w:hAnsi="Times New Roman" w:eastAsia="TimesNewRomanPSMT" w:cs="Times New Roman"/>
                <w:sz w:val="24"/>
                <w:szCs w:val="24"/>
                <w:highlight w:val="none"/>
              </w:rPr>
              <w:t>W—</w:t>
            </w:r>
            <w:r>
              <w:rPr>
                <w:rFonts w:hint="default" w:ascii="Times New Roman" w:hAnsi="Times New Roman" w:eastAsia="宋体" w:cs="Times New Roman"/>
                <w:sz w:val="24"/>
                <w:szCs w:val="24"/>
                <w:highlight w:val="none"/>
              </w:rPr>
              <w:t>汽车载重量，</w:t>
            </w:r>
            <w:r>
              <w:rPr>
                <w:rFonts w:hint="default" w:ascii="Times New Roman" w:hAnsi="Times New Roman" w:eastAsia="TimesNewRomanPSMT" w:cs="Times New Roman"/>
                <w:sz w:val="24"/>
                <w:szCs w:val="24"/>
                <w:highlight w:val="none"/>
              </w:rPr>
              <w:t>t</w:t>
            </w:r>
            <w:r>
              <w:rPr>
                <w:rFonts w:hint="default" w:ascii="Times New Roman" w:hAnsi="Times New Roman" w:eastAsia="宋体" w:cs="Times New Roman"/>
                <w:sz w:val="24"/>
                <w:szCs w:val="24"/>
                <w:highlight w:val="none"/>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highlight w:val="none"/>
              </w:rPr>
            </w:pPr>
            <w:r>
              <w:rPr>
                <w:rFonts w:hint="default" w:ascii="Times New Roman" w:hAnsi="Times New Roman" w:eastAsia="TimesNewRomanPSMT" w:cs="Times New Roman"/>
                <w:sz w:val="24"/>
                <w:szCs w:val="24"/>
                <w:highlight w:val="none"/>
              </w:rPr>
              <w:t>P—</w:t>
            </w:r>
            <w:r>
              <w:rPr>
                <w:rFonts w:hint="default" w:ascii="Times New Roman" w:hAnsi="Times New Roman" w:eastAsia="宋体" w:cs="Times New Roman"/>
                <w:sz w:val="24"/>
                <w:szCs w:val="24"/>
                <w:highlight w:val="none"/>
              </w:rPr>
              <w:t>道路表面粉尘量，</w:t>
            </w:r>
            <w:r>
              <w:rPr>
                <w:rFonts w:hint="default" w:ascii="Times New Roman" w:hAnsi="Times New Roman" w:eastAsia="TimesNewRomanPSMT" w:cs="Times New Roman"/>
                <w:sz w:val="24"/>
                <w:szCs w:val="24"/>
                <w:highlight w:val="none"/>
              </w:rPr>
              <w:t>kg/m</w:t>
            </w:r>
            <w:r>
              <w:rPr>
                <w:rFonts w:hint="default" w:ascii="Times New Roman" w:hAnsi="Times New Roman" w:eastAsia="TimesNewRomanPSMT" w:cs="Times New Roman"/>
                <w:sz w:val="24"/>
                <w:szCs w:val="24"/>
                <w:highlight w:val="none"/>
                <w:vertAlign w:val="superscript"/>
              </w:rPr>
              <w:t>2</w:t>
            </w:r>
            <w:r>
              <w:rPr>
                <w:rFonts w:hint="default" w:ascii="Times New Roman" w:hAnsi="Times New Roman" w:eastAsia="宋体" w:cs="Times New Roman"/>
                <w:sz w:val="24"/>
                <w:szCs w:val="24"/>
                <w:highlight w:val="none"/>
              </w:rPr>
              <w:t>。</w:t>
            </w:r>
          </w:p>
          <w:p>
            <w:pPr>
              <w:ind w:firstLine="480" w:firstLineChars="20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一辆10t卡车在通过一段长度为1km 的路面时，不同路面清洁程度，不同行驶速率情况下的扬尘量见下表</w:t>
            </w:r>
            <w:r>
              <w:rPr>
                <w:rFonts w:hint="eastAsia" w:cs="Times New Roman"/>
                <w:highlight w:val="none"/>
                <w:lang w:val="en-US" w:eastAsia="zh-CN"/>
              </w:rPr>
              <w:t>：</w:t>
            </w:r>
          </w:p>
          <w:p>
            <w:pPr>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表4-1 在不同车速和地面清洁程度下的汽车扬尘产生量  单位：kg/辆·公里</w:t>
            </w:r>
          </w:p>
          <w:tbl>
            <w:tblPr>
              <w:tblStyle w:val="27"/>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Layout w:type="fixed"/>
              <w:tblCellMar>
                <w:top w:w="0" w:type="dxa"/>
                <w:left w:w="0" w:type="dxa"/>
                <w:bottom w:w="0" w:type="dxa"/>
                <w:right w:w="0" w:type="dxa"/>
              </w:tblCellMar>
            </w:tblPr>
            <w:tblGrid>
              <w:gridCol w:w="1557"/>
              <w:gridCol w:w="1280"/>
              <w:gridCol w:w="1281"/>
              <w:gridCol w:w="1283"/>
              <w:gridCol w:w="1283"/>
              <w:gridCol w:w="1283"/>
              <w:gridCol w:w="12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397" w:hRule="atLeast"/>
                <w:jc w:val="center"/>
              </w:trPr>
              <w:tc>
                <w:tcPr>
                  <w:tcW w:w="84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w:t>
                  </w:r>
                </w:p>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车速</w:t>
                  </w:r>
                </w:p>
              </w:tc>
              <w:tc>
                <w:tcPr>
                  <w:tcW w:w="69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0.1</w:t>
                  </w:r>
                </w:p>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(kg/m</w:t>
                  </w:r>
                  <w:r>
                    <w:rPr>
                      <w:rFonts w:hint="default" w:ascii="Times New Roman" w:hAnsi="Times New Roman" w:cs="Times New Roman"/>
                      <w:sz w:val="21"/>
                      <w:szCs w:val="21"/>
                      <w:highlight w:val="none"/>
                      <w:vertAlign w:val="superscript"/>
                      <w:lang w:val="en-US" w:eastAsia="zh-CN"/>
                    </w:rPr>
                    <w:t>2</w:t>
                  </w:r>
                  <w:r>
                    <w:rPr>
                      <w:rFonts w:hint="default" w:ascii="Times New Roman" w:hAnsi="Times New Roman" w:cs="Times New Roman"/>
                      <w:sz w:val="21"/>
                      <w:szCs w:val="21"/>
                      <w:highlight w:val="none"/>
                    </w:rPr>
                    <w:t>)</w:t>
                  </w:r>
                </w:p>
              </w:tc>
              <w:tc>
                <w:tcPr>
                  <w:tcW w:w="69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0.2</w:t>
                  </w:r>
                </w:p>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(kg/m</w:t>
                  </w:r>
                  <w:r>
                    <w:rPr>
                      <w:rFonts w:hint="default" w:ascii="Times New Roman" w:hAnsi="Times New Roman" w:cs="Times New Roman"/>
                      <w:sz w:val="21"/>
                      <w:szCs w:val="21"/>
                      <w:highlight w:val="none"/>
                      <w:vertAlign w:val="superscript"/>
                      <w:lang w:val="en-US" w:eastAsia="zh-CN"/>
                    </w:rPr>
                    <w:t>2</w:t>
                  </w:r>
                  <w:r>
                    <w:rPr>
                      <w:rFonts w:hint="default" w:ascii="Times New Roman" w:hAnsi="Times New Roman" w:cs="Times New Roman"/>
                      <w:sz w:val="21"/>
                      <w:szCs w:val="21"/>
                      <w:highlight w:val="none"/>
                    </w:rPr>
                    <w:t>)</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0.3</w:t>
                  </w:r>
                </w:p>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(kg/m</w:t>
                  </w:r>
                  <w:r>
                    <w:rPr>
                      <w:rFonts w:hint="default" w:ascii="Times New Roman" w:hAnsi="Times New Roman" w:cs="Times New Roman"/>
                      <w:sz w:val="21"/>
                      <w:szCs w:val="21"/>
                      <w:highlight w:val="none"/>
                      <w:vertAlign w:val="superscript"/>
                      <w:lang w:val="en-US" w:eastAsia="zh-CN"/>
                    </w:rPr>
                    <w:t>2</w:t>
                  </w:r>
                  <w:r>
                    <w:rPr>
                      <w:rFonts w:hint="default" w:ascii="Times New Roman" w:hAnsi="Times New Roman" w:cs="Times New Roman"/>
                      <w:sz w:val="21"/>
                      <w:szCs w:val="21"/>
                      <w:highlight w:val="none"/>
                    </w:rPr>
                    <w:t>)</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0.4</w:t>
                  </w:r>
                </w:p>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(kg/m</w:t>
                  </w:r>
                  <w:r>
                    <w:rPr>
                      <w:rFonts w:hint="default" w:ascii="Times New Roman" w:hAnsi="Times New Roman" w:cs="Times New Roman"/>
                      <w:sz w:val="21"/>
                      <w:szCs w:val="21"/>
                      <w:highlight w:val="none"/>
                      <w:vertAlign w:val="superscript"/>
                      <w:lang w:val="en-US" w:eastAsia="zh-CN"/>
                    </w:rPr>
                    <w:t>2</w:t>
                  </w:r>
                  <w:r>
                    <w:rPr>
                      <w:rFonts w:hint="default" w:ascii="Times New Roman" w:hAnsi="Times New Roman" w:cs="Times New Roman"/>
                      <w:sz w:val="21"/>
                      <w:szCs w:val="21"/>
                      <w:highlight w:val="none"/>
                    </w:rPr>
                    <w:t>)</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0.5</w:t>
                  </w:r>
                </w:p>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(kg/m</w:t>
                  </w:r>
                  <w:r>
                    <w:rPr>
                      <w:rFonts w:hint="default" w:ascii="Times New Roman" w:hAnsi="Times New Roman" w:cs="Times New Roman"/>
                      <w:sz w:val="21"/>
                      <w:szCs w:val="21"/>
                      <w:highlight w:val="none"/>
                      <w:vertAlign w:val="superscript"/>
                      <w:lang w:val="en-US" w:eastAsia="zh-CN"/>
                    </w:rPr>
                    <w:t>2</w:t>
                  </w:r>
                  <w:r>
                    <w:rPr>
                      <w:rFonts w:hint="default" w:ascii="Times New Roman" w:hAnsi="Times New Roman" w:cs="Times New Roman"/>
                      <w:sz w:val="21"/>
                      <w:szCs w:val="21"/>
                      <w:highlight w:val="none"/>
                    </w:rPr>
                    <w:t>)</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l.0</w:t>
                  </w:r>
                </w:p>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(kg/m</w:t>
                  </w:r>
                  <w:r>
                    <w:rPr>
                      <w:rFonts w:hint="default" w:ascii="Times New Roman" w:hAnsi="Times New Roman" w:cs="Times New Roman"/>
                      <w:sz w:val="21"/>
                      <w:szCs w:val="21"/>
                      <w:highlight w:val="none"/>
                      <w:vertAlign w:val="superscript"/>
                      <w:lang w:val="en-US" w:eastAsia="zh-CN"/>
                    </w:rPr>
                    <w:t>2</w:t>
                  </w:r>
                  <w:r>
                    <w:rPr>
                      <w:rFonts w:hint="default" w:ascii="Times New Roman" w:hAnsi="Times New Roman" w:cs="Times New Roman"/>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397" w:hRule="atLeast"/>
                <w:jc w:val="center"/>
              </w:trPr>
              <w:tc>
                <w:tcPr>
                  <w:tcW w:w="84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5(km/h)</w:t>
                  </w:r>
                </w:p>
              </w:tc>
              <w:tc>
                <w:tcPr>
                  <w:tcW w:w="69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0.051</w:t>
                  </w:r>
                </w:p>
              </w:tc>
              <w:tc>
                <w:tcPr>
                  <w:tcW w:w="69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0.082</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0.116</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0.144</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0.171</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0.287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397" w:hRule="atLeast"/>
                <w:jc w:val="center"/>
              </w:trPr>
              <w:tc>
                <w:tcPr>
                  <w:tcW w:w="84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10(km/h)</w:t>
                  </w:r>
                </w:p>
              </w:tc>
              <w:tc>
                <w:tcPr>
                  <w:tcW w:w="69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0.102</w:t>
                  </w:r>
                </w:p>
              </w:tc>
              <w:tc>
                <w:tcPr>
                  <w:tcW w:w="69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0.172</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0.233</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0.289</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0.341</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0.574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397" w:hRule="atLeast"/>
                <w:jc w:val="center"/>
              </w:trPr>
              <w:tc>
                <w:tcPr>
                  <w:tcW w:w="84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15(km/h)</w:t>
                  </w:r>
                </w:p>
              </w:tc>
              <w:tc>
                <w:tcPr>
                  <w:tcW w:w="69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0.153</w:t>
                  </w:r>
                </w:p>
              </w:tc>
              <w:tc>
                <w:tcPr>
                  <w:tcW w:w="69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0.258</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0.349</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0.433</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0.512</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0.861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397" w:hRule="atLeast"/>
                <w:jc w:val="center"/>
              </w:trPr>
              <w:tc>
                <w:tcPr>
                  <w:tcW w:w="84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25(km/h)</w:t>
                  </w:r>
                </w:p>
              </w:tc>
              <w:tc>
                <w:tcPr>
                  <w:tcW w:w="69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0.255</w:t>
                  </w:r>
                </w:p>
              </w:tc>
              <w:tc>
                <w:tcPr>
                  <w:tcW w:w="69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0.429</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0.582</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0.722</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0.854</w:t>
                  </w:r>
                </w:p>
              </w:tc>
              <w:tc>
                <w:tcPr>
                  <w:tcW w:w="693"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1.436</w:t>
                  </w:r>
                </w:p>
              </w:tc>
            </w:tr>
          </w:tbl>
          <w:p>
            <w:pPr>
              <w:bidi w:val="0"/>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由</w:t>
            </w:r>
            <w:r>
              <w:rPr>
                <w:rFonts w:hint="default" w:ascii="Times New Roman" w:hAnsi="Times New Roman" w:cs="Times New Roman"/>
                <w:highlight w:val="none"/>
                <w:lang w:val="en-US" w:eastAsia="zh-CN"/>
              </w:rPr>
              <w:t>上</w:t>
            </w:r>
            <w:r>
              <w:rPr>
                <w:rFonts w:hint="default" w:ascii="Times New Roman" w:hAnsi="Times New Roman" w:cs="Times New Roman"/>
                <w:highlight w:val="none"/>
              </w:rPr>
              <w:t>表可见，在同样路面清洁情况下，车速越快，扬尘量越大；而在同样车速情况下，路面清洁度越差，则扬尘量越大。根据类比调查，一般情况下，施工场地、施工道路在自然风作用下产生的扬尘所影响的范围在100m以内。</w:t>
            </w:r>
          </w:p>
          <w:p>
            <w:pPr>
              <w:keepNext w:val="0"/>
              <w:keepLines w:val="0"/>
              <w:pageBreakBefore w:val="0"/>
              <w:widowControl w:val="0"/>
              <w:kinsoku/>
              <w:wordWrap/>
              <w:overflowPunct/>
              <w:topLinePunct w:val="0"/>
              <w:autoSpaceDE/>
              <w:autoSpaceDN/>
              <w:bidi w:val="0"/>
              <w:adjustRightInd/>
              <w:snapToGrid/>
              <w:spacing w:before="0" w:after="0"/>
              <w:ind w:firstLine="480" w:firstLineChars="200"/>
              <w:jc w:val="both"/>
              <w:textAlignment w:val="auto"/>
              <w:rPr>
                <w:rFonts w:hint="default" w:ascii="Times New Roman" w:hAnsi="Times New Roman" w:cs="Times New Roman"/>
                <w:highlight w:val="none"/>
                <w:vertAlign w:val="baseline"/>
                <w:lang w:val="en-US" w:eastAsia="zh-CN"/>
              </w:rPr>
            </w:pPr>
            <w:r>
              <w:rPr>
                <w:rFonts w:hint="default" w:ascii="Times New Roman" w:hAnsi="Times New Roman" w:cs="Times New Roman"/>
                <w:highlight w:val="none"/>
              </w:rPr>
              <w:t>抑制扬尘的一个简洁有效的措施是洒水。如果在</w:t>
            </w:r>
            <w:r>
              <w:rPr>
                <w:rFonts w:hint="default" w:ascii="Times New Roman" w:hAnsi="Times New Roman" w:cs="Times New Roman"/>
                <w:color w:val="auto"/>
                <w:highlight w:val="none"/>
              </w:rPr>
              <w:t>施工期内对车辆行驶的路面实施洒水抑尘，每天洒水4-5次，扬尘造成的TSP污染距离可缩小到20~50m范围内，可使扬尘减少70%左右</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下</w:t>
            </w:r>
            <w:r>
              <w:rPr>
                <w:rFonts w:hint="default" w:ascii="Times New Roman" w:hAnsi="Times New Roman" w:cs="Times New Roman"/>
                <w:color w:val="auto"/>
                <w:highlight w:val="none"/>
              </w:rPr>
              <w:t>表为施工场地洒水抑尘的试验结果。由该表数据可看出对施工场地实施每天洒水4-5次进行抑尘，可有效地控制施工扬尘，并可将TSP污染</w:t>
            </w:r>
            <w:r>
              <w:rPr>
                <w:rFonts w:hint="default" w:ascii="Times New Roman" w:hAnsi="Times New Roman" w:cs="Times New Roman"/>
                <w:highlight w:val="none"/>
              </w:rPr>
              <w:t>距离缩小到20-50m范围。</w:t>
            </w:r>
          </w:p>
          <w:p>
            <w:pPr>
              <w:bidi w:val="0"/>
              <w:jc w:val="center"/>
              <w:rPr>
                <w:rFonts w:hint="default" w:ascii="Times New Roman" w:hAnsi="Times New Roman" w:cs="Times New Roman"/>
                <w:b/>
                <w:bCs/>
                <w:sz w:val="21"/>
                <w:szCs w:val="21"/>
                <w:highlight w:val="none"/>
                <w:vertAlign w:val="superscript"/>
                <w:lang w:val="en-US" w:eastAsia="zh-CN"/>
              </w:rPr>
            </w:pPr>
            <w:r>
              <w:rPr>
                <w:rFonts w:hint="default" w:ascii="Times New Roman" w:hAnsi="Times New Roman" w:cs="Times New Roman"/>
                <w:b/>
                <w:bCs/>
                <w:sz w:val="21"/>
                <w:szCs w:val="21"/>
                <w:highlight w:val="none"/>
                <w:lang w:val="en-US" w:eastAsia="zh-CN"/>
              </w:rPr>
              <w:t>表4-2 施工场地洒水抑尘试验结果  单位：mg/m</w:t>
            </w:r>
            <w:r>
              <w:rPr>
                <w:rFonts w:hint="default" w:ascii="Times New Roman" w:hAnsi="Times New Roman" w:cs="Times New Roman"/>
                <w:b/>
                <w:bCs/>
                <w:sz w:val="21"/>
                <w:szCs w:val="21"/>
                <w:highlight w:val="none"/>
                <w:vertAlign w:val="superscript"/>
                <w:lang w:val="en-US" w:eastAsia="zh-CN"/>
              </w:rPr>
              <w:t>3</w:t>
            </w:r>
          </w:p>
          <w:tbl>
            <w:tblPr>
              <w:tblStyle w:val="27"/>
              <w:tblW w:w="4998" w:type="pct"/>
              <w:tblInd w:w="10" w:type="dxa"/>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Layout w:type="fixed"/>
              <w:tblCellMar>
                <w:top w:w="0" w:type="dxa"/>
                <w:left w:w="0" w:type="dxa"/>
                <w:bottom w:w="0" w:type="dxa"/>
                <w:right w:w="0" w:type="dxa"/>
              </w:tblCellMar>
            </w:tblPr>
            <w:tblGrid>
              <w:gridCol w:w="2614"/>
              <w:gridCol w:w="2160"/>
              <w:gridCol w:w="1198"/>
              <w:gridCol w:w="1025"/>
              <w:gridCol w:w="1045"/>
              <w:gridCol w:w="12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397" w:hRule="atLeast"/>
              </w:trPr>
              <w:tc>
                <w:tcPr>
                  <w:tcW w:w="2579" w:type="pct"/>
                  <w:gridSpan w:val="2"/>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距离</w:t>
                  </w:r>
                </w:p>
              </w:tc>
              <w:tc>
                <w:tcPr>
                  <w:tcW w:w="647"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5m</w:t>
                  </w:r>
                </w:p>
              </w:tc>
              <w:tc>
                <w:tcPr>
                  <w:tcW w:w="554"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20m</w:t>
                  </w:r>
                </w:p>
              </w:tc>
              <w:tc>
                <w:tcPr>
                  <w:tcW w:w="565"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50m</w:t>
                  </w:r>
                </w:p>
              </w:tc>
              <w:tc>
                <w:tcPr>
                  <w:tcW w:w="654"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100m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397" w:hRule="atLeast"/>
              </w:trPr>
              <w:tc>
                <w:tcPr>
                  <w:tcW w:w="1412" w:type="pct"/>
                  <w:vMerge w:val="restar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TSP小时评价浓度</w:t>
                  </w:r>
                </w:p>
              </w:tc>
              <w:tc>
                <w:tcPr>
                  <w:tcW w:w="1166"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不洒水</w:t>
                  </w:r>
                </w:p>
              </w:tc>
              <w:tc>
                <w:tcPr>
                  <w:tcW w:w="647"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10.14</w:t>
                  </w:r>
                </w:p>
              </w:tc>
              <w:tc>
                <w:tcPr>
                  <w:tcW w:w="554"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2.89</w:t>
                  </w:r>
                </w:p>
              </w:tc>
              <w:tc>
                <w:tcPr>
                  <w:tcW w:w="565"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1.15</w:t>
                  </w:r>
                </w:p>
              </w:tc>
              <w:tc>
                <w:tcPr>
                  <w:tcW w:w="654"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0.86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397" w:hRule="atLeast"/>
              </w:trPr>
              <w:tc>
                <w:tcPr>
                  <w:tcW w:w="1412" w:type="pct"/>
                  <w:vMerge w:val="continue"/>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p>
              </w:tc>
              <w:tc>
                <w:tcPr>
                  <w:tcW w:w="1166"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洒水</w:t>
                  </w:r>
                </w:p>
              </w:tc>
              <w:tc>
                <w:tcPr>
                  <w:tcW w:w="647"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2.01</w:t>
                  </w:r>
                </w:p>
              </w:tc>
              <w:tc>
                <w:tcPr>
                  <w:tcW w:w="554"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1.40</w:t>
                  </w:r>
                </w:p>
              </w:tc>
              <w:tc>
                <w:tcPr>
                  <w:tcW w:w="565"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0.67</w:t>
                  </w:r>
                </w:p>
              </w:tc>
              <w:tc>
                <w:tcPr>
                  <w:tcW w:w="654" w:type="pct"/>
                  <w:tcBorders>
                    <w:tl2br w:val="nil"/>
                    <w:tr2bl w:val="nil"/>
                  </w:tcBorders>
                  <w:vAlign w:val="center"/>
                </w:tcPr>
                <w:p>
                  <w:pPr>
                    <w:tabs>
                      <w:tab w:val="left" w:pos="1232"/>
                    </w:tabs>
                    <w:bidi w:val="0"/>
                    <w:spacing w:line="240" w:lineRule="auto"/>
                    <w:jc w:val="center"/>
                    <w:rPr>
                      <w:rFonts w:hint="default" w:ascii="Times New Roman" w:hAnsi="Times New Roman" w:eastAsia="宋体" w:cs="Times New Roman"/>
                      <w:kern w:val="2"/>
                      <w:sz w:val="21"/>
                      <w:szCs w:val="22"/>
                      <w:highlight w:val="none"/>
                      <w:lang w:val="en-US" w:eastAsia="zh-CN"/>
                    </w:rPr>
                  </w:pPr>
                  <w:r>
                    <w:rPr>
                      <w:rFonts w:hint="default" w:ascii="Times New Roman" w:hAnsi="Times New Roman" w:eastAsia="宋体" w:cs="Times New Roman"/>
                      <w:kern w:val="2"/>
                      <w:sz w:val="21"/>
                      <w:szCs w:val="22"/>
                      <w:highlight w:val="none"/>
                      <w:lang w:val="en-US" w:eastAsia="zh-CN"/>
                    </w:rPr>
                    <w:t>0.60</w:t>
                  </w:r>
                </w:p>
              </w:tc>
            </w:tr>
          </w:tbl>
          <w:p>
            <w:pPr>
              <w:bidi w:val="0"/>
              <w:ind w:firstLine="480" w:firstLineChars="200"/>
              <w:jc w:val="both"/>
              <w:rPr>
                <w:rFonts w:hint="default" w:ascii="Times New Roman" w:hAnsi="Times New Roman" w:cs="Times New Roman"/>
                <w:highlight w:val="none"/>
                <w:lang w:val="en-US" w:eastAsia="zh-CN"/>
              </w:rPr>
            </w:pPr>
            <w:r>
              <w:rPr>
                <w:rFonts w:hint="default" w:ascii="Times New Roman" w:hAnsi="Times New Roman" w:cs="Times New Roman"/>
                <w:highlight w:val="none"/>
              </w:rPr>
              <w:t>施工期扬尘的另一个主要原因是露天堆场和裸露场地的风力扬尘。由于施工的需要，一些建材需露天堆放；一些施工点表层土壤需人工开挖、堆放，在气候干燥又有风的情况下，会产生扬尘。尘粒在空气中的传播扩散情况与风速等气象条件有关，也与尘粒本身的沉降速度有关。不同粒径的尘粒的沉降速度见</w:t>
            </w:r>
            <w:r>
              <w:rPr>
                <w:rFonts w:hint="default" w:ascii="Times New Roman" w:hAnsi="Times New Roman" w:cs="Times New Roman"/>
                <w:highlight w:val="none"/>
                <w:lang w:val="en-US" w:eastAsia="zh-CN"/>
              </w:rPr>
              <w:t>上</w:t>
            </w:r>
            <w:r>
              <w:rPr>
                <w:rFonts w:hint="default" w:ascii="Times New Roman" w:hAnsi="Times New Roman" w:cs="Times New Roman"/>
                <w:highlight w:val="none"/>
              </w:rPr>
              <w:t>表。由表可知，尘粒的沉降速度随粒径的增大而迅速增大。当粒径为250μm时，沉降速度为1.005m/s，因此可以认为当尘粒大于250μm时，主要影响范围在扬尘点下风向近距离范围内，而真正对外环境产生影响的是一些微小尘粒。根据现场的气候情况不同，其影响范围也有所不同。</w:t>
            </w:r>
          </w:p>
          <w:p>
            <w:pPr>
              <w:bidi w:val="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表4-3 不同粒径尘粒的沉降速度</w:t>
            </w:r>
          </w:p>
          <w:tbl>
            <w:tblPr>
              <w:tblStyle w:val="27"/>
              <w:tblW w:w="5012" w:type="pct"/>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
            <w:tblGrid>
              <w:gridCol w:w="1861"/>
              <w:gridCol w:w="1092"/>
              <w:gridCol w:w="1090"/>
              <w:gridCol w:w="1090"/>
              <w:gridCol w:w="1090"/>
              <w:gridCol w:w="1090"/>
              <w:gridCol w:w="1090"/>
              <w:gridCol w:w="875"/>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00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粒径，μm</w:t>
                  </w:r>
                </w:p>
              </w:tc>
              <w:tc>
                <w:tcPr>
                  <w:tcW w:w="588"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20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30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60</w:t>
                  </w:r>
                </w:p>
              </w:tc>
              <w:tc>
                <w:tcPr>
                  <w:tcW w:w="471"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70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00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沉降速度，m/s</w:t>
                  </w:r>
                </w:p>
              </w:tc>
              <w:tc>
                <w:tcPr>
                  <w:tcW w:w="588"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0.003</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0.012</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0.027</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0.048</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0.075</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0.108</w:t>
                  </w:r>
                </w:p>
              </w:tc>
              <w:tc>
                <w:tcPr>
                  <w:tcW w:w="471"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0.147</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00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粒径，μm</w:t>
                  </w:r>
                </w:p>
              </w:tc>
              <w:tc>
                <w:tcPr>
                  <w:tcW w:w="588"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80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90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100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150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200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250</w:t>
                  </w:r>
                </w:p>
              </w:tc>
              <w:tc>
                <w:tcPr>
                  <w:tcW w:w="471"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350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00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沉降速度，m/s</w:t>
                  </w:r>
                </w:p>
              </w:tc>
              <w:tc>
                <w:tcPr>
                  <w:tcW w:w="588"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0.158</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0.170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0.182</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0.239</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0.804</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1.005</w:t>
                  </w:r>
                </w:p>
              </w:tc>
              <w:tc>
                <w:tcPr>
                  <w:tcW w:w="471"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1.829</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00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粒径，μm</w:t>
                  </w:r>
                </w:p>
              </w:tc>
              <w:tc>
                <w:tcPr>
                  <w:tcW w:w="588"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450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550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650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750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850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950</w:t>
                  </w:r>
                </w:p>
              </w:tc>
              <w:tc>
                <w:tcPr>
                  <w:tcW w:w="471"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1050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002"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沉降速度，m/s</w:t>
                  </w:r>
                </w:p>
              </w:tc>
              <w:tc>
                <w:tcPr>
                  <w:tcW w:w="588"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2.211</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2.614</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3.016</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3.418</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3.820</w:t>
                  </w:r>
                </w:p>
              </w:tc>
              <w:tc>
                <w:tcPr>
                  <w:tcW w:w="58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4.222</w:t>
                  </w:r>
                </w:p>
              </w:tc>
              <w:tc>
                <w:tcPr>
                  <w:tcW w:w="471"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4.624</w:t>
                  </w:r>
                </w:p>
              </w:tc>
            </w:tr>
          </w:tbl>
          <w:p>
            <w:pPr>
              <w:bidi w:val="0"/>
              <w:ind w:firstLine="482" w:firstLineChars="200"/>
              <w:jc w:val="both"/>
              <w:rPr>
                <w:rFonts w:hint="default" w:ascii="Times New Roman" w:hAnsi="Times New Roman" w:cs="Times New Roman"/>
                <w:b/>
                <w:bCs/>
                <w:highlight w:val="none"/>
              </w:rPr>
            </w:pPr>
            <w:r>
              <w:rPr>
                <w:rFonts w:hint="default" w:ascii="Times New Roman" w:hAnsi="Times New Roman" w:cs="Times New Roman"/>
                <w:b/>
                <w:bCs/>
                <w:highlight w:val="none"/>
              </w:rPr>
              <w:t>（2）施工机械废气对环境的影响</w:t>
            </w:r>
          </w:p>
          <w:p>
            <w:pPr>
              <w:bidi w:val="0"/>
              <w:ind w:firstLine="480" w:firstLineChars="200"/>
              <w:jc w:val="both"/>
              <w:rPr>
                <w:rFonts w:hint="default" w:ascii="Times New Roman" w:hAnsi="Times New Roman" w:cs="Times New Roman"/>
                <w:b/>
                <w:bCs/>
                <w:highlight w:val="none"/>
                <w:lang w:val="en-US" w:eastAsia="zh-CN"/>
              </w:rPr>
            </w:pPr>
            <w:r>
              <w:rPr>
                <w:rFonts w:hint="default" w:ascii="Times New Roman" w:hAnsi="Times New Roman" w:cs="Times New Roman"/>
                <w:highlight w:val="none"/>
              </w:rPr>
              <w:t>施工车辆、挖土机等因燃油产生的二氧化硫、氮氧化物、一氧化碳、烃类等污染物以及施工人员生活燃气产生的二氧化硫、氮氧化物、烟尘等大气污染物会对大气环境造成不良影响。但这种污染源较分散且为流动性，污染物排放量不大，表现为间歇性特征，因此影响是短期和局部的，该项污染源将随着本项目的建成而不再存在。</w:t>
            </w:r>
          </w:p>
          <w:p>
            <w:pPr>
              <w:bidi w:val="0"/>
              <w:ind w:firstLine="482" w:firstLineChars="200"/>
              <w:jc w:val="both"/>
              <w:rPr>
                <w:rFonts w:hint="default" w:ascii="Times New Roman" w:hAnsi="Times New Roman" w:eastAsia="宋体" w:cs="Times New Roman"/>
                <w:b/>
                <w:bCs/>
                <w:highlight w:val="none"/>
                <w:lang w:val="en-US" w:eastAsia="zh-CN"/>
              </w:rPr>
            </w:pPr>
            <w:r>
              <w:rPr>
                <w:rFonts w:hint="eastAsia" w:ascii="Times New Roman" w:hAnsi="Times New Roman" w:cs="Times New Roman"/>
                <w:b/>
                <w:bCs/>
                <w:highlight w:val="none"/>
                <w:lang w:val="en-US" w:eastAsia="zh-CN"/>
              </w:rPr>
              <w:t>（3）</w:t>
            </w:r>
            <w:r>
              <w:rPr>
                <w:rFonts w:hint="default" w:ascii="Times New Roman" w:hAnsi="Times New Roman" w:cs="Times New Roman"/>
                <w:b/>
                <w:bCs/>
                <w:highlight w:val="none"/>
                <w:lang w:val="en-US" w:eastAsia="zh-CN"/>
              </w:rPr>
              <w:t>废气防治措施</w:t>
            </w:r>
          </w:p>
          <w:p>
            <w:pPr>
              <w:bidi w:val="0"/>
              <w:ind w:firstLine="480" w:firstLineChars="200"/>
              <w:jc w:val="both"/>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本评价</w:t>
            </w:r>
            <w:r>
              <w:rPr>
                <w:rFonts w:hint="default" w:ascii="Times New Roman" w:hAnsi="Times New Roman" w:cs="Times New Roman"/>
                <w:color w:val="auto"/>
                <w:highlight w:val="none"/>
              </w:rPr>
              <w:t>要求项目实施单位在施工时严格执行施工工地周边100%围挡、施工现场地面100%硬化、物流堆放100%覆盖、出工地车辆100%冲洗、渣土车辆100%密闭运输、暂时不开发的空地100%绿化，以减少产生的扬尘对周围环境的影响。</w:t>
            </w:r>
          </w:p>
          <w:p>
            <w:pPr>
              <w:bidi w:val="0"/>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为了使建设项目在建设期间施工废气对周围环境的影响减少到尽可能小的程度，本评价建议施工单位采取以下防治措施：</w:t>
            </w:r>
          </w:p>
          <w:p>
            <w:pPr>
              <w:bidi w:val="0"/>
              <w:ind w:firstLine="480" w:firstLineChars="200"/>
              <w:jc w:val="both"/>
              <w:rPr>
                <w:rFonts w:hint="default" w:ascii="Times New Roman" w:hAnsi="Times New Roman" w:cs="Times New Roman"/>
                <w:color w:val="auto"/>
                <w:highlight w:val="none"/>
              </w:rPr>
            </w:pPr>
            <w:r>
              <w:rPr>
                <w:rFonts w:hint="eastAsia" w:ascii="宋体" w:hAnsi="宋体" w:eastAsia="宋体" w:cs="宋体"/>
                <w:color w:val="auto"/>
                <w:highlight w:val="none"/>
              </w:rPr>
              <w:t>①</w:t>
            </w:r>
            <w:r>
              <w:rPr>
                <w:rFonts w:hint="default" w:ascii="Times New Roman" w:hAnsi="Times New Roman" w:cs="Times New Roman"/>
                <w:color w:val="auto"/>
                <w:highlight w:val="none"/>
              </w:rPr>
              <w:t>在施工过程中，作业场地将采取围挡、半围挡以减少扬尘扩散，围挡、半围挡对减少扬尘对环境的污染有明显作用。</w:t>
            </w:r>
          </w:p>
          <w:p>
            <w:pPr>
              <w:bidi w:val="0"/>
              <w:ind w:firstLine="480" w:firstLineChars="200"/>
              <w:jc w:val="both"/>
              <w:rPr>
                <w:rFonts w:hint="default" w:ascii="Times New Roman" w:hAnsi="Times New Roman" w:cs="Times New Roman"/>
                <w:color w:val="auto"/>
                <w:highlight w:val="none"/>
              </w:rPr>
            </w:pPr>
            <w:r>
              <w:rPr>
                <w:rFonts w:hint="eastAsia" w:ascii="宋体" w:hAnsi="宋体" w:eastAsia="宋体" w:cs="宋体"/>
                <w:color w:val="auto"/>
                <w:highlight w:val="none"/>
              </w:rPr>
              <w:t>②</w:t>
            </w:r>
            <w:r>
              <w:rPr>
                <w:rFonts w:hint="default" w:ascii="Times New Roman" w:hAnsi="Times New Roman" w:cs="Times New Roman"/>
                <w:color w:val="auto"/>
                <w:highlight w:val="none"/>
              </w:rPr>
              <w:t>对施工场地实施洒水抑尘，每天定期洒水4-5次，可以使地面扬尘减少70%左右；风速较大时，应停止施工作业。</w:t>
            </w:r>
          </w:p>
          <w:p>
            <w:pPr>
              <w:bidi w:val="0"/>
              <w:ind w:firstLine="480" w:firstLineChars="200"/>
              <w:jc w:val="both"/>
              <w:rPr>
                <w:rFonts w:hint="default" w:ascii="Times New Roman" w:hAnsi="Times New Roman" w:cs="Times New Roman"/>
                <w:color w:val="auto"/>
                <w:highlight w:val="none"/>
              </w:rPr>
            </w:pPr>
            <w:r>
              <w:rPr>
                <w:rFonts w:hint="eastAsia" w:ascii="宋体" w:hAnsi="宋体" w:eastAsia="宋体" w:cs="宋体"/>
                <w:color w:val="auto"/>
                <w:highlight w:val="none"/>
              </w:rPr>
              <w:t>③</w:t>
            </w:r>
            <w:r>
              <w:rPr>
                <w:rFonts w:hint="default" w:ascii="Times New Roman" w:hAnsi="Times New Roman" w:cs="Times New Roman"/>
                <w:color w:val="auto"/>
                <w:highlight w:val="none"/>
              </w:rPr>
              <w:t>加强物料转运与使用的管理，合理装卸、规范操作。运输建筑材料的车辆，应加盖蓬布减少洒落。同时，限制车速，车辆进出场地时应用水将轮胎冲洗干净，不得带渣出场。</w:t>
            </w:r>
          </w:p>
          <w:p>
            <w:pPr>
              <w:bidi w:val="0"/>
              <w:ind w:firstLine="480" w:firstLineChars="200"/>
              <w:jc w:val="both"/>
              <w:rPr>
                <w:rFonts w:hint="default" w:ascii="Times New Roman" w:hAnsi="Times New Roman" w:cs="Times New Roman"/>
                <w:color w:val="auto"/>
                <w:highlight w:val="none"/>
              </w:rPr>
            </w:pPr>
            <w:r>
              <w:rPr>
                <w:rFonts w:hint="eastAsia" w:ascii="宋体" w:hAnsi="宋体" w:eastAsia="宋体" w:cs="宋体"/>
                <w:color w:val="auto"/>
                <w:highlight w:val="none"/>
              </w:rPr>
              <w:t>④</w:t>
            </w:r>
            <w:r>
              <w:rPr>
                <w:rFonts w:hint="default" w:ascii="Times New Roman" w:hAnsi="Times New Roman" w:cs="Times New Roman"/>
                <w:color w:val="auto"/>
                <w:highlight w:val="none"/>
              </w:rPr>
              <w:t>在施工场地上设置专人负责表土、建筑材料的处置、清运和堆放，堆放场地加盖蓬布或洒水，防止二次扬尘。</w:t>
            </w:r>
          </w:p>
          <w:p>
            <w:pPr>
              <w:bidi w:val="0"/>
              <w:ind w:firstLine="480" w:firstLineChars="200"/>
              <w:jc w:val="both"/>
              <w:rPr>
                <w:rFonts w:hint="default" w:ascii="Times New Roman" w:hAnsi="Times New Roman" w:cs="Times New Roman"/>
                <w:highlight w:val="none"/>
              </w:rPr>
            </w:pPr>
            <w:r>
              <w:rPr>
                <w:rFonts w:hint="eastAsia" w:ascii="宋体" w:hAnsi="宋体" w:eastAsia="宋体" w:cs="宋体"/>
                <w:color w:val="auto"/>
                <w:highlight w:val="none"/>
              </w:rPr>
              <w:t>⑤</w:t>
            </w:r>
            <w:r>
              <w:rPr>
                <w:rFonts w:hint="default" w:ascii="Times New Roman" w:hAnsi="Times New Roman" w:cs="Times New Roman"/>
                <w:color w:val="auto"/>
                <w:highlight w:val="none"/>
              </w:rPr>
              <w:t>对建筑垃圾应及时处理、清运、以减少占地，防止扬尘污染，改善施</w:t>
            </w:r>
            <w:r>
              <w:rPr>
                <w:rFonts w:hint="default" w:ascii="Times New Roman" w:hAnsi="Times New Roman" w:cs="Times New Roman"/>
                <w:highlight w:val="none"/>
              </w:rPr>
              <w:t>工场地的环境。</w:t>
            </w:r>
          </w:p>
          <w:p>
            <w:pPr>
              <w:bidi w:val="0"/>
              <w:ind w:firstLine="480" w:firstLineChars="200"/>
              <w:jc w:val="both"/>
              <w:rPr>
                <w:rFonts w:hint="default" w:ascii="Times New Roman" w:hAnsi="Times New Roman" w:cs="Times New Roman"/>
                <w:highlight w:val="none"/>
              </w:rPr>
            </w:pPr>
            <w:r>
              <w:rPr>
                <w:rFonts w:hint="eastAsia" w:ascii="宋体" w:hAnsi="宋体" w:eastAsia="宋体" w:cs="宋体"/>
                <w:highlight w:val="none"/>
              </w:rPr>
              <w:t>⑥</w:t>
            </w:r>
            <w:r>
              <w:rPr>
                <w:rFonts w:hint="default" w:ascii="Times New Roman" w:hAnsi="Times New Roman" w:cs="Times New Roman"/>
                <w:highlight w:val="none"/>
              </w:rPr>
              <w:t>运输车辆和施工机械在怠速、减速和加速时产生的尾气污染最为严重，因此施工现场运输车辆和部分施工机械应控制车速平稳，以减少行驶中的尾气污染。</w:t>
            </w:r>
          </w:p>
          <w:p>
            <w:pPr>
              <w:bidi w:val="0"/>
              <w:ind w:firstLine="480" w:firstLineChars="200"/>
              <w:jc w:val="both"/>
              <w:rPr>
                <w:rFonts w:hint="default" w:ascii="Times New Roman" w:hAnsi="Times New Roman" w:cs="Times New Roman"/>
                <w:highlight w:val="none"/>
              </w:rPr>
            </w:pPr>
            <w:r>
              <w:rPr>
                <w:rFonts w:hint="eastAsia" w:ascii="宋体" w:hAnsi="宋体" w:eastAsia="宋体" w:cs="宋体"/>
                <w:highlight w:val="none"/>
              </w:rPr>
              <w:t>⑦</w:t>
            </w:r>
            <w:r>
              <w:rPr>
                <w:rFonts w:hint="default" w:ascii="Times New Roman" w:hAnsi="Times New Roman" w:cs="Times New Roman"/>
                <w:highlight w:val="none"/>
              </w:rPr>
              <w:t>采用商品混凝土，减少粉尘污染；采用袋装商业水泥，避免现场搅拌水泥；装运土方时控制车内土方低于车厢挡板。</w:t>
            </w:r>
          </w:p>
          <w:p>
            <w:pPr>
              <w:bidi w:val="0"/>
              <w:ind w:firstLine="480" w:firstLineChars="200"/>
              <w:jc w:val="both"/>
              <w:rPr>
                <w:rFonts w:hint="default" w:ascii="Times New Roman" w:hAnsi="Times New Roman" w:cs="Times New Roman"/>
                <w:highlight w:val="none"/>
              </w:rPr>
            </w:pPr>
            <w:r>
              <w:rPr>
                <w:rFonts w:hint="eastAsia" w:ascii="宋体" w:hAnsi="宋体" w:eastAsia="宋体" w:cs="宋体"/>
                <w:highlight w:val="none"/>
              </w:rPr>
              <w:t>⑧</w:t>
            </w:r>
            <w:r>
              <w:rPr>
                <w:rFonts w:hint="default" w:ascii="Times New Roman" w:hAnsi="Times New Roman" w:cs="Times New Roman"/>
                <w:highlight w:val="none"/>
              </w:rPr>
              <w:t>施工场地内运输通道及时清扫冲洗，以减少汽车行驶扬尘。</w:t>
            </w:r>
          </w:p>
          <w:p>
            <w:pPr>
              <w:bidi w:val="0"/>
              <w:ind w:firstLine="480" w:firstLineChars="200"/>
              <w:jc w:val="both"/>
              <w:rPr>
                <w:rFonts w:hint="default" w:ascii="Times New Roman" w:hAnsi="Times New Roman" w:cs="Times New Roman"/>
                <w:highlight w:val="none"/>
              </w:rPr>
            </w:pPr>
            <w:r>
              <w:rPr>
                <w:rFonts w:hint="eastAsia" w:ascii="宋体" w:hAnsi="宋体" w:eastAsia="宋体" w:cs="宋体"/>
                <w:highlight w:val="none"/>
              </w:rPr>
              <w:t>⑨</w:t>
            </w:r>
            <w:r>
              <w:rPr>
                <w:rFonts w:hint="default" w:ascii="Times New Roman" w:hAnsi="Times New Roman" w:cs="Times New Roman"/>
                <w:highlight w:val="none"/>
              </w:rPr>
              <w:t>运输车应加盖并低速行驶或限速行驶，以减少产尘量。装运物料、建筑垃圾的车辆要遮盖封闭并按相关管理部门批准的路线、时间、地点倾倒，禁止车辆超载。</w:t>
            </w:r>
          </w:p>
          <w:p>
            <w:pPr>
              <w:bidi w:val="0"/>
              <w:ind w:firstLine="480" w:firstLineChars="200"/>
              <w:jc w:val="both"/>
              <w:rPr>
                <w:rFonts w:hint="default" w:ascii="Times New Roman" w:hAnsi="Times New Roman" w:cs="Times New Roman"/>
                <w:highlight w:val="none"/>
              </w:rPr>
            </w:pPr>
            <w:r>
              <w:rPr>
                <w:rFonts w:hint="eastAsia" w:ascii="宋体" w:hAnsi="宋体" w:eastAsia="宋体" w:cs="宋体"/>
                <w:highlight w:val="none"/>
              </w:rPr>
              <w:t>⑩</w:t>
            </w:r>
            <w:r>
              <w:rPr>
                <w:rFonts w:hint="default" w:ascii="Times New Roman" w:hAnsi="Times New Roman" w:cs="Times New Roman"/>
                <w:highlight w:val="none"/>
              </w:rPr>
              <w:t>加强对施工人员的管理并做到文明施工。</w:t>
            </w:r>
          </w:p>
          <w:p>
            <w:pPr>
              <w:bidi w:val="0"/>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通过采取以上措施，施工场地扬尘对环境的影响将会大大降低。本评价提出的保护措施都是施工场地常用的施工废气防治措施，措施可行，经济合理。</w:t>
            </w:r>
          </w:p>
          <w:p>
            <w:pPr>
              <w:keepNext w:val="0"/>
              <w:keepLines w:val="0"/>
              <w:pageBreakBefore w:val="0"/>
              <w:widowControl/>
              <w:numPr>
                <w:ilvl w:val="0"/>
                <w:numId w:val="0"/>
              </w:numPr>
              <w:tabs>
                <w:tab w:val="left" w:pos="0"/>
              </w:tabs>
              <w:kinsoku/>
              <w:wordWrap/>
              <w:overflowPunct/>
              <w:topLinePunct w:val="0"/>
              <w:autoSpaceDE/>
              <w:autoSpaceDN/>
              <w:bidi w:val="0"/>
              <w:adjustRightInd w:val="0"/>
              <w:snapToGrid w:val="0"/>
              <w:spacing w:before="157" w:beforeLines="50" w:line="360" w:lineRule="auto"/>
              <w:jc w:val="both"/>
              <w:textAlignment w:val="auto"/>
              <w:rPr>
                <w:rFonts w:hint="eastAsia"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t>2、施工废水</w:t>
            </w:r>
          </w:p>
          <w:p>
            <w:pPr>
              <w:bidi w:val="0"/>
              <w:ind w:firstLine="480" w:firstLineChars="200"/>
              <w:jc w:val="both"/>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施工废水主要为施工生产废水：混凝土养护废水、工具清洗废水</w:t>
            </w:r>
            <w:r>
              <w:rPr>
                <w:rFonts w:hint="eastAsia" w:cs="Times New Roman"/>
                <w:highlight w:val="none"/>
                <w:lang w:val="en-US" w:eastAsia="zh-CN"/>
              </w:rPr>
              <w:t>、管道试压水</w:t>
            </w:r>
            <w:r>
              <w:rPr>
                <w:rFonts w:hint="eastAsia" w:ascii="Times New Roman" w:hAnsi="Times New Roman" w:eastAsia="宋体" w:cs="Times New Roman"/>
                <w:highlight w:val="none"/>
                <w:lang w:val="en-US" w:eastAsia="zh-CN"/>
              </w:rPr>
              <w:t>和施工员工生活污水等</w:t>
            </w:r>
            <w:r>
              <w:rPr>
                <w:rFonts w:hint="eastAsia" w:cs="Times New Roman"/>
                <w:highlight w:val="none"/>
                <w:lang w:val="en-US" w:eastAsia="zh-CN"/>
              </w:rPr>
              <w:t>。</w:t>
            </w:r>
          </w:p>
          <w:p>
            <w:pPr>
              <w:bidi w:val="0"/>
              <w:ind w:firstLine="482" w:firstLineChars="200"/>
              <w:jc w:val="both"/>
              <w:rPr>
                <w:rFonts w:hint="default" w:ascii="Times New Roman" w:hAnsi="Times New Roman" w:eastAsia="宋体" w:cs="Times New Roman"/>
                <w:b/>
                <w:bCs/>
                <w:highlight w:val="none"/>
                <w:lang w:val="en-US" w:eastAsia="zh-CN"/>
              </w:rPr>
            </w:pPr>
            <w:r>
              <w:rPr>
                <w:rFonts w:hint="eastAsia" w:ascii="Times New Roman" w:hAnsi="Times New Roman" w:eastAsia="宋体" w:cs="Times New Roman"/>
                <w:b/>
                <w:bCs/>
                <w:highlight w:val="none"/>
                <w:lang w:val="en-US" w:eastAsia="zh-CN"/>
              </w:rPr>
              <w:t>（1）施工生产废水</w:t>
            </w:r>
          </w:p>
          <w:p>
            <w:pPr>
              <w:bidi w:val="0"/>
              <w:ind w:firstLine="480" w:firstLineChars="200"/>
              <w:jc w:val="both"/>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highlight w:val="none"/>
                <w:lang w:val="en-US" w:eastAsia="zh-CN"/>
              </w:rPr>
              <w:t>项目施工生产废水主要是泥沙悬浮物含量较大。根据同类工程施工废水监测资料：混凝土养护废水悬浮物浓度约为500mg/L-2000</w:t>
            </w:r>
            <w:r>
              <w:rPr>
                <w:rFonts w:hint="eastAsia" w:ascii="Times New Roman" w:hAnsi="Times New Roman" w:eastAsia="宋体" w:cs="Times New Roman"/>
                <w:color w:val="auto"/>
                <w:highlight w:val="none"/>
                <w:lang w:val="en-US" w:eastAsia="zh-CN"/>
              </w:rPr>
              <w:t>mg/L，pH值7-9。施工过程中设备、工具清洗等产生的废水量小，主要污染物为悬浮物和石油类。项目施工场地设置</w:t>
            </w:r>
            <w:r>
              <w:rPr>
                <w:rFonts w:hint="eastAsia" w:ascii="Times New Roman" w:hAnsi="Times New Roman" w:cs="Times New Roman"/>
                <w:color w:val="auto"/>
                <w:highlight w:val="none"/>
                <w:lang w:val="en-US" w:eastAsia="zh-CN"/>
              </w:rPr>
              <w:t>进出车辆冲洗平台</w:t>
            </w:r>
            <w:r>
              <w:rPr>
                <w:rFonts w:hint="eastAsia" w:ascii="Times New Roman" w:hAnsi="Times New Roman" w:eastAsia="宋体" w:cs="Times New Roman"/>
                <w:color w:val="auto"/>
                <w:highlight w:val="none"/>
                <w:lang w:val="en-US" w:eastAsia="zh-CN"/>
              </w:rPr>
              <w:t>，并在平台周边设置截流沟，将冲洗废水导入沉淀池，</w:t>
            </w:r>
            <w:r>
              <w:rPr>
                <w:rFonts w:hint="eastAsia" w:ascii="Times New Roman" w:hAnsi="Times New Roman" w:cs="Times New Roman"/>
                <w:color w:val="auto"/>
                <w:highlight w:val="none"/>
                <w:lang w:val="en-US" w:eastAsia="zh-CN"/>
              </w:rPr>
              <w:t>施工废水经简易隔油沉淀处理后</w:t>
            </w:r>
            <w:r>
              <w:rPr>
                <w:rFonts w:hint="eastAsia" w:ascii="Times New Roman" w:hAnsi="Times New Roman" w:eastAsia="宋体" w:cs="Times New Roman"/>
                <w:color w:val="auto"/>
                <w:highlight w:val="none"/>
                <w:lang w:val="en-US" w:eastAsia="zh-CN"/>
              </w:rPr>
              <w:t>，回用于施工或洒水降尘。沉淀池内淤泥必须定期清理，定期与建筑垃圾一起清运至有关部门指定的建筑垃圾堆填地点处置。</w:t>
            </w:r>
            <w:r>
              <w:rPr>
                <w:rFonts w:hint="eastAsia" w:cs="Times New Roman"/>
                <w:color w:val="auto"/>
                <w:highlight w:val="none"/>
                <w:lang w:val="en-US" w:eastAsia="zh-CN"/>
              </w:rPr>
              <w:t>项目</w:t>
            </w:r>
            <w:r>
              <w:rPr>
                <w:rFonts w:hint="eastAsia" w:ascii="Times New Roman" w:hAnsi="Times New Roman" w:eastAsia="宋体" w:cs="Times New Roman"/>
                <w:color w:val="auto"/>
                <w:highlight w:val="none"/>
                <w:lang w:val="en-US" w:eastAsia="zh-CN"/>
              </w:rPr>
              <w:t>管道试压采用分段试压，试压废水中主要含有少量 SS，就近用于周边洒水降尘，不外排</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采取以上措施后，建筑施工废水不会对周围地表水体造成大的不利影响。</w:t>
            </w:r>
          </w:p>
          <w:p>
            <w:pPr>
              <w:bidi w:val="0"/>
              <w:ind w:firstLine="482" w:firstLineChars="200"/>
              <w:jc w:val="both"/>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（2）生活污水</w:t>
            </w:r>
          </w:p>
          <w:p>
            <w:pPr>
              <w:bidi w:val="0"/>
              <w:ind w:firstLine="480" w:firstLineChars="200"/>
              <w:jc w:val="both"/>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根据工程分析，项目在施工过程中，施工人员平均50人，生活用水量按100L/人 d计，则施工人员生活污水排放量约5m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val="en-US" w:eastAsia="zh-CN"/>
              </w:rPr>
              <w:t>/d。施工营地配备有移动厕所，生活污水经化粪池预处理后由环卫部门定期清运。</w:t>
            </w:r>
          </w:p>
          <w:p>
            <w:pPr>
              <w:keepNext w:val="0"/>
              <w:keepLines w:val="0"/>
              <w:pageBreakBefore w:val="0"/>
              <w:widowControl w:val="0"/>
              <w:kinsoku/>
              <w:wordWrap/>
              <w:overflowPunct/>
              <w:topLinePunct w:val="0"/>
              <w:autoSpaceDE/>
              <w:autoSpaceDN/>
              <w:bidi w:val="0"/>
              <w:adjustRightInd/>
              <w:snapToGrid/>
              <w:spacing w:before="0" w:after="0"/>
              <w:ind w:firstLine="482" w:firstLineChars="200"/>
              <w:jc w:val="both"/>
              <w:textAlignment w:val="auto"/>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（3）雨水径流</w:t>
            </w:r>
          </w:p>
          <w:p>
            <w:pPr>
              <w:bidi w:val="0"/>
              <w:ind w:firstLine="480" w:firstLineChars="200"/>
              <w:jc w:val="both"/>
              <w:rPr>
                <w:rFonts w:hint="default" w:ascii="Times New Roman" w:hAnsi="Times New Roman" w:cs="Times New Roman"/>
                <w:highlight w:val="none"/>
              </w:rPr>
            </w:pPr>
            <w:r>
              <w:rPr>
                <w:rFonts w:hint="default" w:ascii="Times New Roman" w:hAnsi="Times New Roman" w:cs="Times New Roman"/>
                <w:color w:val="auto"/>
                <w:highlight w:val="none"/>
              </w:rPr>
              <w:t>雨季径流主要为雨季降水冲涮施工场地产生，所含污染物主要为SS和微量石油类，其中SS浓度为200～500mg/L左右。</w:t>
            </w:r>
            <w:r>
              <w:rPr>
                <w:rFonts w:hint="eastAsia" w:ascii="Times New Roman" w:hAnsi="Times New Roman" w:cs="Times New Roman"/>
                <w:color w:val="auto"/>
                <w:highlight w:val="none"/>
                <w:lang w:val="en-US" w:eastAsia="zh-CN"/>
              </w:rPr>
              <w:t>施工场地</w:t>
            </w:r>
            <w:r>
              <w:rPr>
                <w:rFonts w:hint="default" w:ascii="Times New Roman" w:hAnsi="Times New Roman" w:cs="Times New Roman"/>
                <w:color w:val="auto"/>
                <w:highlight w:val="none"/>
              </w:rPr>
              <w:t>内需设置雨水沉淀池，雨季径流经收集沉淀后，回用于项目施工及养护。为避免雨季径流对周围水体产生不利影响，采取</w:t>
            </w:r>
            <w:r>
              <w:rPr>
                <w:rFonts w:hint="default" w:ascii="Times New Roman" w:hAnsi="Times New Roman" w:cs="Times New Roman"/>
                <w:highlight w:val="none"/>
              </w:rPr>
              <w:t>以下措施：①设置连续、通畅的排水设施和沉淀设施，防止泥浆、污水、废水外流。②合理安排工期，避免在雨天进行土方作业；③雨天对粉状物料堆放场所和临时堆渣场进行必要的遮蔽，减少雨水冲刷。此外尽量收集施工场地的暴雨径流，并设置沉淀池对暴雨径流进行沉淀处理后外排；采取以上措施后，雨季径流中的SS浓度可得到较大程度的降低，不会对周围地表水体造成大的不利影响。</w:t>
            </w:r>
          </w:p>
          <w:p>
            <w:pPr>
              <w:bidi w:val="0"/>
              <w:ind w:firstLine="482" w:firstLineChars="200"/>
              <w:jc w:val="both"/>
              <w:rPr>
                <w:rFonts w:hint="default" w:ascii="Times New Roman" w:hAnsi="Times New Roman" w:eastAsia="宋体" w:cs="Times New Roman"/>
                <w:b/>
                <w:bCs/>
                <w:highlight w:val="none"/>
                <w:lang w:val="en-US" w:eastAsia="zh-CN"/>
              </w:rPr>
            </w:pPr>
            <w:r>
              <w:rPr>
                <w:rFonts w:hint="eastAsia" w:ascii="Times New Roman" w:hAnsi="Times New Roman" w:eastAsia="宋体" w:cs="Times New Roman"/>
                <w:b/>
                <w:bCs/>
                <w:highlight w:val="none"/>
                <w:lang w:val="en-US" w:eastAsia="zh-CN"/>
              </w:rPr>
              <w:t>（4）废水防治措施</w:t>
            </w:r>
          </w:p>
          <w:p>
            <w:pPr>
              <w:bidi w:val="0"/>
              <w:ind w:firstLine="480" w:firstLineChars="200"/>
              <w:jc w:val="both"/>
              <w:rPr>
                <w:rFonts w:hint="default" w:ascii="Times New Roman" w:hAnsi="Times New Roman" w:cs="Times New Roman"/>
                <w:sz w:val="24"/>
                <w:szCs w:val="24"/>
                <w:highlight w:val="none"/>
              </w:rPr>
            </w:pPr>
            <w:r>
              <w:rPr>
                <w:rFonts w:hint="eastAsia" w:ascii="宋体" w:hAnsi="宋体" w:eastAsia="宋体" w:cs="宋体"/>
                <w:sz w:val="24"/>
                <w:szCs w:val="24"/>
                <w:highlight w:val="none"/>
              </w:rPr>
              <w:t>①</w:t>
            </w:r>
            <w:r>
              <w:rPr>
                <w:rFonts w:hint="eastAsia" w:ascii="Times New Roman" w:hAnsi="Times New Roman" w:cs="Times New Roman"/>
                <w:sz w:val="24"/>
                <w:szCs w:val="24"/>
                <w:highlight w:val="none"/>
                <w:lang w:val="en-US" w:eastAsia="zh-CN"/>
              </w:rPr>
              <w:t>施工</w:t>
            </w:r>
            <w:r>
              <w:rPr>
                <w:rFonts w:hint="eastAsia" w:ascii="Times New Roman" w:hAnsi="Times New Roman" w:eastAsia="宋体" w:cs="Times New Roman"/>
                <w:highlight w:val="none"/>
                <w:lang w:val="en-US" w:eastAsia="zh-CN"/>
              </w:rPr>
              <w:t>营地配备有移动厕所，生活污水经化粪池预处理后由环卫部门定期清运</w:t>
            </w:r>
            <w:r>
              <w:rPr>
                <w:rFonts w:hint="default" w:ascii="Times New Roman" w:hAnsi="Times New Roman" w:cs="Times New Roman"/>
                <w:sz w:val="24"/>
                <w:szCs w:val="24"/>
                <w:highlight w:val="none"/>
              </w:rPr>
              <w:t>；</w:t>
            </w:r>
          </w:p>
          <w:p>
            <w:pPr>
              <w:adjustRightInd w:val="0"/>
              <w:snapToGrid w:val="0"/>
              <w:spacing w:line="360" w:lineRule="auto"/>
              <w:ind w:firstLine="480"/>
              <w:jc w:val="both"/>
              <w:rPr>
                <w:rFonts w:hint="default" w:ascii="Times New Roman" w:hAnsi="Times New Roman" w:cs="Times New Roman"/>
                <w:sz w:val="24"/>
                <w:szCs w:val="24"/>
                <w:highlight w:val="none"/>
              </w:rPr>
            </w:pPr>
            <w:r>
              <w:rPr>
                <w:rFonts w:hint="eastAsia" w:ascii="宋体" w:hAnsi="宋体" w:eastAsia="宋体" w:cs="宋体"/>
                <w:sz w:val="24"/>
                <w:szCs w:val="24"/>
                <w:highlight w:val="none"/>
              </w:rPr>
              <w:t>②</w:t>
            </w:r>
            <w:r>
              <w:rPr>
                <w:rFonts w:hint="default" w:ascii="Times New Roman" w:hAnsi="Times New Roman" w:cs="Times New Roman"/>
                <w:sz w:val="24"/>
                <w:szCs w:val="24"/>
                <w:highlight w:val="none"/>
              </w:rPr>
              <w:t>水泥、沙石类的建筑材料需集中堆放，四周必须开挖明沟和沉沙井，必要时</w:t>
            </w:r>
            <w:r>
              <w:rPr>
                <w:rFonts w:hint="default" w:ascii="Times New Roman" w:hAnsi="Times New Roman" w:cs="Times New Roman"/>
                <w:spacing w:val="-8"/>
                <w:sz w:val="24"/>
                <w:szCs w:val="24"/>
                <w:highlight w:val="none"/>
              </w:rPr>
              <w:t>还要设置阻隔挡墙，防止暴雨径流引起水体污染。及时清扫施工运输过程中抛射的建筑材料，物料堆场；</w:t>
            </w:r>
          </w:p>
          <w:p>
            <w:pPr>
              <w:adjustRightInd w:val="0"/>
              <w:snapToGrid w:val="0"/>
              <w:spacing w:line="360" w:lineRule="auto"/>
              <w:ind w:firstLine="480"/>
              <w:jc w:val="both"/>
              <w:rPr>
                <w:rFonts w:hint="default" w:ascii="Times New Roman" w:hAnsi="Times New Roman" w:cs="Times New Roman"/>
                <w:color w:val="auto"/>
                <w:sz w:val="24"/>
                <w:szCs w:val="24"/>
                <w:highlight w:val="none"/>
              </w:rPr>
            </w:pPr>
            <w:r>
              <w:rPr>
                <w:rFonts w:hint="eastAsia" w:ascii="宋体" w:hAnsi="宋体" w:eastAsia="宋体" w:cs="宋体"/>
                <w:color w:val="auto"/>
                <w:sz w:val="24"/>
                <w:szCs w:val="24"/>
                <w:highlight w:val="none"/>
              </w:rPr>
              <w:t>③</w:t>
            </w:r>
            <w:r>
              <w:rPr>
                <w:rFonts w:hint="default" w:ascii="Times New Roman" w:hAnsi="Times New Roman" w:cs="Times New Roman"/>
                <w:color w:val="auto"/>
                <w:sz w:val="24"/>
                <w:szCs w:val="24"/>
                <w:highlight w:val="none"/>
              </w:rPr>
              <w:t>建设单位严禁任何废水未经处理随意排放，施工泥浆水须经沉淀池沉淀后全</w:t>
            </w:r>
            <w:r>
              <w:rPr>
                <w:rFonts w:hint="default" w:ascii="Times New Roman" w:hAnsi="Times New Roman" w:cs="Times New Roman"/>
                <w:color w:val="auto"/>
                <w:spacing w:val="-4"/>
                <w:sz w:val="24"/>
                <w:szCs w:val="24"/>
                <w:highlight w:val="none"/>
              </w:rPr>
              <w:t>部回用；污水沉淀时间应大于</w:t>
            </w:r>
            <w:r>
              <w:rPr>
                <w:rFonts w:hint="default" w:ascii="Times New Roman" w:hAnsi="Times New Roman" w:eastAsia="Times New Roman" w:cs="Times New Roman"/>
                <w:color w:val="auto"/>
                <w:sz w:val="24"/>
                <w:szCs w:val="24"/>
                <w:highlight w:val="none"/>
              </w:rPr>
              <w:t>2</w:t>
            </w:r>
            <w:r>
              <w:rPr>
                <w:rFonts w:hint="default" w:ascii="Times New Roman" w:hAnsi="Times New Roman" w:cs="Times New Roman"/>
                <w:color w:val="auto"/>
                <w:spacing w:val="-3"/>
                <w:sz w:val="24"/>
                <w:szCs w:val="24"/>
                <w:highlight w:val="none"/>
              </w:rPr>
              <w:t>小时，因此须在工地施工出口处，</w:t>
            </w:r>
            <w:r>
              <w:rPr>
                <w:rFonts w:hint="default" w:ascii="Times New Roman" w:hAnsi="Times New Roman" w:cs="Times New Roman"/>
                <w:color w:val="auto"/>
                <w:highlight w:val="none"/>
              </w:rPr>
              <w:t>项目拟设置一个30m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的施工期车辆清洗设施和沉淀池，以收集施工污水，清洗废水经沉淀池澄清后循环使用于生产或者路面养护；</w:t>
            </w:r>
          </w:p>
          <w:p>
            <w:pPr>
              <w:adjustRightInd w:val="0"/>
              <w:snapToGrid w:val="0"/>
              <w:spacing w:line="360" w:lineRule="auto"/>
              <w:ind w:firstLine="480"/>
              <w:jc w:val="both"/>
              <w:rPr>
                <w:rFonts w:hint="default" w:ascii="Times New Roman" w:hAnsi="Times New Roman" w:cs="Times New Roman"/>
                <w:sz w:val="24"/>
                <w:szCs w:val="24"/>
                <w:highlight w:val="none"/>
              </w:rPr>
            </w:pPr>
            <w:r>
              <w:rPr>
                <w:rFonts w:hint="eastAsia" w:ascii="宋体" w:hAnsi="宋体" w:eastAsia="宋体" w:cs="宋体"/>
                <w:color w:val="auto"/>
                <w:sz w:val="24"/>
                <w:szCs w:val="24"/>
                <w:highlight w:val="none"/>
              </w:rPr>
              <w:t>④</w:t>
            </w:r>
            <w:r>
              <w:rPr>
                <w:rFonts w:hint="default" w:ascii="Times New Roman" w:hAnsi="Times New Roman" w:cs="Times New Roman"/>
                <w:color w:val="auto"/>
                <w:sz w:val="24"/>
                <w:szCs w:val="24"/>
                <w:highlight w:val="none"/>
              </w:rPr>
              <w:t>在施工工地周界应设置</w:t>
            </w:r>
            <w:r>
              <w:rPr>
                <w:rFonts w:hint="default" w:ascii="Times New Roman" w:hAnsi="Times New Roman" w:cs="Times New Roman"/>
                <w:color w:val="auto"/>
                <w:highlight w:val="none"/>
              </w:rPr>
              <w:t>排水明沟，场地冲洗废水和施工场地初期雨水</w:t>
            </w:r>
            <w:r>
              <w:rPr>
                <w:rFonts w:hint="default" w:ascii="Times New Roman" w:hAnsi="Times New Roman" w:cs="Times New Roman"/>
                <w:color w:val="auto"/>
                <w:sz w:val="24"/>
                <w:szCs w:val="24"/>
                <w:highlight w:val="none"/>
              </w:rPr>
              <w:t>，</w:t>
            </w:r>
            <w:r>
              <w:rPr>
                <w:rFonts w:hint="default" w:ascii="Times New Roman" w:hAnsi="Times New Roman" w:cs="Times New Roman"/>
                <w:sz w:val="24"/>
                <w:szCs w:val="24"/>
                <w:highlight w:val="none"/>
              </w:rPr>
              <w:t>经隔油沉淀处理后用于生产或者路面养护；</w:t>
            </w:r>
          </w:p>
          <w:p>
            <w:pPr>
              <w:adjustRightInd w:val="0"/>
              <w:snapToGrid w:val="0"/>
              <w:spacing w:line="360" w:lineRule="auto"/>
              <w:ind w:firstLine="480"/>
              <w:jc w:val="both"/>
              <w:rPr>
                <w:rFonts w:hint="default" w:ascii="Times New Roman" w:hAnsi="Times New Roman" w:cs="Times New Roman"/>
                <w:sz w:val="24"/>
                <w:szCs w:val="24"/>
                <w:highlight w:val="none"/>
              </w:rPr>
            </w:pPr>
            <w:r>
              <w:rPr>
                <w:rFonts w:hint="eastAsia" w:ascii="宋体" w:hAnsi="宋体" w:eastAsia="宋体" w:cs="宋体"/>
                <w:sz w:val="24"/>
                <w:szCs w:val="24"/>
                <w:highlight w:val="none"/>
              </w:rPr>
              <w:t>⑤</w:t>
            </w:r>
            <w:r>
              <w:rPr>
                <w:rFonts w:hint="default" w:ascii="Times New Roman" w:hAnsi="Times New Roman" w:cs="Times New Roman"/>
                <w:sz w:val="24"/>
                <w:szCs w:val="24"/>
                <w:highlight w:val="none"/>
              </w:rPr>
              <w:t>为了减少养护废水对水环境的影响，在养护洒水过程中，采取少量多次，确保路面湿润而水不流到环境中；</w:t>
            </w:r>
          </w:p>
          <w:p>
            <w:pPr>
              <w:adjustRightInd w:val="0"/>
              <w:snapToGrid w:val="0"/>
              <w:spacing w:line="360" w:lineRule="auto"/>
              <w:ind w:firstLine="480" w:firstLineChars="200"/>
              <w:jc w:val="both"/>
              <w:rPr>
                <w:rFonts w:hint="default" w:ascii="Times New Roman" w:hAnsi="Times New Roman" w:cs="Times New Roman"/>
                <w:sz w:val="24"/>
                <w:szCs w:val="24"/>
                <w:highlight w:val="none"/>
              </w:rPr>
            </w:pPr>
            <w:r>
              <w:rPr>
                <w:rFonts w:hint="eastAsia" w:ascii="宋体" w:hAnsi="宋体" w:eastAsia="宋体" w:cs="宋体"/>
                <w:sz w:val="24"/>
                <w:szCs w:val="24"/>
                <w:highlight w:val="none"/>
              </w:rPr>
              <w:t>⑥</w:t>
            </w:r>
            <w:r>
              <w:rPr>
                <w:rFonts w:hint="default" w:ascii="Times New Roman" w:hAnsi="Times New Roman" w:cs="Times New Roman"/>
                <w:sz w:val="24"/>
                <w:szCs w:val="24"/>
                <w:highlight w:val="none"/>
              </w:rPr>
              <w:t>建筑材料运输及堆放过程必须严格按照交通部有关规范规定，在施工中应根据不同建筑材料的特点，有针对性的加强保护管理措施，禁止废物和有毒物质进入水体。</w:t>
            </w:r>
          </w:p>
          <w:p>
            <w:pPr>
              <w:adjustRightInd w:val="0"/>
              <w:snapToGrid w:val="0"/>
              <w:spacing w:line="360" w:lineRule="auto"/>
              <w:ind w:firstLine="480" w:firstLineChars="200"/>
              <w:jc w:val="both"/>
              <w:rPr>
                <w:rFonts w:hint="default" w:ascii="Times New Roman" w:hAnsi="Times New Roman" w:cs="Times New Roman"/>
                <w:sz w:val="24"/>
                <w:szCs w:val="24"/>
                <w:highlight w:val="none"/>
              </w:rPr>
            </w:pPr>
            <w:r>
              <w:rPr>
                <w:rFonts w:hint="eastAsia" w:ascii="宋体" w:hAnsi="宋体" w:eastAsia="宋体" w:cs="宋体"/>
                <w:sz w:val="24"/>
                <w:szCs w:val="24"/>
                <w:highlight w:val="none"/>
              </w:rPr>
              <w:t>⑦</w:t>
            </w:r>
            <w:r>
              <w:rPr>
                <w:rFonts w:hint="default" w:ascii="Times New Roman" w:hAnsi="Times New Roman" w:cs="Times New Roman"/>
                <w:sz w:val="24"/>
                <w:szCs w:val="24"/>
                <w:highlight w:val="none"/>
              </w:rPr>
              <w:t>土方随挖随填，随铺随压，以减少水土流失。</w:t>
            </w:r>
          </w:p>
          <w:p>
            <w:pPr>
              <w:adjustRightInd w:val="0"/>
              <w:snapToGrid w:val="0"/>
              <w:spacing w:line="360" w:lineRule="auto"/>
              <w:ind w:firstLine="480"/>
              <w:jc w:val="both"/>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经采取以上措施后，本项目施工期对地表水环境的影响将不大。</w:t>
            </w:r>
          </w:p>
          <w:p>
            <w:pPr>
              <w:bidi w:val="0"/>
              <w:jc w:val="both"/>
              <w:rPr>
                <w:rFonts w:hint="default" w:ascii="Times New Roman" w:hAnsi="Times New Roman" w:eastAsia="宋体" w:cs="Times New Roman"/>
                <w:b/>
                <w:bCs/>
                <w:highlight w:val="none"/>
                <w:lang w:val="en-US" w:eastAsia="zh-CN"/>
              </w:rPr>
            </w:pPr>
            <w:r>
              <w:rPr>
                <w:rFonts w:hint="eastAsia" w:ascii="Times New Roman" w:hAnsi="Times New Roman" w:eastAsia="宋体" w:cs="Times New Roman"/>
                <w:b/>
                <w:bCs/>
                <w:highlight w:val="none"/>
                <w:lang w:val="en-US" w:eastAsia="zh-CN"/>
              </w:rPr>
              <w:t>3、施工噪声</w:t>
            </w:r>
          </w:p>
          <w:p>
            <w:pPr>
              <w:bidi w:val="0"/>
              <w:ind w:firstLine="482" w:firstLineChars="200"/>
              <w:jc w:val="both"/>
              <w:rPr>
                <w:rFonts w:hint="default" w:ascii="Times New Roman" w:hAnsi="Times New Roman" w:eastAsia="宋体" w:cs="Times New Roman"/>
                <w:b/>
                <w:bCs/>
                <w:highlight w:val="none"/>
                <w:lang w:val="en-US" w:eastAsia="zh-CN"/>
              </w:rPr>
            </w:pPr>
            <w:r>
              <w:rPr>
                <w:rFonts w:hint="eastAsia" w:ascii="Times New Roman" w:hAnsi="Times New Roman" w:cs="Times New Roman"/>
                <w:b/>
                <w:bCs/>
                <w:highlight w:val="none"/>
                <w:lang w:eastAsia="zh-CN"/>
              </w:rPr>
              <w:t>（</w:t>
            </w:r>
            <w:r>
              <w:rPr>
                <w:rFonts w:hint="eastAsia" w:ascii="Times New Roman" w:hAnsi="Times New Roman" w:cs="Times New Roman"/>
                <w:b/>
                <w:bCs/>
                <w:highlight w:val="none"/>
                <w:lang w:val="en-US" w:eastAsia="zh-CN"/>
              </w:rPr>
              <w:t>1</w:t>
            </w:r>
            <w:r>
              <w:rPr>
                <w:rFonts w:hint="eastAsia" w:ascii="Times New Roman" w:hAnsi="Times New Roman" w:cs="Times New Roman"/>
                <w:b/>
                <w:bCs/>
                <w:highlight w:val="none"/>
                <w:lang w:eastAsia="zh-CN"/>
              </w:rPr>
              <w:t>）</w:t>
            </w:r>
            <w:r>
              <w:rPr>
                <w:rFonts w:hint="eastAsia" w:ascii="Times New Roman" w:hAnsi="Times New Roman" w:cs="Times New Roman"/>
                <w:b/>
                <w:bCs/>
                <w:highlight w:val="none"/>
                <w:lang w:val="en-US" w:eastAsia="zh-CN"/>
              </w:rPr>
              <w:t>施工期噪声影响分析</w:t>
            </w:r>
          </w:p>
          <w:p>
            <w:pPr>
              <w:bidi w:val="0"/>
              <w:ind w:firstLine="480" w:firstLineChars="200"/>
              <w:jc w:val="both"/>
              <w:rPr>
                <w:rFonts w:hint="default" w:ascii="Times New Roman" w:hAnsi="Times New Roman" w:cs="Times New Roman"/>
                <w:highlight w:val="none"/>
                <w:lang w:eastAsia="zh-CN"/>
              </w:rPr>
            </w:pPr>
            <w:r>
              <w:rPr>
                <w:rFonts w:hint="default" w:ascii="Times New Roman" w:hAnsi="Times New Roman" w:cs="Times New Roman"/>
                <w:highlight w:val="none"/>
              </w:rPr>
              <w:t>施工期的主要噪声源是各类施工机械产生的噪声，以及原材料运输时车辆引起的交通噪声。施工机械具有噪声高、无规律、突发性强等特点。根据项目特点，类比同类工程</w:t>
            </w:r>
            <w:r>
              <w:rPr>
                <w:rFonts w:hint="default" w:ascii="Times New Roman" w:hAnsi="Times New Roman" w:cs="Times New Roman"/>
                <w:highlight w:val="none"/>
                <w:lang w:eastAsia="zh-CN"/>
              </w:rPr>
              <w:t>，</w:t>
            </w:r>
            <w:r>
              <w:rPr>
                <w:rFonts w:hint="default" w:ascii="Times New Roman" w:hAnsi="Times New Roman" w:cs="Times New Roman"/>
                <w:highlight w:val="none"/>
              </w:rPr>
              <w:t>施工期间的主要噪声源及源强状况</w:t>
            </w:r>
            <w:r>
              <w:rPr>
                <w:rFonts w:hint="default" w:ascii="Times New Roman" w:hAnsi="Times New Roman" w:cs="Times New Roman"/>
                <w:highlight w:val="none"/>
                <w:lang w:val="en-US" w:eastAsia="zh-CN"/>
              </w:rPr>
              <w:t>详</w:t>
            </w:r>
            <w:r>
              <w:rPr>
                <w:rFonts w:hint="default" w:ascii="Times New Roman" w:hAnsi="Times New Roman" w:cs="Times New Roman"/>
                <w:highlight w:val="none"/>
              </w:rPr>
              <w:t>见</w:t>
            </w:r>
            <w:r>
              <w:rPr>
                <w:rFonts w:hint="default" w:ascii="Times New Roman" w:hAnsi="Times New Roman" w:cs="Times New Roman"/>
                <w:highlight w:val="none"/>
                <w:lang w:val="en-US" w:eastAsia="zh-CN"/>
              </w:rPr>
              <w:t>下</w:t>
            </w:r>
            <w:r>
              <w:rPr>
                <w:rFonts w:hint="default" w:ascii="Times New Roman" w:hAnsi="Times New Roman" w:cs="Times New Roman"/>
                <w:highlight w:val="none"/>
              </w:rPr>
              <w:t>表</w:t>
            </w:r>
            <w:r>
              <w:rPr>
                <w:rFonts w:hint="default" w:ascii="Times New Roman" w:hAnsi="Times New Roman" w:cs="Times New Roman"/>
                <w:highlight w:val="none"/>
                <w:lang w:eastAsia="zh-CN"/>
              </w:rPr>
              <w:t>。</w:t>
            </w:r>
          </w:p>
          <w:p>
            <w:pPr>
              <w:bidi w:val="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表4-4 项目主要施工机械的噪声源强</w:t>
            </w:r>
          </w:p>
          <w:tbl>
            <w:tblPr>
              <w:tblStyle w:val="27"/>
              <w:tblW w:w="4999" w:type="pct"/>
              <w:tblInd w:w="1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
            <w:tblGrid>
              <w:gridCol w:w="2724"/>
              <w:gridCol w:w="3138"/>
              <w:gridCol w:w="3391"/>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92" w:hRule="atLeast"/>
              </w:trPr>
              <w:tc>
                <w:tcPr>
                  <w:tcW w:w="147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施工阶段</w:t>
                  </w:r>
                </w:p>
              </w:tc>
              <w:tc>
                <w:tcPr>
                  <w:tcW w:w="1695"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施工机械</w:t>
                  </w:r>
                </w:p>
              </w:tc>
              <w:tc>
                <w:tcPr>
                  <w:tcW w:w="183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噪声源强度（dB(A)）</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62" w:hRule="atLeast"/>
              </w:trPr>
              <w:tc>
                <w:tcPr>
                  <w:tcW w:w="147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土石方</w:t>
                  </w:r>
                </w:p>
              </w:tc>
              <w:tc>
                <w:tcPr>
                  <w:tcW w:w="1695"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风镐</w:t>
                  </w:r>
                </w:p>
              </w:tc>
              <w:tc>
                <w:tcPr>
                  <w:tcW w:w="183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95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62" w:hRule="atLeast"/>
              </w:trPr>
              <w:tc>
                <w:tcPr>
                  <w:tcW w:w="147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土石方</w:t>
                  </w:r>
                </w:p>
              </w:tc>
              <w:tc>
                <w:tcPr>
                  <w:tcW w:w="1695"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压缩机</w:t>
                  </w:r>
                </w:p>
              </w:tc>
              <w:tc>
                <w:tcPr>
                  <w:tcW w:w="183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99</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322" w:hRule="atLeast"/>
              </w:trPr>
              <w:tc>
                <w:tcPr>
                  <w:tcW w:w="147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土石方、结构</w:t>
                  </w:r>
                </w:p>
              </w:tc>
              <w:tc>
                <w:tcPr>
                  <w:tcW w:w="1695"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发电机</w:t>
                  </w:r>
                </w:p>
              </w:tc>
              <w:tc>
                <w:tcPr>
                  <w:tcW w:w="183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101</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92" w:hRule="atLeast"/>
              </w:trPr>
              <w:tc>
                <w:tcPr>
                  <w:tcW w:w="147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土石方</w:t>
                  </w:r>
                </w:p>
              </w:tc>
              <w:tc>
                <w:tcPr>
                  <w:tcW w:w="1695"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推土机</w:t>
                  </w:r>
                </w:p>
              </w:tc>
              <w:tc>
                <w:tcPr>
                  <w:tcW w:w="183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rPr>
                  </w:pPr>
                  <w:r>
                    <w:rPr>
                      <w:rFonts w:hint="default" w:ascii="Times New Roman" w:hAnsi="Times New Roman" w:cs="Times New Roman"/>
                      <w:sz w:val="21"/>
                      <w:szCs w:val="22"/>
                      <w:highlight w:val="none"/>
                    </w:rPr>
                    <w:t>91</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47" w:hRule="atLeast"/>
              </w:trPr>
              <w:tc>
                <w:tcPr>
                  <w:tcW w:w="147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lang w:val="en-US" w:eastAsia="zh-CN"/>
                    </w:rPr>
                  </w:pPr>
                  <w:r>
                    <w:rPr>
                      <w:rFonts w:hint="default" w:ascii="Times New Roman" w:hAnsi="Times New Roman" w:cs="Times New Roman"/>
                      <w:sz w:val="21"/>
                      <w:szCs w:val="22"/>
                      <w:highlight w:val="none"/>
                      <w:lang w:val="en-US" w:eastAsia="zh-CN"/>
                    </w:rPr>
                    <w:t>结构、装修</w:t>
                  </w:r>
                </w:p>
              </w:tc>
              <w:tc>
                <w:tcPr>
                  <w:tcW w:w="1695"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lang w:val="en-US" w:eastAsia="zh-CN"/>
                    </w:rPr>
                  </w:pPr>
                  <w:r>
                    <w:rPr>
                      <w:rFonts w:hint="default" w:ascii="Times New Roman" w:hAnsi="Times New Roman" w:cs="Times New Roman"/>
                      <w:sz w:val="21"/>
                      <w:szCs w:val="22"/>
                      <w:highlight w:val="none"/>
                      <w:lang w:val="en-US" w:eastAsia="zh-CN"/>
                    </w:rPr>
                    <w:t>电刨</w:t>
                  </w:r>
                </w:p>
              </w:tc>
              <w:tc>
                <w:tcPr>
                  <w:tcW w:w="183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lang w:val="en-US" w:eastAsia="zh-CN"/>
                    </w:rPr>
                  </w:pPr>
                  <w:r>
                    <w:rPr>
                      <w:rFonts w:hint="default" w:ascii="Times New Roman" w:hAnsi="Times New Roman" w:cs="Times New Roman"/>
                      <w:sz w:val="21"/>
                      <w:szCs w:val="22"/>
                      <w:highlight w:val="none"/>
                      <w:lang w:val="en-US" w:eastAsia="zh-CN"/>
                    </w:rPr>
                    <w:t>94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77" w:hRule="atLeast"/>
              </w:trPr>
              <w:tc>
                <w:tcPr>
                  <w:tcW w:w="147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lang w:val="en-US" w:eastAsia="zh-CN"/>
                    </w:rPr>
                  </w:pPr>
                  <w:r>
                    <w:rPr>
                      <w:rFonts w:hint="default" w:ascii="Times New Roman" w:hAnsi="Times New Roman" w:cs="Times New Roman"/>
                      <w:sz w:val="21"/>
                      <w:szCs w:val="22"/>
                      <w:highlight w:val="none"/>
                      <w:lang w:val="en-US" w:eastAsia="zh-CN"/>
                    </w:rPr>
                    <w:t>结构、装修</w:t>
                  </w:r>
                </w:p>
              </w:tc>
              <w:tc>
                <w:tcPr>
                  <w:tcW w:w="1695"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lang w:val="en-US" w:eastAsia="zh-CN"/>
                    </w:rPr>
                  </w:pPr>
                  <w:r>
                    <w:rPr>
                      <w:rFonts w:hint="default" w:ascii="Times New Roman" w:hAnsi="Times New Roman" w:cs="Times New Roman"/>
                      <w:sz w:val="21"/>
                      <w:szCs w:val="22"/>
                      <w:highlight w:val="none"/>
                      <w:lang w:val="en-US" w:eastAsia="zh-CN"/>
                    </w:rPr>
                    <w:t>电锯</w:t>
                  </w:r>
                </w:p>
              </w:tc>
              <w:tc>
                <w:tcPr>
                  <w:tcW w:w="183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lang w:val="en-US" w:eastAsia="zh-CN"/>
                    </w:rPr>
                  </w:pPr>
                  <w:r>
                    <w:rPr>
                      <w:rFonts w:hint="default" w:ascii="Times New Roman" w:hAnsi="Times New Roman" w:cs="Times New Roman"/>
                      <w:sz w:val="21"/>
                      <w:szCs w:val="22"/>
                      <w:highlight w:val="none"/>
                      <w:lang w:val="en-US" w:eastAsia="zh-CN"/>
                    </w:rPr>
                    <w:t>99</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62" w:hRule="atLeast"/>
              </w:trPr>
              <w:tc>
                <w:tcPr>
                  <w:tcW w:w="147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lang w:val="en-US" w:eastAsia="zh-CN"/>
                    </w:rPr>
                  </w:pPr>
                  <w:r>
                    <w:rPr>
                      <w:rFonts w:hint="default" w:ascii="Times New Roman" w:hAnsi="Times New Roman" w:cs="Times New Roman"/>
                      <w:sz w:val="21"/>
                      <w:szCs w:val="22"/>
                      <w:highlight w:val="none"/>
                      <w:lang w:val="en-US" w:eastAsia="zh-CN"/>
                    </w:rPr>
                    <w:t>结构、装修</w:t>
                  </w:r>
                </w:p>
              </w:tc>
              <w:tc>
                <w:tcPr>
                  <w:tcW w:w="1695"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lang w:val="en-US" w:eastAsia="zh-CN"/>
                    </w:rPr>
                  </w:pPr>
                  <w:r>
                    <w:rPr>
                      <w:rFonts w:hint="default" w:ascii="Times New Roman" w:hAnsi="Times New Roman" w:cs="Times New Roman"/>
                      <w:sz w:val="21"/>
                      <w:szCs w:val="22"/>
                      <w:highlight w:val="none"/>
                      <w:lang w:val="en-US" w:eastAsia="zh-CN"/>
                    </w:rPr>
                    <w:t>沙浆机</w:t>
                  </w:r>
                </w:p>
              </w:tc>
              <w:tc>
                <w:tcPr>
                  <w:tcW w:w="183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lang w:val="en-US" w:eastAsia="zh-CN"/>
                    </w:rPr>
                  </w:pPr>
                  <w:r>
                    <w:rPr>
                      <w:rFonts w:hint="default" w:ascii="Times New Roman" w:hAnsi="Times New Roman" w:cs="Times New Roman"/>
                      <w:sz w:val="21"/>
                      <w:szCs w:val="22"/>
                      <w:highlight w:val="none"/>
                      <w:lang w:val="en-US" w:eastAsia="zh-CN"/>
                    </w:rPr>
                    <w:t>87</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32" w:hRule="atLeast"/>
              </w:trPr>
              <w:tc>
                <w:tcPr>
                  <w:tcW w:w="147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lang w:val="en-US" w:eastAsia="zh-CN"/>
                    </w:rPr>
                  </w:pPr>
                  <w:r>
                    <w:rPr>
                      <w:rFonts w:hint="default" w:ascii="Times New Roman" w:hAnsi="Times New Roman" w:cs="Times New Roman"/>
                      <w:sz w:val="21"/>
                      <w:szCs w:val="22"/>
                      <w:highlight w:val="none"/>
                      <w:lang w:val="en-US" w:eastAsia="zh-CN"/>
                    </w:rPr>
                    <w:t>结构、装修</w:t>
                  </w:r>
                </w:p>
              </w:tc>
              <w:tc>
                <w:tcPr>
                  <w:tcW w:w="1695"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lang w:val="en-US" w:eastAsia="zh-CN"/>
                    </w:rPr>
                  </w:pPr>
                  <w:r>
                    <w:rPr>
                      <w:rFonts w:hint="default" w:ascii="Times New Roman" w:hAnsi="Times New Roman" w:cs="Times New Roman"/>
                      <w:sz w:val="21"/>
                      <w:szCs w:val="22"/>
                      <w:highlight w:val="none"/>
                      <w:lang w:val="en-US" w:eastAsia="zh-CN"/>
                    </w:rPr>
                    <w:t>卷扬机</w:t>
                  </w:r>
                </w:p>
              </w:tc>
              <w:tc>
                <w:tcPr>
                  <w:tcW w:w="1832" w:type="pct"/>
                  <w:tcBorders>
                    <w:tl2br w:val="nil"/>
                    <w:tr2bl w:val="nil"/>
                  </w:tcBorders>
                  <w:vAlign w:val="center"/>
                </w:tcPr>
                <w:p>
                  <w:pPr>
                    <w:spacing w:after="0" w:line="240" w:lineRule="auto"/>
                    <w:jc w:val="center"/>
                    <w:rPr>
                      <w:rFonts w:hint="default" w:ascii="Times New Roman" w:hAnsi="Times New Roman" w:cs="Times New Roman"/>
                      <w:sz w:val="21"/>
                      <w:szCs w:val="22"/>
                      <w:highlight w:val="none"/>
                      <w:lang w:val="en-US" w:eastAsia="zh-CN"/>
                    </w:rPr>
                  </w:pPr>
                  <w:r>
                    <w:rPr>
                      <w:rFonts w:hint="default" w:ascii="Times New Roman" w:hAnsi="Times New Roman" w:cs="Times New Roman"/>
                      <w:sz w:val="21"/>
                      <w:szCs w:val="22"/>
                      <w:highlight w:val="none"/>
                      <w:lang w:val="en-US" w:eastAsia="zh-CN"/>
                    </w:rPr>
                    <w:t>87</w:t>
                  </w:r>
                </w:p>
              </w:tc>
            </w:tr>
          </w:tbl>
          <w:p>
            <w:pPr>
              <w:bidi w:val="0"/>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物料运输阶段的交通噪声主要是施工阶段物料运输车辆引起的噪声，各阶段的车辆类型与声级</w:t>
            </w:r>
            <w:r>
              <w:rPr>
                <w:rFonts w:hint="default" w:ascii="Times New Roman" w:hAnsi="Times New Roman" w:cs="Times New Roman"/>
                <w:highlight w:val="none"/>
                <w:lang w:val="en-US" w:eastAsia="zh-CN"/>
              </w:rPr>
              <w:t>详</w:t>
            </w:r>
            <w:r>
              <w:rPr>
                <w:rFonts w:hint="default" w:ascii="Times New Roman" w:hAnsi="Times New Roman" w:cs="Times New Roman"/>
                <w:highlight w:val="none"/>
              </w:rPr>
              <w:t>见下表：</w:t>
            </w:r>
          </w:p>
          <w:p>
            <w:pPr>
              <w:bidi w:val="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表4-5 各阶段的车辆类型与声级</w:t>
            </w:r>
          </w:p>
          <w:tbl>
            <w:tblPr>
              <w:tblStyle w:val="27"/>
              <w:tblW w:w="4998" w:type="pct"/>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
            <w:tblGrid>
              <w:gridCol w:w="1842"/>
              <w:gridCol w:w="3232"/>
              <w:gridCol w:w="2665"/>
              <w:gridCol w:w="1513"/>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322" w:hRule="atLeast"/>
                <w:jc w:val="center"/>
              </w:trPr>
              <w:tc>
                <w:tcPr>
                  <w:tcW w:w="995"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施工阶段</w:t>
                  </w:r>
                </w:p>
              </w:tc>
              <w:tc>
                <w:tcPr>
                  <w:tcW w:w="174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运输内容</w:t>
                  </w:r>
                </w:p>
              </w:tc>
              <w:tc>
                <w:tcPr>
                  <w:tcW w:w="1440"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车辆类型</w:t>
                  </w:r>
                </w:p>
              </w:tc>
              <w:tc>
                <w:tcPr>
                  <w:tcW w:w="81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声级/dB(A)</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92" w:hRule="atLeast"/>
                <w:jc w:val="center"/>
              </w:trPr>
              <w:tc>
                <w:tcPr>
                  <w:tcW w:w="995"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土方阶段</w:t>
                  </w:r>
                </w:p>
              </w:tc>
              <w:tc>
                <w:tcPr>
                  <w:tcW w:w="174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土方外运</w:t>
                  </w:r>
                </w:p>
              </w:tc>
              <w:tc>
                <w:tcPr>
                  <w:tcW w:w="1440"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大型载重车</w:t>
                  </w:r>
                </w:p>
              </w:tc>
              <w:tc>
                <w:tcPr>
                  <w:tcW w:w="81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90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322" w:hRule="atLeast"/>
                <w:jc w:val="center"/>
              </w:trPr>
              <w:tc>
                <w:tcPr>
                  <w:tcW w:w="995"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底板及结构阶段</w:t>
                  </w:r>
                </w:p>
              </w:tc>
              <w:tc>
                <w:tcPr>
                  <w:tcW w:w="174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钢筋、商品混凝土</w:t>
                  </w:r>
                </w:p>
              </w:tc>
              <w:tc>
                <w:tcPr>
                  <w:tcW w:w="1440"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混凝土罐车、载重车</w:t>
                  </w:r>
                </w:p>
              </w:tc>
              <w:tc>
                <w:tcPr>
                  <w:tcW w:w="81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80～85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352" w:hRule="atLeast"/>
                <w:jc w:val="center"/>
              </w:trPr>
              <w:tc>
                <w:tcPr>
                  <w:tcW w:w="995"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装修阶段</w:t>
                  </w:r>
                </w:p>
              </w:tc>
              <w:tc>
                <w:tcPr>
                  <w:tcW w:w="174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各种装修材料及必要设备</w:t>
                  </w:r>
                </w:p>
              </w:tc>
              <w:tc>
                <w:tcPr>
                  <w:tcW w:w="1440"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轻型载重卡车</w:t>
                  </w:r>
                </w:p>
              </w:tc>
              <w:tc>
                <w:tcPr>
                  <w:tcW w:w="817"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75</w:t>
                  </w:r>
                </w:p>
              </w:tc>
            </w:tr>
          </w:tbl>
          <w:p>
            <w:pPr>
              <w:keepNext w:val="0"/>
              <w:keepLines w:val="0"/>
              <w:pageBreakBefore w:val="0"/>
              <w:widowControl w:val="0"/>
              <w:kinsoku/>
              <w:wordWrap/>
              <w:overflowPunct/>
              <w:topLinePunct w:val="0"/>
              <w:autoSpaceDE/>
              <w:autoSpaceDN/>
              <w:bidi w:val="0"/>
              <w:adjustRightInd/>
              <w:snapToGrid/>
              <w:spacing w:before="0" w:after="0"/>
              <w:ind w:firstLine="480" w:firstLineChars="200"/>
              <w:jc w:val="both"/>
              <w:textAlignment w:val="auto"/>
              <w:rPr>
                <w:rFonts w:hint="default" w:ascii="Times New Roman" w:hAnsi="Times New Roman" w:cs="Times New Roman"/>
                <w:highlight w:val="none"/>
                <w:vertAlign w:val="baseline"/>
                <w:lang w:val="en-US" w:eastAsia="zh-CN"/>
              </w:rPr>
            </w:pPr>
            <w:r>
              <w:rPr>
                <w:rFonts w:hint="default" w:ascii="Times New Roman" w:hAnsi="Times New Roman" w:cs="Times New Roman"/>
                <w:highlight w:val="none"/>
                <w:lang w:val="en-US" w:eastAsia="zh-CN"/>
              </w:rPr>
              <w:t>施工期对声环境的影响主要来自施工机械噪声，其次是交通噪声和人为噪声。机械噪声主要由施工机械运行所造成，施工作业噪声主要指一些零星的敲打声、装卸车辆的撞击声、吆喝声、拆装模板的撞击声等，多为瞬间噪声；施工车辆的噪声属于交通噪声。项目建设期间使用的建筑机械设备多，且噪声声级强（特别是冲击式打桩机），下表为施工期噪声值较大的机械设备的噪声随距离衰减情况。</w:t>
            </w:r>
          </w:p>
          <w:p>
            <w:pPr>
              <w:bidi w:val="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表4-6 施工机械噪声源强及其对不同距离声环境影响预测结果</w:t>
            </w:r>
          </w:p>
          <w:tbl>
            <w:tblPr>
              <w:tblStyle w:val="27"/>
              <w:tblW w:w="920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34"/>
              <w:gridCol w:w="810"/>
              <w:gridCol w:w="657"/>
              <w:gridCol w:w="657"/>
              <w:gridCol w:w="657"/>
              <w:gridCol w:w="657"/>
              <w:gridCol w:w="657"/>
              <w:gridCol w:w="657"/>
              <w:gridCol w:w="657"/>
              <w:gridCol w:w="657"/>
              <w:gridCol w:w="661"/>
              <w:gridCol w:w="6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995" w:type="pct"/>
                  <w:vMerge w:val="restar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机械类型</w:t>
                  </w:r>
                </w:p>
              </w:tc>
              <w:tc>
                <w:tcPr>
                  <w:tcW w:w="439" w:type="pct"/>
                  <w:vMerge w:val="restar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源强</w:t>
                  </w:r>
                </w:p>
              </w:tc>
              <w:tc>
                <w:tcPr>
                  <w:tcW w:w="3564" w:type="pct"/>
                  <w:gridSpan w:val="10"/>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噪声预测值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5" w:type="pct"/>
                  <w:vMerge w:val="continue"/>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p>
              </w:tc>
              <w:tc>
                <w:tcPr>
                  <w:tcW w:w="439" w:type="pct"/>
                  <w:vMerge w:val="continue"/>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5m</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10m</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20m</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40m</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50m</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100m</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150m</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200m</w:t>
                  </w:r>
                </w:p>
              </w:tc>
              <w:tc>
                <w:tcPr>
                  <w:tcW w:w="358"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300m</w:t>
                  </w:r>
                </w:p>
              </w:tc>
              <w:tc>
                <w:tcPr>
                  <w:tcW w:w="350"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400m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5"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挖土机</w:t>
                  </w:r>
                </w:p>
              </w:tc>
              <w:tc>
                <w:tcPr>
                  <w:tcW w:w="439"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96</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82</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76</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70</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64</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62</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56</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52</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50</w:t>
                  </w:r>
                </w:p>
              </w:tc>
              <w:tc>
                <w:tcPr>
                  <w:tcW w:w="358"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46</w:t>
                  </w:r>
                </w:p>
              </w:tc>
              <w:tc>
                <w:tcPr>
                  <w:tcW w:w="350"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5"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空压机</w:t>
                  </w:r>
                </w:p>
              </w:tc>
              <w:tc>
                <w:tcPr>
                  <w:tcW w:w="439"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85</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71</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65</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59</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53</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51</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45</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41</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39</w:t>
                  </w:r>
                </w:p>
              </w:tc>
              <w:tc>
                <w:tcPr>
                  <w:tcW w:w="358"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35</w:t>
                  </w:r>
                </w:p>
              </w:tc>
              <w:tc>
                <w:tcPr>
                  <w:tcW w:w="350"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5"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载重车</w:t>
                  </w:r>
                </w:p>
              </w:tc>
              <w:tc>
                <w:tcPr>
                  <w:tcW w:w="439"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89</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75</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69</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63</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57</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55</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49</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45</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43</w:t>
                  </w:r>
                </w:p>
              </w:tc>
              <w:tc>
                <w:tcPr>
                  <w:tcW w:w="358"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39</w:t>
                  </w:r>
                </w:p>
              </w:tc>
              <w:tc>
                <w:tcPr>
                  <w:tcW w:w="350"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5"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冲击机</w:t>
                  </w:r>
                </w:p>
              </w:tc>
              <w:tc>
                <w:tcPr>
                  <w:tcW w:w="439"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95</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81</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75</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69</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63</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61</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55</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51</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49</w:t>
                  </w:r>
                </w:p>
              </w:tc>
              <w:tc>
                <w:tcPr>
                  <w:tcW w:w="358"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45</w:t>
                  </w:r>
                </w:p>
              </w:tc>
              <w:tc>
                <w:tcPr>
                  <w:tcW w:w="350"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5"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混凝土输送泵</w:t>
                  </w:r>
                </w:p>
              </w:tc>
              <w:tc>
                <w:tcPr>
                  <w:tcW w:w="439"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95</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81</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75</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69</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63</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61</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55</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51</w:t>
                  </w:r>
                </w:p>
              </w:tc>
              <w:tc>
                <w:tcPr>
                  <w:tcW w:w="356"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49</w:t>
                  </w:r>
                </w:p>
              </w:tc>
              <w:tc>
                <w:tcPr>
                  <w:tcW w:w="358"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45</w:t>
                  </w:r>
                </w:p>
              </w:tc>
              <w:tc>
                <w:tcPr>
                  <w:tcW w:w="350" w:type="pct"/>
                  <w:tcBorders>
                    <w:tl2br w:val="nil"/>
                    <w:tr2bl w:val="nil"/>
                  </w:tcBorders>
                  <w:vAlign w:val="center"/>
                </w:tcPr>
                <w:p>
                  <w:pPr>
                    <w:bidi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43</w:t>
                  </w:r>
                </w:p>
              </w:tc>
            </w:tr>
          </w:tbl>
          <w:p>
            <w:pPr>
              <w:bidi w:val="0"/>
              <w:ind w:firstLine="480" w:firstLineChars="200"/>
              <w:jc w:val="both"/>
              <w:rPr>
                <w:rFonts w:hint="default" w:ascii="Times New Roman" w:hAnsi="Times New Roman" w:cs="Times New Roman"/>
                <w:b/>
                <w:bCs/>
                <w:highlight w:val="none"/>
                <w:vertAlign w:val="baseline"/>
                <w:lang w:val="en-US" w:eastAsia="zh-CN"/>
              </w:rPr>
            </w:pPr>
            <w:r>
              <w:rPr>
                <w:rFonts w:hint="default" w:ascii="Times New Roman" w:hAnsi="Times New Roman" w:cs="Times New Roman"/>
                <w:highlight w:val="none"/>
              </w:rPr>
              <w:t>由上表可知，一般施工机械噪声在场区中心施工时对场界外影响很小，但在场界附近施工时，昼间影响范围达到100m，夜间影响范围达200m。通过优化布局，合理安排施工机械，噪声大的施工机械和施工主体布置在远离居民区等敏感点的区域，合理安排施工时间，在夜间尽量不进行施工等措施后，主体工程施工期噪声对周边居民点环境影响不大。</w:t>
            </w:r>
            <w:r>
              <w:rPr>
                <w:rFonts w:hint="default" w:ascii="Times New Roman" w:hAnsi="Times New Roman" w:cs="Times New Roman"/>
                <w:highlight w:val="none"/>
                <w:lang w:val="en-US" w:eastAsia="zh-CN"/>
              </w:rPr>
              <w:t>且</w:t>
            </w:r>
            <w:r>
              <w:rPr>
                <w:rFonts w:hint="default" w:ascii="Times New Roman" w:hAnsi="Times New Roman" w:cs="Times New Roman"/>
                <w:highlight w:val="none"/>
              </w:rPr>
              <w:t>施工噪声具有阶段性、临时性和不固定性，随着施工阶段的不同，施工噪声影响也不同，施工结束时，施工噪声也自行结束。</w:t>
            </w:r>
          </w:p>
          <w:p>
            <w:pPr>
              <w:bidi w:val="0"/>
              <w:ind w:firstLine="482" w:firstLineChars="200"/>
              <w:jc w:val="both"/>
              <w:rPr>
                <w:rFonts w:hint="default" w:ascii="Times New Roman" w:hAnsi="Times New Roman" w:eastAsia="宋体" w:cs="Times New Roman"/>
                <w:b/>
                <w:bCs/>
                <w:highlight w:val="none"/>
                <w:lang w:val="en-US" w:eastAsia="zh-CN"/>
              </w:rPr>
            </w:pPr>
            <w:r>
              <w:rPr>
                <w:rFonts w:hint="eastAsia" w:ascii="Times New Roman" w:hAnsi="Times New Roman" w:eastAsia="宋体" w:cs="Times New Roman"/>
                <w:b/>
                <w:bCs/>
                <w:highlight w:val="none"/>
                <w:lang w:val="en-US" w:eastAsia="zh-CN"/>
              </w:rPr>
              <w:t>（2）施工噪声防治措施</w:t>
            </w:r>
          </w:p>
          <w:p>
            <w:pPr>
              <w:adjustRightInd w:val="0"/>
              <w:snapToGrid w:val="0"/>
              <w:spacing w:line="360" w:lineRule="auto"/>
              <w:ind w:firstLine="480" w:firstLineChars="200"/>
              <w:jc w:val="left"/>
              <w:rPr>
                <w:rFonts w:hint="default" w:ascii="Times New Roman" w:hAnsi="Times New Roman" w:cs="Times New Roman"/>
                <w:sz w:val="24"/>
                <w:szCs w:val="24"/>
                <w:highlight w:val="none"/>
              </w:rPr>
            </w:pPr>
            <w:r>
              <w:rPr>
                <w:rFonts w:hint="eastAsia" w:ascii="宋体" w:hAnsi="宋体" w:eastAsia="宋体" w:cs="宋体"/>
                <w:sz w:val="24"/>
                <w:szCs w:val="24"/>
                <w:highlight w:val="none"/>
              </w:rPr>
              <w:t>①</w:t>
            </w:r>
            <w:r>
              <w:rPr>
                <w:rFonts w:hint="default" w:ascii="Times New Roman" w:hAnsi="Times New Roman" w:cs="Times New Roman"/>
                <w:sz w:val="24"/>
                <w:szCs w:val="24"/>
                <w:highlight w:val="none"/>
              </w:rPr>
              <w:t>合理选择施工机械，应选用低噪、高效的施工设备，施工过程中对施工设备进行维修保养，避免由于设备性能减退使噪声增大；</w:t>
            </w:r>
          </w:p>
          <w:p>
            <w:pPr>
              <w:adjustRightInd w:val="0"/>
              <w:snapToGrid w:val="0"/>
              <w:spacing w:line="360" w:lineRule="auto"/>
              <w:ind w:firstLine="480" w:firstLineChars="200"/>
              <w:jc w:val="left"/>
              <w:rPr>
                <w:rFonts w:hint="default" w:ascii="Times New Roman" w:hAnsi="Times New Roman" w:cs="Times New Roman"/>
                <w:sz w:val="24"/>
                <w:szCs w:val="24"/>
                <w:highlight w:val="none"/>
              </w:rPr>
            </w:pPr>
            <w:r>
              <w:rPr>
                <w:rFonts w:hint="eastAsia" w:ascii="宋体" w:hAnsi="宋体" w:eastAsia="宋体" w:cs="宋体"/>
                <w:sz w:val="24"/>
                <w:szCs w:val="24"/>
                <w:highlight w:val="none"/>
              </w:rPr>
              <w:t>②</w:t>
            </w:r>
            <w:r>
              <w:rPr>
                <w:rFonts w:hint="default" w:ascii="Times New Roman" w:hAnsi="Times New Roman" w:cs="Times New Roman"/>
                <w:sz w:val="24"/>
                <w:szCs w:val="24"/>
                <w:highlight w:val="none"/>
              </w:rPr>
              <w:t>合理选择施工方法，并加强管理，施工过程中应做到文明生产；</w:t>
            </w:r>
          </w:p>
          <w:p>
            <w:pPr>
              <w:adjustRightInd w:val="0"/>
              <w:snapToGrid w:val="0"/>
              <w:spacing w:line="360" w:lineRule="auto"/>
              <w:ind w:firstLine="480" w:firstLineChars="200"/>
              <w:jc w:val="left"/>
              <w:rPr>
                <w:rFonts w:hint="default" w:ascii="Times New Roman" w:hAnsi="Times New Roman" w:cs="Times New Roman"/>
                <w:sz w:val="24"/>
                <w:szCs w:val="24"/>
                <w:highlight w:val="none"/>
              </w:rPr>
            </w:pPr>
            <w:r>
              <w:rPr>
                <w:rFonts w:hint="eastAsia" w:ascii="宋体" w:hAnsi="宋体" w:eastAsia="宋体" w:cs="宋体"/>
                <w:sz w:val="24"/>
                <w:szCs w:val="24"/>
                <w:highlight w:val="none"/>
              </w:rPr>
              <w:t>③</w:t>
            </w:r>
            <w:r>
              <w:rPr>
                <w:rFonts w:hint="default" w:ascii="Times New Roman" w:hAnsi="Times New Roman" w:cs="Times New Roman"/>
                <w:sz w:val="24"/>
                <w:szCs w:val="24"/>
                <w:highlight w:val="none"/>
              </w:rPr>
              <w:t>合理选择施工时间，施工过程中应严格控制各施工机械的施工时间，主要噪声源尽量安排在昼间非正常休息时间内进行的要求，中午</w:t>
            </w:r>
            <w:r>
              <w:rPr>
                <w:rFonts w:hint="default" w:ascii="Times New Roman" w:hAnsi="Times New Roman" w:eastAsia="TimesNewRomanPSMT" w:cs="Times New Roman"/>
                <w:sz w:val="24"/>
                <w:szCs w:val="24"/>
                <w:highlight w:val="none"/>
              </w:rPr>
              <w:t>12</w:t>
            </w:r>
            <w:r>
              <w:rPr>
                <w:rFonts w:hint="default" w:ascii="Times New Roman" w:hAnsi="Times New Roman" w:cs="Times New Roman"/>
                <w:sz w:val="24"/>
                <w:szCs w:val="24"/>
                <w:highlight w:val="none"/>
              </w:rPr>
              <w:t>：</w:t>
            </w:r>
            <w:r>
              <w:rPr>
                <w:rFonts w:hint="default" w:ascii="Times New Roman" w:hAnsi="Times New Roman" w:eastAsia="TimesNewRomanPSMT" w:cs="Times New Roman"/>
                <w:sz w:val="24"/>
                <w:szCs w:val="24"/>
                <w:highlight w:val="none"/>
              </w:rPr>
              <w:t>00~14:00</w:t>
            </w:r>
            <w:r>
              <w:rPr>
                <w:rFonts w:hint="default" w:ascii="Times New Roman" w:hAnsi="Times New Roman" w:cs="Times New Roman"/>
                <w:sz w:val="24"/>
                <w:szCs w:val="24"/>
                <w:highlight w:val="none"/>
              </w:rPr>
              <w:t>及夜</w:t>
            </w:r>
            <w:r>
              <w:rPr>
                <w:rFonts w:hint="default" w:ascii="Times New Roman" w:hAnsi="Times New Roman" w:eastAsia="TimesNewRomanPSMT" w:cs="Times New Roman"/>
                <w:sz w:val="24"/>
                <w:szCs w:val="24"/>
                <w:highlight w:val="none"/>
              </w:rPr>
              <w:t>22</w:t>
            </w:r>
            <w:r>
              <w:rPr>
                <w:rFonts w:hint="default" w:ascii="Times New Roman" w:hAnsi="Times New Roman" w:cs="Times New Roman"/>
                <w:sz w:val="24"/>
                <w:szCs w:val="24"/>
                <w:highlight w:val="none"/>
              </w:rPr>
              <w:t>：</w:t>
            </w:r>
            <w:r>
              <w:rPr>
                <w:rFonts w:hint="default" w:ascii="Times New Roman" w:hAnsi="Times New Roman" w:eastAsia="TimesNewRomanPSMT" w:cs="Times New Roman"/>
                <w:sz w:val="24"/>
                <w:szCs w:val="24"/>
                <w:highlight w:val="none"/>
              </w:rPr>
              <w:t>00</w:t>
            </w:r>
            <w:r>
              <w:rPr>
                <w:rFonts w:hint="default" w:ascii="Times New Roman" w:hAnsi="Times New Roman" w:cs="Times New Roman"/>
                <w:sz w:val="24"/>
                <w:szCs w:val="24"/>
                <w:highlight w:val="none"/>
              </w:rPr>
              <w:t>～翌日</w:t>
            </w:r>
            <w:r>
              <w:rPr>
                <w:rFonts w:hint="default" w:ascii="Times New Roman" w:hAnsi="Times New Roman" w:eastAsia="TimesNewRomanPSMT" w:cs="Times New Roman"/>
                <w:sz w:val="24"/>
                <w:szCs w:val="24"/>
                <w:highlight w:val="none"/>
              </w:rPr>
              <w:t>6</w:t>
            </w:r>
            <w:r>
              <w:rPr>
                <w:rFonts w:hint="default" w:ascii="Times New Roman" w:hAnsi="Times New Roman" w:cs="Times New Roman"/>
                <w:sz w:val="24"/>
                <w:szCs w:val="24"/>
                <w:highlight w:val="none"/>
              </w:rPr>
              <w:t>：</w:t>
            </w:r>
            <w:r>
              <w:rPr>
                <w:rFonts w:hint="default" w:ascii="Times New Roman" w:hAnsi="Times New Roman" w:eastAsia="TimesNewRomanPSMT" w:cs="Times New Roman"/>
                <w:sz w:val="24"/>
                <w:szCs w:val="24"/>
                <w:highlight w:val="none"/>
              </w:rPr>
              <w:t>00</w:t>
            </w:r>
            <w:r>
              <w:rPr>
                <w:rFonts w:hint="default" w:ascii="Times New Roman" w:hAnsi="Times New Roman" w:cs="Times New Roman"/>
                <w:sz w:val="24"/>
                <w:szCs w:val="24"/>
                <w:highlight w:val="none"/>
              </w:rPr>
              <w:t>禁止机械施工，同时应避免高噪声设备同时施工；</w:t>
            </w:r>
          </w:p>
          <w:p>
            <w:pPr>
              <w:adjustRightInd w:val="0"/>
              <w:snapToGrid w:val="0"/>
              <w:spacing w:line="360" w:lineRule="auto"/>
              <w:ind w:firstLine="480" w:firstLineChars="200"/>
              <w:jc w:val="left"/>
              <w:rPr>
                <w:rFonts w:hint="default" w:ascii="Times New Roman" w:hAnsi="Times New Roman" w:cs="Times New Roman"/>
                <w:sz w:val="24"/>
                <w:szCs w:val="24"/>
                <w:highlight w:val="none"/>
              </w:rPr>
            </w:pPr>
            <w:r>
              <w:rPr>
                <w:rFonts w:hint="eastAsia" w:ascii="宋体" w:hAnsi="宋体" w:eastAsia="宋体" w:cs="宋体"/>
                <w:sz w:val="24"/>
                <w:szCs w:val="24"/>
                <w:highlight w:val="none"/>
              </w:rPr>
              <w:t>④</w:t>
            </w:r>
            <w:r>
              <w:rPr>
                <w:rFonts w:hint="default" w:ascii="Times New Roman" w:hAnsi="Times New Roman" w:cs="Times New Roman"/>
                <w:sz w:val="24"/>
                <w:szCs w:val="24"/>
                <w:highlight w:val="none"/>
              </w:rPr>
              <w:t>建设工程工地应在项目四周周边设置围墙隔声，高噪声设备设置隔音、减噪措施，施工场地出口避开环境敏感点位，各种材料、金属的切割工作一律在现场的作业棚内进行，作业棚搭成封闭式；</w:t>
            </w:r>
          </w:p>
          <w:p>
            <w:pPr>
              <w:adjustRightInd w:val="0"/>
              <w:snapToGrid w:val="0"/>
              <w:spacing w:line="360" w:lineRule="auto"/>
              <w:ind w:firstLine="480" w:firstLineChars="200"/>
              <w:jc w:val="left"/>
              <w:rPr>
                <w:rFonts w:hint="eastAsia" w:ascii="Times New Roman" w:hAnsi="Times New Roman" w:eastAsia="宋体" w:cs="Times New Roman"/>
                <w:sz w:val="24"/>
                <w:szCs w:val="24"/>
                <w:highlight w:val="none"/>
                <w:lang w:eastAsia="zh-CN"/>
              </w:rPr>
            </w:pPr>
            <w:r>
              <w:rPr>
                <w:rFonts w:hint="eastAsia" w:ascii="宋体" w:hAnsi="宋体" w:eastAsia="宋体" w:cs="宋体"/>
                <w:sz w:val="24"/>
                <w:szCs w:val="24"/>
                <w:highlight w:val="none"/>
              </w:rPr>
              <w:t>⑤</w:t>
            </w:r>
            <w:r>
              <w:rPr>
                <w:rFonts w:hint="default" w:ascii="Times New Roman" w:hAnsi="Times New Roman" w:cs="Times New Roman"/>
                <w:sz w:val="24"/>
                <w:szCs w:val="24"/>
                <w:highlight w:val="none"/>
              </w:rPr>
              <w:t>合理选择物料运输路线，物料运输过程中应尽量选择敏感目标相对较少的线路，从沿线敏感目标附近经过和出入现场时应低速行驶，禁鸣喇叭</w:t>
            </w:r>
            <w:r>
              <w:rPr>
                <w:rFonts w:hint="eastAsia" w:ascii="Times New Roman" w:hAnsi="Times New Roman" w:cs="Times New Roman"/>
                <w:sz w:val="24"/>
                <w:szCs w:val="24"/>
                <w:highlight w:val="none"/>
                <w:lang w:eastAsia="zh-CN"/>
              </w:rPr>
              <w:t>。</w:t>
            </w:r>
          </w:p>
          <w:p>
            <w:pPr>
              <w:adjustRightInd w:val="0"/>
              <w:snapToGrid w:val="0"/>
              <w:spacing w:line="360" w:lineRule="auto"/>
              <w:ind w:firstLine="480" w:firstLineChars="200"/>
              <w:jc w:val="left"/>
              <w:rPr>
                <w:rFonts w:hint="default" w:ascii="Times New Roman" w:hAnsi="Times New Roman" w:cs="Times New Roman"/>
                <w:spacing w:val="-9"/>
                <w:szCs w:val="24"/>
                <w:highlight w:val="none"/>
              </w:rPr>
            </w:pPr>
            <w:r>
              <w:rPr>
                <w:rFonts w:hint="default" w:ascii="Times New Roman" w:hAnsi="Times New Roman" w:cs="Times New Roman"/>
                <w:sz w:val="24"/>
                <w:szCs w:val="24"/>
                <w:highlight w:val="none"/>
              </w:rPr>
              <w:t>采取上述措施之后，切实保障了施工场界周围敏感目标的正常生活、休息秩序，控制了噪声扰民纠纷的主要起因，尽管施工噪声对环境产生一定的不利影响，但其影响具有阶段性、临时性和不固定性，一旦施工活动结束，施工噪声和振动也就随之结束。</w:t>
            </w:r>
          </w:p>
          <w:p>
            <w:pPr>
              <w:bidi w:val="0"/>
              <w:jc w:val="both"/>
              <w:rPr>
                <w:rFonts w:hint="default" w:ascii="Times New Roman" w:hAnsi="Times New Roman" w:eastAsia="宋体" w:cs="Times New Roman"/>
                <w:b/>
                <w:bCs/>
                <w:highlight w:val="none"/>
                <w:lang w:val="en-US" w:eastAsia="zh-CN"/>
              </w:rPr>
            </w:pPr>
            <w:r>
              <w:rPr>
                <w:rFonts w:hint="eastAsia" w:ascii="Times New Roman" w:hAnsi="Times New Roman" w:eastAsia="宋体" w:cs="Times New Roman"/>
                <w:b/>
                <w:bCs/>
                <w:highlight w:val="none"/>
                <w:lang w:val="en-US" w:eastAsia="zh-CN"/>
              </w:rPr>
              <w:t>4、施工期固废</w:t>
            </w:r>
          </w:p>
          <w:p>
            <w:pPr>
              <w:bidi w:val="0"/>
              <w:ind w:firstLine="480" w:firstLineChars="200"/>
              <w:jc w:val="both"/>
              <w:rPr>
                <w:rFonts w:hint="default" w:ascii="Times New Roman" w:hAnsi="Times New Roman" w:cs="Times New Roman"/>
                <w:highlight w:val="none"/>
                <w:u w:val="single"/>
              </w:rPr>
            </w:pPr>
            <w:r>
              <w:rPr>
                <w:rFonts w:hint="default" w:ascii="Times New Roman" w:hAnsi="Times New Roman" w:cs="Times New Roman"/>
                <w:highlight w:val="none"/>
              </w:rPr>
              <w:t>施工期固体废物主要包括</w:t>
            </w:r>
            <w:r>
              <w:rPr>
                <w:rFonts w:hint="eastAsia"/>
                <w:highlight w:val="none"/>
                <w:u w:val="single"/>
                <w:lang w:val="en-US" w:eastAsia="zh-CN"/>
              </w:rPr>
              <w:t>土石方、</w:t>
            </w:r>
            <w:r>
              <w:rPr>
                <w:rFonts w:hint="default" w:ascii="Times New Roman" w:hAnsi="Times New Roman" w:cs="Times New Roman"/>
                <w:highlight w:val="none"/>
                <w:u w:val="single"/>
              </w:rPr>
              <w:t>施工人员生活垃圾</w:t>
            </w:r>
            <w:r>
              <w:rPr>
                <w:rFonts w:hint="eastAsia" w:cs="Times New Roman"/>
                <w:highlight w:val="none"/>
                <w:u w:val="single"/>
                <w:lang w:eastAsia="zh-CN"/>
              </w:rPr>
              <w:t>、</w:t>
            </w:r>
            <w:r>
              <w:rPr>
                <w:rFonts w:hint="eastAsia" w:cs="Times New Roman"/>
                <w:highlight w:val="none"/>
                <w:u w:val="single"/>
                <w:lang w:val="en-US" w:eastAsia="zh-CN"/>
              </w:rPr>
              <w:t>沉淀池污泥及</w:t>
            </w:r>
            <w:r>
              <w:rPr>
                <w:rFonts w:hint="default" w:ascii="Times New Roman" w:hAnsi="Times New Roman" w:cs="Times New Roman"/>
                <w:highlight w:val="none"/>
                <w:u w:val="single"/>
              </w:rPr>
              <w:t>建筑垃圾</w:t>
            </w:r>
            <w:r>
              <w:rPr>
                <w:rFonts w:hint="default" w:ascii="Times New Roman" w:hAnsi="Times New Roman" w:cs="Times New Roman"/>
                <w:highlight w:val="none"/>
                <w:u w:val="single"/>
                <w:lang w:val="en-US" w:eastAsia="zh-CN"/>
              </w:rPr>
              <w:t>等</w:t>
            </w:r>
            <w:r>
              <w:rPr>
                <w:rFonts w:hint="default" w:ascii="Times New Roman" w:hAnsi="Times New Roman" w:cs="Times New Roman"/>
                <w:highlight w:val="none"/>
                <w:u w:val="single"/>
              </w:rPr>
              <w:t>。</w:t>
            </w:r>
          </w:p>
          <w:p>
            <w:pPr>
              <w:bidi w:val="0"/>
              <w:ind w:firstLine="480" w:firstLineChars="200"/>
              <w:jc w:val="both"/>
              <w:rPr>
                <w:rFonts w:hint="default" w:ascii="Times New Roman" w:hAnsi="Times New Roman" w:cs="Times New Roman"/>
                <w:highlight w:val="none"/>
                <w:u w:val="single"/>
              </w:rPr>
            </w:pPr>
            <w:r>
              <w:rPr>
                <w:rFonts w:hint="default" w:ascii="Times New Roman" w:hAnsi="Times New Roman" w:cs="Times New Roman"/>
                <w:highlight w:val="none"/>
                <w:u w:val="single"/>
              </w:rPr>
              <w:t>土石方：</w:t>
            </w:r>
            <w:r>
              <w:rPr>
                <w:rFonts w:hint="eastAsia" w:cs="Times New Roman"/>
                <w:highlight w:val="none"/>
                <w:u w:val="single"/>
                <w:lang w:val="en-US" w:eastAsia="zh-CN"/>
              </w:rPr>
              <w:t>根据《临湘市忠防镇木形片区集中供水工程（一期）水土保持方案报告表》：本项目总挖方0.25万m</w:t>
            </w:r>
            <w:r>
              <w:rPr>
                <w:rFonts w:hint="eastAsia" w:cs="Times New Roman"/>
                <w:highlight w:val="none"/>
                <w:u w:val="single"/>
                <w:vertAlign w:val="superscript"/>
                <w:lang w:val="en-US" w:eastAsia="zh-CN"/>
              </w:rPr>
              <w:t>3</w:t>
            </w:r>
            <w:r>
              <w:rPr>
                <w:rFonts w:hint="eastAsia" w:cs="Times New Roman"/>
                <w:highlight w:val="none"/>
                <w:u w:val="single"/>
                <w:lang w:val="en-US" w:eastAsia="zh-CN"/>
              </w:rPr>
              <w:t>（土方为0.23万m</w:t>
            </w:r>
            <w:r>
              <w:rPr>
                <w:rFonts w:hint="eastAsia" w:cs="Times New Roman"/>
                <w:highlight w:val="none"/>
                <w:u w:val="single"/>
                <w:vertAlign w:val="superscript"/>
                <w:lang w:val="en-US" w:eastAsia="zh-CN"/>
              </w:rPr>
              <w:t>3</w:t>
            </w:r>
            <w:r>
              <w:rPr>
                <w:rFonts w:hint="eastAsia" w:cs="Times New Roman"/>
                <w:highlight w:val="none"/>
                <w:u w:val="single"/>
                <w:lang w:val="en-US" w:eastAsia="zh-CN"/>
              </w:rPr>
              <w:t>，表土剥离为0.02万m</w:t>
            </w:r>
            <w:r>
              <w:rPr>
                <w:rFonts w:hint="eastAsia" w:cs="Times New Roman"/>
                <w:highlight w:val="none"/>
                <w:u w:val="single"/>
                <w:vertAlign w:val="superscript"/>
                <w:lang w:val="en-US" w:eastAsia="zh-CN"/>
              </w:rPr>
              <w:t>3</w:t>
            </w:r>
            <w:r>
              <w:rPr>
                <w:rFonts w:hint="eastAsia" w:cs="Times New Roman"/>
                <w:highlight w:val="none"/>
                <w:u w:val="single"/>
                <w:lang w:val="en-US" w:eastAsia="zh-CN"/>
              </w:rPr>
              <w:t>），总填方0.25万m</w:t>
            </w:r>
            <w:r>
              <w:rPr>
                <w:rFonts w:hint="eastAsia" w:cs="Times New Roman"/>
                <w:highlight w:val="none"/>
                <w:u w:val="single"/>
                <w:vertAlign w:val="superscript"/>
                <w:lang w:val="en-US" w:eastAsia="zh-CN"/>
              </w:rPr>
              <w:t>3</w:t>
            </w:r>
            <w:r>
              <w:rPr>
                <w:rFonts w:hint="eastAsia" w:cs="Times New Roman"/>
                <w:highlight w:val="none"/>
                <w:u w:val="single"/>
                <w:lang w:val="en-US" w:eastAsia="zh-CN"/>
              </w:rPr>
              <w:t>（土方为0.23万m</w:t>
            </w:r>
            <w:r>
              <w:rPr>
                <w:rFonts w:hint="eastAsia" w:cs="Times New Roman"/>
                <w:highlight w:val="none"/>
                <w:u w:val="single"/>
                <w:vertAlign w:val="superscript"/>
                <w:lang w:val="en-US" w:eastAsia="zh-CN"/>
              </w:rPr>
              <w:t>3</w:t>
            </w:r>
            <w:r>
              <w:rPr>
                <w:rFonts w:hint="eastAsia" w:cs="Times New Roman"/>
                <w:highlight w:val="none"/>
                <w:u w:val="single"/>
                <w:lang w:val="en-US" w:eastAsia="zh-CN"/>
              </w:rPr>
              <w:t>，表土回填为0.02万m</w:t>
            </w:r>
            <w:r>
              <w:rPr>
                <w:rFonts w:hint="eastAsia" w:cs="Times New Roman"/>
                <w:highlight w:val="none"/>
                <w:u w:val="single"/>
                <w:vertAlign w:val="superscript"/>
                <w:lang w:val="en-US" w:eastAsia="zh-CN"/>
              </w:rPr>
              <w:t>3</w:t>
            </w:r>
            <w:r>
              <w:rPr>
                <w:rFonts w:hint="eastAsia" w:cs="Times New Roman"/>
                <w:highlight w:val="none"/>
                <w:u w:val="single"/>
                <w:lang w:val="en-US" w:eastAsia="zh-CN"/>
              </w:rPr>
              <w:t>），经过土方回填后实现厂区内土石方平衡</w:t>
            </w:r>
            <w:r>
              <w:rPr>
                <w:rFonts w:hint="default" w:ascii="Times New Roman" w:hAnsi="Times New Roman" w:cs="Times New Roman"/>
                <w:highlight w:val="none"/>
                <w:u w:val="single"/>
              </w:rPr>
              <w:t>。</w:t>
            </w:r>
          </w:p>
          <w:p>
            <w:pPr>
              <w:bidi w:val="0"/>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施工建筑垃圾：根据建筑有关资料，施工期建筑产生系数为20-40kg/m</w:t>
            </w:r>
            <w:r>
              <w:rPr>
                <w:rFonts w:hint="default" w:ascii="Times New Roman" w:hAnsi="Times New Roman" w:cs="Times New Roman"/>
                <w:highlight w:val="none"/>
                <w:vertAlign w:val="superscript"/>
              </w:rPr>
              <w:t>2</w:t>
            </w:r>
            <w:r>
              <w:rPr>
                <w:rFonts w:hint="default" w:ascii="Times New Roman" w:hAnsi="Times New Roman" w:cs="Times New Roman"/>
                <w:highlight w:val="none"/>
              </w:rPr>
              <w:t>，项目建筑垃圾产生量取中间值30kg/m</w:t>
            </w:r>
            <w:r>
              <w:rPr>
                <w:rFonts w:hint="default" w:ascii="Times New Roman" w:hAnsi="Times New Roman" w:cs="Times New Roman"/>
                <w:highlight w:val="none"/>
                <w:vertAlign w:val="superscript"/>
              </w:rPr>
              <w:t>2</w:t>
            </w:r>
            <w:r>
              <w:rPr>
                <w:rFonts w:hint="default" w:ascii="Times New Roman" w:hAnsi="Times New Roman" w:cs="Times New Roman"/>
                <w:highlight w:val="none"/>
              </w:rPr>
              <w:t>，项目总</w:t>
            </w:r>
            <w:r>
              <w:rPr>
                <w:rFonts w:hint="eastAsia" w:cs="Times New Roman"/>
                <w:highlight w:val="none"/>
                <w:lang w:val="en-US" w:eastAsia="zh-CN"/>
              </w:rPr>
              <w:t>占地</w:t>
            </w:r>
            <w:r>
              <w:rPr>
                <w:rFonts w:hint="default" w:ascii="Times New Roman" w:hAnsi="Times New Roman" w:cs="Times New Roman"/>
                <w:highlight w:val="none"/>
              </w:rPr>
              <w:t>面积为</w:t>
            </w:r>
            <w:r>
              <w:rPr>
                <w:rFonts w:hint="eastAsia" w:ascii="Times New Roman" w:hAnsi="Times New Roman" w:cs="Times New Roman"/>
                <w:highlight w:val="none"/>
                <w:lang w:val="en-US" w:eastAsia="zh-CN"/>
              </w:rPr>
              <w:t>1875</w:t>
            </w:r>
            <w:r>
              <w:rPr>
                <w:rFonts w:hint="default" w:ascii="Times New Roman" w:hAnsi="Times New Roman" w:cs="Times New Roman"/>
                <w:highlight w:val="none"/>
              </w:rPr>
              <w:t>m</w:t>
            </w:r>
            <w:r>
              <w:rPr>
                <w:rFonts w:hint="default" w:ascii="Times New Roman" w:hAnsi="Times New Roman" w:cs="Times New Roman"/>
                <w:highlight w:val="none"/>
                <w:vertAlign w:val="superscript"/>
              </w:rPr>
              <w:t>2</w:t>
            </w:r>
            <w:r>
              <w:rPr>
                <w:rFonts w:hint="default" w:ascii="Times New Roman" w:hAnsi="Times New Roman" w:cs="Times New Roman"/>
                <w:highlight w:val="none"/>
              </w:rPr>
              <w:t>，施工阶段建筑垃圾产生总量</w:t>
            </w:r>
            <w:r>
              <w:rPr>
                <w:rFonts w:hint="default" w:ascii="Times New Roman" w:hAnsi="Times New Roman" w:cs="Times New Roman"/>
                <w:highlight w:val="none"/>
                <w:lang w:val="en-US" w:eastAsia="zh-CN"/>
              </w:rPr>
              <w:t>约</w:t>
            </w:r>
            <w:r>
              <w:rPr>
                <w:rFonts w:hint="default" w:ascii="Times New Roman" w:hAnsi="Times New Roman" w:cs="Times New Roman"/>
                <w:highlight w:val="none"/>
              </w:rPr>
              <w:t>为</w:t>
            </w:r>
            <w:r>
              <w:rPr>
                <w:rFonts w:hint="eastAsia" w:ascii="Times New Roman" w:hAnsi="Times New Roman" w:cs="Times New Roman"/>
                <w:highlight w:val="none"/>
                <w:lang w:val="en-US" w:eastAsia="zh-CN"/>
              </w:rPr>
              <w:t xml:space="preserve">56.25 </w:t>
            </w:r>
            <w:r>
              <w:rPr>
                <w:rFonts w:hint="default" w:ascii="Times New Roman" w:hAnsi="Times New Roman" w:cs="Times New Roman"/>
                <w:highlight w:val="none"/>
              </w:rPr>
              <w:t>t。</w:t>
            </w:r>
          </w:p>
          <w:p>
            <w:pPr>
              <w:bidi w:val="0"/>
              <w:ind w:firstLine="480" w:firstLineChars="200"/>
              <w:jc w:val="both"/>
              <w:rPr>
                <w:rFonts w:hint="default" w:ascii="Times New Roman" w:hAnsi="Times New Roman" w:eastAsia="宋体" w:cs="Times New Roman"/>
                <w:highlight w:val="none"/>
                <w:u w:val="single"/>
                <w:lang w:val="en-US" w:eastAsia="zh-CN"/>
              </w:rPr>
            </w:pPr>
            <w:r>
              <w:rPr>
                <w:rFonts w:hint="eastAsia" w:cs="Times New Roman"/>
                <w:highlight w:val="none"/>
                <w:u w:val="single"/>
                <w:lang w:val="en-US" w:eastAsia="zh-CN"/>
              </w:rPr>
              <w:t>沉淀池污泥：项目施工期废水经沉淀池收集，沉淀池内淤泥定期清掏后与建筑垃圾一起清运至有关部门指定的建筑垃圾堆填地点处置。</w:t>
            </w:r>
          </w:p>
          <w:p>
            <w:pPr>
              <w:bidi w:val="0"/>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施工人员垃圾：项目施工期工人数平均约</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0人/d，施工期约</w:t>
            </w:r>
            <w:r>
              <w:rPr>
                <w:rFonts w:hint="eastAsia" w:ascii="Times New Roman" w:hAnsi="Times New Roman" w:cs="Times New Roman"/>
                <w:highlight w:val="none"/>
                <w:lang w:val="en-US" w:eastAsia="zh-CN"/>
              </w:rPr>
              <w:t>8</w:t>
            </w:r>
            <w:r>
              <w:rPr>
                <w:rFonts w:hint="default" w:ascii="Times New Roman" w:hAnsi="Times New Roman" w:cs="Times New Roman"/>
                <w:highlight w:val="none"/>
              </w:rPr>
              <w:t>个月，生活垃圾产生量按每人0.5kg/d计，则固废产生量为</w:t>
            </w:r>
            <w:r>
              <w:rPr>
                <w:rFonts w:hint="default" w:ascii="Times New Roman" w:hAnsi="Times New Roman" w:cs="Times New Roman"/>
                <w:highlight w:val="none"/>
                <w:lang w:val="en-US" w:eastAsia="zh-CN"/>
              </w:rPr>
              <w:t>25</w:t>
            </w:r>
            <w:r>
              <w:rPr>
                <w:rFonts w:hint="default" w:ascii="Times New Roman" w:hAnsi="Times New Roman" w:cs="Times New Roman"/>
                <w:highlight w:val="none"/>
              </w:rPr>
              <w:t>kg/d。</w:t>
            </w:r>
          </w:p>
          <w:p>
            <w:pPr>
              <w:bidi w:val="0"/>
              <w:ind w:firstLine="482" w:firstLineChars="200"/>
              <w:jc w:val="both"/>
              <w:rPr>
                <w:rFonts w:hint="default" w:ascii="Times New Roman" w:hAnsi="Times New Roman" w:eastAsia="宋体" w:cs="Times New Roman"/>
                <w:b/>
                <w:bCs/>
                <w:highlight w:val="none"/>
                <w:lang w:val="en-US" w:eastAsia="zh-CN"/>
              </w:rPr>
            </w:pPr>
            <w:r>
              <w:rPr>
                <w:rFonts w:hint="eastAsia" w:ascii="Times New Roman" w:hAnsi="Times New Roman" w:eastAsia="宋体" w:cs="Times New Roman"/>
                <w:b/>
                <w:bCs/>
                <w:highlight w:val="none"/>
                <w:lang w:val="en-US" w:eastAsia="zh-CN"/>
              </w:rPr>
              <w:t>（1）固废防治措施</w:t>
            </w:r>
          </w:p>
          <w:p>
            <w:pPr>
              <w:tabs>
                <w:tab w:val="left" w:pos="660"/>
              </w:tabs>
              <w:adjustRightInd w:val="0"/>
              <w:snapToGrid w:val="0"/>
              <w:spacing w:line="360" w:lineRule="auto"/>
              <w:ind w:firstLine="480" w:firstLineChars="200"/>
              <w:jc w:val="left"/>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t>施工期间固体废物主要来自项目建筑新建过程产生的</w:t>
            </w:r>
            <w:r>
              <w:rPr>
                <w:rFonts w:hint="eastAsia"/>
                <w:highlight w:val="none"/>
                <w:lang w:val="en-US" w:eastAsia="zh-CN"/>
              </w:rPr>
              <w:t>土石方、</w:t>
            </w:r>
            <w:r>
              <w:rPr>
                <w:rFonts w:hint="default" w:ascii="Times New Roman" w:hAnsi="Times New Roman" w:cs="Times New Roman"/>
                <w:bCs/>
                <w:sz w:val="24"/>
                <w:szCs w:val="24"/>
                <w:highlight w:val="none"/>
              </w:rPr>
              <w:t>建筑垃圾</w:t>
            </w:r>
            <w:r>
              <w:rPr>
                <w:rFonts w:hint="eastAsia" w:cs="Times New Roman"/>
                <w:bCs/>
                <w:sz w:val="24"/>
                <w:szCs w:val="24"/>
                <w:highlight w:val="none"/>
                <w:lang w:val="en-US" w:eastAsia="zh-CN"/>
              </w:rPr>
              <w:t>以及</w:t>
            </w:r>
            <w:r>
              <w:rPr>
                <w:rFonts w:hint="default" w:ascii="Times New Roman" w:hAnsi="Times New Roman" w:cs="Times New Roman"/>
                <w:bCs/>
                <w:sz w:val="24"/>
                <w:szCs w:val="24"/>
                <w:highlight w:val="none"/>
              </w:rPr>
              <w:t>施工人员的生活垃圾等。针对不同固体废物在施工现场应采取定点临时堆放，分类收集，分别处理的防治措施。</w:t>
            </w:r>
          </w:p>
          <w:p>
            <w:pPr>
              <w:tabs>
                <w:tab w:val="left" w:pos="660"/>
              </w:tabs>
              <w:adjustRightInd w:val="0"/>
              <w:snapToGrid w:val="0"/>
              <w:spacing w:line="360" w:lineRule="auto"/>
              <w:ind w:firstLine="480" w:firstLineChars="200"/>
              <w:jc w:val="left"/>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t>工程建设过程中产生的建筑材料的边角废料、多余土方等，通过回收、平整场地利用和填筑道路等措施，避免固废进入环境，从根本上减少固体废物的处理量和固废运输对环境的影响。</w:t>
            </w:r>
          </w:p>
          <w:p>
            <w:pPr>
              <w:tabs>
                <w:tab w:val="left" w:pos="660"/>
              </w:tabs>
              <w:adjustRightInd w:val="0"/>
              <w:snapToGrid w:val="0"/>
              <w:spacing w:line="360" w:lineRule="auto"/>
              <w:ind w:firstLine="480" w:firstLineChars="200"/>
              <w:jc w:val="left"/>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t>施工人员的生活垃圾及时收集到指定的垃圾箱（桶）内，由当地环卫部门统一及时清运处理。</w:t>
            </w:r>
          </w:p>
          <w:p>
            <w:pPr>
              <w:tabs>
                <w:tab w:val="left" w:pos="660"/>
              </w:tabs>
              <w:adjustRightInd w:val="0"/>
              <w:snapToGrid w:val="0"/>
              <w:spacing w:line="360" w:lineRule="auto"/>
              <w:ind w:firstLine="480" w:firstLineChars="200"/>
              <w:jc w:val="left"/>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t>车辆运输散体物和废弃物时，必须密封、覆盖，不得沿途撒漏；运载土方的车辆必须在规定的时间内，按指定路段行驶，禁止在处置场地以外倾倒工程渣土，禁止在处置场地将工程渣土与其他城市生活垃圾混合倾倒。</w:t>
            </w:r>
          </w:p>
          <w:p>
            <w:pPr>
              <w:tabs>
                <w:tab w:val="left" w:pos="660"/>
              </w:tabs>
              <w:adjustRightInd w:val="0"/>
              <w:snapToGrid w:val="0"/>
              <w:spacing w:line="360" w:lineRule="auto"/>
              <w:ind w:firstLine="480" w:firstLineChars="200"/>
              <w:jc w:val="left"/>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t>施工结束后，及时清理施工现场，废弃的建筑材料送到指定地点处置。采取上述措施后，施工固体废物均可得到有效处理处置。</w:t>
            </w:r>
          </w:p>
          <w:p>
            <w:pPr>
              <w:bidi w:val="0"/>
              <w:jc w:val="both"/>
              <w:rPr>
                <w:rFonts w:hint="default" w:ascii="Times New Roman" w:hAnsi="Times New Roman" w:eastAsia="宋体" w:cs="Times New Roman"/>
                <w:b/>
                <w:bCs/>
                <w:highlight w:val="none"/>
                <w:lang w:val="en-US" w:eastAsia="zh-CN"/>
              </w:rPr>
            </w:pPr>
            <w:r>
              <w:rPr>
                <w:rFonts w:hint="eastAsia" w:ascii="Times New Roman" w:hAnsi="Times New Roman" w:eastAsia="宋体" w:cs="Times New Roman"/>
                <w:b/>
                <w:bCs/>
                <w:highlight w:val="none"/>
                <w:lang w:val="en-US" w:eastAsia="zh-CN"/>
              </w:rPr>
              <w:t>5、生态影响</w:t>
            </w:r>
          </w:p>
          <w:p>
            <w:pPr>
              <w:numPr>
                <w:ilvl w:val="0"/>
                <w:numId w:val="0"/>
              </w:numPr>
              <w:bidi w:val="0"/>
              <w:ind w:firstLine="480" w:firstLineChars="20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施工过程中由于工程需要开挖将对地表产生扰动，造成一定的水土流失，在基坑开挖等过程中尤为明显，受扰动的空闲裸露地表遇雨易产生水土流失。开挖出的土方全部用于场区回填及进场道路填筑，不需借土，也无弃土产生。</w:t>
            </w:r>
          </w:p>
          <w:p>
            <w:pPr>
              <w:bidi w:val="0"/>
              <w:ind w:firstLine="482" w:firstLineChars="200"/>
              <w:jc w:val="both"/>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（1）对土地利用的影响</w:t>
            </w:r>
          </w:p>
          <w:p>
            <w:pPr>
              <w:bidi w:val="0"/>
              <w:ind w:firstLine="480" w:firstLineChars="200"/>
              <w:jc w:val="both"/>
              <w:rPr>
                <w:rFonts w:hint="default" w:ascii="Times New Roman" w:hAnsi="Times New Roman" w:cs="Times New Roman"/>
                <w:highlight w:val="none"/>
                <w:lang w:eastAsia="zh-CN"/>
              </w:rPr>
            </w:pPr>
            <w:r>
              <w:rPr>
                <w:rFonts w:hint="eastAsia" w:ascii="Times New Roman" w:hAnsi="Times New Roman" w:cs="Times New Roman"/>
                <w:highlight w:val="none"/>
                <w:lang w:val="en-US" w:eastAsia="zh-CN"/>
              </w:rPr>
              <w:t>本</w:t>
            </w:r>
            <w:r>
              <w:rPr>
                <w:rFonts w:hint="default" w:ascii="Times New Roman" w:hAnsi="Times New Roman" w:cs="Times New Roman"/>
                <w:highlight w:val="none"/>
                <w:lang w:eastAsia="zh-CN"/>
              </w:rPr>
              <w:t>项目</w:t>
            </w:r>
            <w:r>
              <w:rPr>
                <w:rFonts w:hint="eastAsia" w:ascii="Times New Roman" w:hAnsi="Times New Roman" w:cs="Times New Roman"/>
                <w:highlight w:val="none"/>
                <w:lang w:val="en-US" w:eastAsia="zh-CN"/>
              </w:rPr>
              <w:t>用地现状为农用地</w:t>
            </w:r>
            <w:r>
              <w:rPr>
                <w:rFonts w:hint="default" w:ascii="Times New Roman" w:hAnsi="Times New Roman" w:cs="Times New Roman"/>
                <w:highlight w:val="none"/>
                <w:lang w:eastAsia="zh-CN"/>
              </w:rPr>
              <w:t>。项目施工过程中，项目区域转变为硬质地面，会改变占地范围内的土地利用情况，这种影响从施工期开始，且影响是永久的。但由于项目构建筑物占地在整个区域内比例较小，硬质地面对当地生态环境影响不大，且场区无构筑物地带都将被绿化植被覆盖，建筑垃圾和砂石料堆放于项目内，不占用项目外土地，因此生态影响相对较小。</w:t>
            </w:r>
          </w:p>
          <w:p>
            <w:pPr>
              <w:bidi w:val="0"/>
              <w:ind w:firstLine="482" w:firstLineChars="200"/>
              <w:jc w:val="both"/>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（2）对植被类型及动植物种类的影响</w:t>
            </w:r>
          </w:p>
          <w:p>
            <w:pPr>
              <w:bidi w:val="0"/>
              <w:ind w:firstLine="480" w:firstLineChars="200"/>
              <w:jc w:val="both"/>
              <w:rPr>
                <w:rFonts w:hint="default" w:ascii="Times New Roman" w:hAnsi="Times New Roman" w:cs="Times New Roman"/>
                <w:highlight w:val="none"/>
                <w:lang w:eastAsia="zh-CN"/>
              </w:rPr>
            </w:pPr>
            <w:r>
              <w:rPr>
                <w:rFonts w:hint="default" w:ascii="Times New Roman" w:hAnsi="Times New Roman" w:cs="Times New Roman"/>
                <w:highlight w:val="none"/>
                <w:lang w:eastAsia="zh-CN"/>
              </w:rPr>
              <w:t>项目施工对植被的直接影响是植被破坏，导致植物生境的丧失，生物量减少，但从区域角度分析，项目周边多为林地，项目破坏的面积较小，项目的实施并不会导致区域植物种类减少，多样性的降低。</w:t>
            </w:r>
            <w:r>
              <w:rPr>
                <w:rFonts w:hint="default" w:ascii="Times New Roman" w:hAnsi="Times New Roman" w:eastAsia="宋体" w:cs="Times New Roman"/>
                <w:sz w:val="24"/>
                <w:szCs w:val="24"/>
                <w:highlight w:val="none"/>
                <w:u w:val="none"/>
                <w:lang w:val="zh-CN" w:eastAsia="zh-CN" w:bidi="zh-CN"/>
              </w:rPr>
              <w:t>施工结束后通过临时用地植物复绿，补偿施工造成的植被破坏，工程建设对植被造成的不利影响小</w:t>
            </w:r>
            <w:r>
              <w:rPr>
                <w:rFonts w:hint="eastAsia" w:cs="Times New Roman"/>
                <w:sz w:val="24"/>
                <w:szCs w:val="24"/>
                <w:highlight w:val="none"/>
                <w:u w:val="none"/>
                <w:lang w:val="zh-CN" w:eastAsia="zh-CN" w:bidi="zh-CN"/>
              </w:rPr>
              <w:t>。</w:t>
            </w:r>
          </w:p>
          <w:p>
            <w:pPr>
              <w:bidi w:val="0"/>
              <w:ind w:firstLine="480" w:firstLineChars="200"/>
              <w:jc w:val="both"/>
              <w:rPr>
                <w:rFonts w:hint="default" w:ascii="Times New Roman" w:hAnsi="Times New Roman" w:cs="Times New Roman"/>
                <w:highlight w:val="none"/>
                <w:lang w:eastAsia="zh-CN"/>
              </w:rPr>
            </w:pPr>
            <w:r>
              <w:rPr>
                <w:rFonts w:hint="default" w:ascii="Times New Roman" w:hAnsi="Times New Roman" w:cs="Times New Roman"/>
                <w:highlight w:val="none"/>
                <w:lang w:eastAsia="zh-CN"/>
              </w:rPr>
              <w:t>项目的施工一方面破坏了动物的栖息地；另一方面施工过程中，由于机械噪声、车辆往来和人员的施工活动，将会对区域内的野生动物造成一定的惊吓。在此情况下，大多数动物迁徙它处，这对动物分布产生一定影响。总体上看，周边区域与项目区域环境类似，动物迁徙之后仍然能在其他区域繁衍生存，区域动物种类不会减少，多样性不会降低。施工结束后通过</w:t>
            </w:r>
            <w:r>
              <w:rPr>
                <w:rFonts w:hint="eastAsia" w:cs="Times New Roman"/>
                <w:highlight w:val="none"/>
                <w:lang w:val="en-US" w:eastAsia="zh-CN"/>
              </w:rPr>
              <w:t>对</w:t>
            </w:r>
            <w:r>
              <w:rPr>
                <w:rFonts w:hint="default" w:ascii="Times New Roman" w:hAnsi="Times New Roman" w:cs="Times New Roman"/>
                <w:highlight w:val="none"/>
                <w:lang w:eastAsia="zh-CN"/>
              </w:rPr>
              <w:t>临时</w:t>
            </w:r>
            <w:r>
              <w:rPr>
                <w:rFonts w:hint="eastAsia" w:cs="Times New Roman"/>
                <w:highlight w:val="none"/>
                <w:lang w:val="en-US" w:eastAsia="zh-CN"/>
              </w:rPr>
              <w:t>用地进行</w:t>
            </w:r>
            <w:r>
              <w:rPr>
                <w:rFonts w:hint="default" w:ascii="Times New Roman" w:hAnsi="Times New Roman" w:cs="Times New Roman"/>
                <w:highlight w:val="none"/>
                <w:lang w:eastAsia="zh-CN"/>
              </w:rPr>
              <w:t>植物复绿，补偿施工造成的植被破坏，工程建设对植被造成的不利影响小</w:t>
            </w:r>
            <w:r>
              <w:rPr>
                <w:rFonts w:hint="eastAsia" w:cs="Times New Roman"/>
                <w:highlight w:val="none"/>
                <w:lang w:eastAsia="zh-CN"/>
              </w:rPr>
              <w:t>。</w:t>
            </w:r>
          </w:p>
          <w:p>
            <w:pPr>
              <w:bidi w:val="0"/>
              <w:ind w:firstLine="482" w:firstLineChars="200"/>
              <w:jc w:val="both"/>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（3）水土流失的影响</w:t>
            </w:r>
          </w:p>
          <w:p>
            <w:pPr>
              <w:bidi w:val="0"/>
              <w:ind w:firstLine="480" w:firstLineChars="200"/>
              <w:jc w:val="both"/>
              <w:rPr>
                <w:rFonts w:hint="default" w:ascii="Times New Roman" w:hAnsi="Times New Roman" w:cs="Times New Roman"/>
                <w:highlight w:val="none"/>
                <w:lang w:eastAsia="zh-CN"/>
              </w:rPr>
            </w:pPr>
            <w:r>
              <w:rPr>
                <w:rFonts w:hint="default" w:ascii="Times New Roman" w:hAnsi="Times New Roman" w:cs="Times New Roman"/>
                <w:highlight w:val="none"/>
                <w:lang w:eastAsia="zh-CN"/>
              </w:rPr>
              <w:t>施工期对场区土石方开挖的过程中，松散的泥土受到风雨浸蚀，挖填方中土石方未及时清理，遭受雨水冲刷等，会造成一定的水土流失。项目方需在场地设置截排水沟和沉砂池降低场地的水土流失，同时根据项目平面布置图，在不会受施工影响的绿化区域提前播撒草籽和种植绿化树木，分区域建设，避免大面积地表裸露，项目场地平整时间位于冬季及春季，雨水量较少，水土流失量较少，不会造成较大影响。项目方需在场地四周设置排洪沟，方便场地周围区域山洪排泄，降低山洪对区域旱地和草地的水土流失的影响。</w:t>
            </w:r>
          </w:p>
          <w:p>
            <w:pPr>
              <w:bidi w:val="0"/>
              <w:ind w:firstLine="482" w:firstLineChars="200"/>
              <w:jc w:val="both"/>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（4）对景观生态的影响</w:t>
            </w:r>
          </w:p>
          <w:p>
            <w:pPr>
              <w:bidi w:val="0"/>
              <w:ind w:firstLine="480" w:firstLineChars="200"/>
              <w:jc w:val="both"/>
              <w:rPr>
                <w:rFonts w:hint="default" w:ascii="Times New Roman" w:hAnsi="Times New Roman" w:cs="Times New Roman"/>
                <w:highlight w:val="none"/>
                <w:lang w:eastAsia="zh-CN"/>
              </w:rPr>
            </w:pPr>
            <w:r>
              <w:rPr>
                <w:rFonts w:hint="default" w:ascii="Times New Roman" w:hAnsi="Times New Roman" w:cs="Times New Roman"/>
                <w:highlight w:val="none"/>
                <w:lang w:eastAsia="zh-CN"/>
              </w:rPr>
              <w:t>对区域景观影响而言，在项目施工期，由于开挖土石方等活动，造成大面积的裸露地表，加之施工期的建筑施工，这些都在一定程度上影响区域景观的和谐，在一定时段和一定范围内造成项目区内景观美感的丧失，随着项目的建成，场区绿化植被的恢复，这种影响将逐渐消失。</w:t>
            </w:r>
          </w:p>
          <w:p>
            <w:pPr>
              <w:bidi w:val="0"/>
              <w:ind w:firstLine="482" w:firstLineChars="200"/>
              <w:jc w:val="both"/>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（5）对生态环境的影响</w:t>
            </w:r>
          </w:p>
          <w:p>
            <w:pPr>
              <w:bidi w:val="0"/>
              <w:ind w:firstLine="480" w:firstLineChars="200"/>
              <w:jc w:val="both"/>
              <w:rPr>
                <w:rFonts w:hint="default" w:ascii="Times New Roman" w:hAnsi="Times New Roman" w:cs="Times New Roman"/>
                <w:highlight w:val="none"/>
                <w:lang w:eastAsia="zh-CN"/>
              </w:rPr>
            </w:pPr>
            <w:r>
              <w:rPr>
                <w:rFonts w:hint="default" w:ascii="Times New Roman" w:hAnsi="Times New Roman" w:cs="Times New Roman"/>
                <w:highlight w:val="none"/>
                <w:lang w:eastAsia="zh-CN"/>
              </w:rPr>
              <w:t>项目所在区域生态系统因受人工影响自然生态系统已逐渐减少，拟建项目不会造成当地生物物种的减少和生物多样性的丧失。施工期结束后及时进行绿化补偿后，对临时占地及管线两侧开挖造成的裸露剖面应及时植草或护坡</w:t>
            </w:r>
            <w:r>
              <w:rPr>
                <w:rFonts w:hint="eastAsia" w:cs="Times New Roman"/>
                <w:highlight w:val="none"/>
                <w:lang w:eastAsia="zh-CN"/>
              </w:rPr>
              <w:t>，</w:t>
            </w:r>
            <w:r>
              <w:rPr>
                <w:rFonts w:hint="default" w:ascii="Times New Roman" w:hAnsi="Times New Roman" w:cs="Times New Roman"/>
                <w:highlight w:val="none"/>
                <w:lang w:eastAsia="zh-CN"/>
              </w:rPr>
              <w:t>项目占地对生态系统及植物生长的影响较小。</w:t>
            </w:r>
          </w:p>
          <w:p>
            <w:pPr>
              <w:bidi w:val="0"/>
              <w:ind w:firstLine="480" w:firstLineChars="200"/>
              <w:jc w:val="both"/>
              <w:rPr>
                <w:rFonts w:hint="eastAsia"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综上所述，项目实施后，施工期对小范围内的自然景观会造成一定程度的破坏，但对于较大范围的生态景观来说，影响面很小。</w:t>
            </w:r>
            <w:r>
              <w:rPr>
                <w:rFonts w:hint="default" w:ascii="Times New Roman" w:hAnsi="Times New Roman" w:cs="Times New Roman"/>
                <w:highlight w:val="none"/>
              </w:rPr>
              <w:t>施工过程中采取设围栏，尽量避开雨季施工，减少下雨过程中造成的水土流失，并及时进行</w:t>
            </w:r>
            <w:r>
              <w:rPr>
                <w:rFonts w:hint="default" w:ascii="Times New Roman" w:hAnsi="Times New Roman" w:cs="Times New Roman"/>
                <w:highlight w:val="none"/>
                <w:lang w:eastAsia="zh-CN"/>
              </w:rPr>
              <w:t>场区</w:t>
            </w:r>
            <w:r>
              <w:rPr>
                <w:rFonts w:hint="default" w:ascii="Times New Roman" w:hAnsi="Times New Roman" w:cs="Times New Roman"/>
                <w:highlight w:val="none"/>
              </w:rPr>
              <w:t>绿化。采取以上措施后，项目施工期水土流失将有所降低，项目建设对环境的影响也将有所减小。</w:t>
            </w:r>
          </w:p>
          <w:p>
            <w:pPr>
              <w:bidi w:val="0"/>
              <w:ind w:firstLine="482" w:firstLineChars="200"/>
              <w:jc w:val="both"/>
              <w:rPr>
                <w:rFonts w:hint="default" w:ascii="Times New Roman" w:hAnsi="Times New Roman" w:eastAsia="宋体" w:cs="Times New Roman"/>
                <w:b/>
                <w:bCs/>
                <w:highlight w:val="none"/>
                <w:lang w:val="en-US" w:eastAsia="zh-CN"/>
              </w:rPr>
            </w:pPr>
            <w:r>
              <w:rPr>
                <w:rFonts w:hint="eastAsia" w:ascii="Times New Roman" w:hAnsi="Times New Roman" w:eastAsia="宋体" w:cs="Times New Roman"/>
                <w:b/>
                <w:bCs/>
                <w:highlight w:val="none"/>
                <w:lang w:val="en-US" w:eastAsia="zh-CN"/>
              </w:rPr>
              <w:t>6、施工期环境管理</w:t>
            </w:r>
          </w:p>
          <w:p>
            <w:pPr>
              <w:bidi w:val="0"/>
              <w:ind w:firstLine="480" w:firstLineChars="200"/>
              <w:jc w:val="both"/>
              <w:rPr>
                <w:rFonts w:hint="default" w:eastAsia="宋体"/>
                <w:color w:val="000000" w:themeColor="text1"/>
                <w:highlight w:val="none"/>
                <w:lang w:val="en-US" w:eastAsia="zh-CN"/>
                <w14:textFill>
                  <w14:solidFill>
                    <w14:schemeClr w14:val="tx1"/>
                  </w14:solidFill>
                </w14:textFill>
              </w:rPr>
            </w:pPr>
            <w:r>
              <w:rPr>
                <w:rFonts w:hint="default" w:ascii="Times New Roman" w:hAnsi="Times New Roman" w:cs="Times New Roman"/>
                <w:highlight w:val="none"/>
              </w:rPr>
              <w:t>在施工前，施工单位应详细编制施工组织计划并建立环境管理制度，要有专人负责施工期间的环境保护工作，对施工中产生的</w:t>
            </w:r>
            <w:r>
              <w:rPr>
                <w:rFonts w:hint="eastAsia" w:ascii="宋体" w:hAnsi="宋体" w:eastAsia="宋体" w:cs="宋体"/>
                <w:highlight w:val="none"/>
              </w:rPr>
              <w:t>“</w:t>
            </w:r>
            <w:r>
              <w:rPr>
                <w:rFonts w:hint="default" w:ascii="Times New Roman" w:hAnsi="Times New Roman" w:cs="Times New Roman"/>
                <w:highlight w:val="none"/>
              </w:rPr>
              <w:t>三废</w:t>
            </w:r>
            <w:r>
              <w:rPr>
                <w:rFonts w:hint="eastAsia" w:ascii="宋体" w:hAnsi="宋体" w:eastAsia="宋体" w:cs="宋体"/>
                <w:highlight w:val="none"/>
              </w:rPr>
              <w:t>”</w:t>
            </w:r>
            <w:r>
              <w:rPr>
                <w:rFonts w:hint="default" w:ascii="Times New Roman" w:hAnsi="Times New Roman" w:cs="Times New Roman"/>
                <w:highlight w:val="none"/>
              </w:rPr>
              <w:t>应采取相应的防治措施及处置方法。环境管理要做到贯彻国家的环保方针、政策、法规和标准，建立以岗位责任制为中心的各项环保管理制度，做到有章可循，科学管理。加强对施工人员的教育，学习环保法规和环保知识，做到文明施工，清洁生产。</w:t>
            </w:r>
            <w:bookmarkStart w:id="6" w:name="bookmark4"/>
            <w:bookmarkEnd w:id="6"/>
            <w:bookmarkStart w:id="7" w:name="5.2.1环境空气质量影响分析"/>
            <w:bookmarkEnd w:id="7"/>
            <w:bookmarkStart w:id="8" w:name="5.2营运期环境影响分析"/>
            <w:bookmarkEnd w:id="8"/>
            <w:bookmarkStart w:id="9" w:name="bookmark3"/>
            <w:bookmarkEnd w:id="9"/>
            <w:bookmarkStart w:id="10" w:name="bookmark2"/>
            <w:bookmarkEnd w:id="10"/>
            <w:bookmarkStart w:id="11" w:name="5.1.7施工期环境影响分析小结"/>
            <w:bookmarkEnd w:id="1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21" w:hRule="atLeast"/>
        </w:trPr>
        <w:tc>
          <w:tcPr>
            <w:tcW w:w="239" w:type="pct"/>
            <w:vAlign w:val="center"/>
          </w:tcPr>
          <w:p>
            <w:pPr>
              <w:jc w:val="center"/>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运营期环境影响和保护措施</w:t>
            </w:r>
          </w:p>
        </w:tc>
        <w:tc>
          <w:tcPr>
            <w:tcW w:w="4760" w:type="pct"/>
          </w:tcPr>
          <w:p>
            <w:pPr>
              <w:pStyle w:val="5"/>
              <w:widowControl w:val="0"/>
              <w:ind w:left="0" w:leftChars="0" w:firstLine="0" w:firstLineChars="0"/>
              <w:rPr>
                <w:rFonts w:hint="eastAsia"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w:t>
            </w:r>
            <w:r>
              <w:rPr>
                <w:rFonts w:hint="eastAsia"/>
                <w:b/>
                <w:bCs/>
                <w:color w:val="000000" w:themeColor="text1"/>
                <w:highlight w:val="none"/>
                <w14:textFill>
                  <w14:solidFill>
                    <w14:schemeClr w14:val="tx1"/>
                  </w14:solidFill>
                </w14:textFill>
              </w:rPr>
              <w:t>运营期</w:t>
            </w:r>
            <w:r>
              <w:rPr>
                <w:rFonts w:hint="eastAsia"/>
                <w:b/>
                <w:bCs/>
                <w:color w:val="000000" w:themeColor="text1"/>
                <w:highlight w:val="none"/>
                <w:lang w:val="en-US" w:eastAsia="zh-CN"/>
                <w14:textFill>
                  <w14:solidFill>
                    <w14:schemeClr w14:val="tx1"/>
                  </w14:solidFill>
                </w14:textFill>
              </w:rPr>
              <w:t>废气</w:t>
            </w:r>
          </w:p>
          <w:p>
            <w:pPr>
              <w:pStyle w:val="5"/>
              <w:widowControl w:val="0"/>
              <w:ind w:firstLine="48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本项目水厂运营期废气主要为食堂油烟和柴油发电机尾气</w:t>
            </w:r>
            <w:r>
              <w:rPr>
                <w:rFonts w:hint="eastAsia"/>
                <w:color w:val="000000" w:themeColor="text1"/>
                <w:highlight w:val="none"/>
                <w14:textFill>
                  <w14:solidFill>
                    <w14:schemeClr w14:val="tx1"/>
                  </w14:solidFill>
                </w14:textFill>
              </w:rPr>
              <w:t>。</w:t>
            </w:r>
          </w:p>
          <w:p>
            <w:pPr>
              <w:pStyle w:val="5"/>
              <w:widowControl w:val="0"/>
              <w:ind w:firstLine="482"/>
              <w:rPr>
                <w:rFonts w:hint="default" w:eastAsia="宋体"/>
                <w:b w:val="0"/>
                <w:bCs w:val="0"/>
                <w:color w:val="000000" w:themeColor="text1"/>
                <w:highlight w:val="none"/>
                <w:lang w:val="en-US" w:eastAsia="zh-CN"/>
                <w14:textFill>
                  <w14:solidFill>
                    <w14:schemeClr w14:val="tx1"/>
                  </w14:solidFill>
                </w14:textFill>
              </w:rPr>
            </w:pPr>
            <w:r>
              <w:rPr>
                <w:b w:val="0"/>
                <w:bCs w:val="0"/>
                <w:color w:val="000000" w:themeColor="text1"/>
                <w:highlight w:val="none"/>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1</w:t>
            </w:r>
            <w:r>
              <w:rPr>
                <w:b w:val="0"/>
                <w:bCs w:val="0"/>
                <w:color w:val="000000" w:themeColor="text1"/>
                <w:highlight w:val="none"/>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食堂油烟</w:t>
            </w:r>
          </w:p>
          <w:p>
            <w:pPr>
              <w:pStyle w:val="5"/>
              <w:widowControl w:val="0"/>
              <w:ind w:firstLine="480"/>
              <w:rPr>
                <w:rFonts w:hint="eastAsia" w:hAnsiTheme="minorEastAsia" w:eastAsiaTheme="minorEastAsia"/>
                <w:color w:val="000000" w:themeColor="text1"/>
                <w:highlight w:val="none"/>
                <w14:textFill>
                  <w14:solidFill>
                    <w14:schemeClr w14:val="tx1"/>
                  </w14:solidFill>
                </w14:textFill>
              </w:rPr>
            </w:pPr>
            <w:r>
              <w:rPr>
                <w:rFonts w:hAnsiTheme="minorEastAsia" w:eastAsiaTheme="minorEastAsia"/>
                <w:color w:val="000000" w:themeColor="text1"/>
                <w:highlight w:val="none"/>
                <w14:textFill>
                  <w14:solidFill>
                    <w14:schemeClr w14:val="tx1"/>
                  </w14:solidFill>
                </w14:textFill>
              </w:rPr>
              <w:t>食堂主要是为固定员工上班到饭点时提供的便餐，本项目定员</w:t>
            </w:r>
            <w:r>
              <w:rPr>
                <w:rFonts w:hint="eastAsia" w:hAnsiTheme="minorEastAsia" w:eastAsiaTheme="minorEastAsia"/>
                <w:color w:val="000000" w:themeColor="text1"/>
                <w:highlight w:val="none"/>
                <w:lang w:val="en-US" w:eastAsia="zh-CN"/>
                <w14:textFill>
                  <w14:solidFill>
                    <w14:schemeClr w14:val="tx1"/>
                  </w14:solidFill>
                </w14:textFill>
              </w:rPr>
              <w:t>6</w:t>
            </w:r>
            <w:r>
              <w:rPr>
                <w:rFonts w:hAnsiTheme="minorEastAsia" w:eastAsiaTheme="minorEastAsia"/>
                <w:color w:val="000000" w:themeColor="text1"/>
                <w:highlight w:val="none"/>
                <w14:textFill>
                  <w14:solidFill>
                    <w14:schemeClr w14:val="tx1"/>
                  </w14:solidFill>
                </w14:textFill>
              </w:rPr>
              <w:t>人，上班期间均在食堂就餐，居民人均食用油日用量</w:t>
            </w:r>
            <w:r>
              <w:rPr>
                <w:rFonts w:hint="eastAsia" w:hAnsiTheme="minorEastAsia" w:eastAsiaTheme="minorEastAsia"/>
                <w:color w:val="000000" w:themeColor="text1"/>
                <w:highlight w:val="none"/>
                <w:lang w:val="en-US" w:eastAsia="zh-CN"/>
                <w14:textFill>
                  <w14:solidFill>
                    <w14:schemeClr w14:val="tx1"/>
                  </w14:solidFill>
                </w14:textFill>
              </w:rPr>
              <w:t>按</w:t>
            </w:r>
            <w:r>
              <w:rPr>
                <w:rFonts w:eastAsiaTheme="minorEastAsia"/>
                <w:color w:val="000000" w:themeColor="text1"/>
                <w:highlight w:val="none"/>
                <w14:textFill>
                  <w14:solidFill>
                    <w14:schemeClr w14:val="tx1"/>
                  </w14:solidFill>
                </w14:textFill>
              </w:rPr>
              <w:t>30g/</w:t>
            </w:r>
            <w:r>
              <w:rPr>
                <w:rFonts w:hAnsiTheme="minorEastAsia" w:eastAsiaTheme="minorEastAsia"/>
                <w:color w:val="000000" w:themeColor="text1"/>
                <w:highlight w:val="none"/>
                <w14:textFill>
                  <w14:solidFill>
                    <w14:schemeClr w14:val="tx1"/>
                  </w14:solidFill>
                </w14:textFill>
              </w:rPr>
              <w:t>人</w:t>
            </w:r>
            <w:r>
              <w:rPr>
                <w:rFonts w:eastAsiaTheme="minorEastAsia"/>
                <w:color w:val="000000" w:themeColor="text1"/>
                <w:highlight w:val="none"/>
                <w14:textFill>
                  <w14:solidFill>
                    <w14:schemeClr w14:val="tx1"/>
                  </w14:solidFill>
                </w14:textFill>
              </w:rPr>
              <w:t>·d</w:t>
            </w:r>
            <w:r>
              <w:rPr>
                <w:rFonts w:hint="eastAsia" w:eastAsiaTheme="minorEastAsia"/>
                <w:color w:val="000000" w:themeColor="text1"/>
                <w:highlight w:val="none"/>
                <w:lang w:val="en-US" w:eastAsia="zh-CN"/>
                <w14:textFill>
                  <w14:solidFill>
                    <w14:schemeClr w14:val="tx1"/>
                  </w14:solidFill>
                </w14:textFill>
              </w:rPr>
              <w:t>计</w:t>
            </w:r>
            <w:r>
              <w:rPr>
                <w:rFonts w:hAnsiTheme="minorEastAsia" w:eastAsiaTheme="minorEastAsia"/>
                <w:color w:val="000000" w:themeColor="text1"/>
                <w:highlight w:val="none"/>
                <w14:textFill>
                  <w14:solidFill>
                    <w14:schemeClr w14:val="tx1"/>
                  </w14:solidFill>
                </w14:textFill>
              </w:rPr>
              <w:t>，一般油烟挥发量占总耗油量的</w:t>
            </w:r>
            <w:r>
              <w:rPr>
                <w:rFonts w:eastAsiaTheme="minorEastAsia"/>
                <w:color w:val="000000" w:themeColor="text1"/>
                <w:highlight w:val="none"/>
                <w14:textFill>
                  <w14:solidFill>
                    <w14:schemeClr w14:val="tx1"/>
                  </w14:solidFill>
                </w14:textFill>
              </w:rPr>
              <w:t>2%</w:t>
            </w:r>
            <w:r>
              <w:rPr>
                <w:rFonts w:hint="eastAsia" w:hAnsiTheme="minorEastAsia" w:eastAsiaTheme="minorEastAsia"/>
                <w:color w:val="000000" w:themeColor="text1"/>
                <w:highlight w:val="none"/>
                <w14:textFill>
                  <w14:solidFill>
                    <w14:schemeClr w14:val="tx1"/>
                  </w14:solidFill>
                </w14:textFill>
              </w:rPr>
              <w:t>。食堂设基准灶头</w:t>
            </w:r>
            <w:r>
              <w:rPr>
                <w:rFonts w:hint="eastAsia" w:hAnsiTheme="minorEastAsia" w:eastAsiaTheme="minorEastAsia"/>
                <w:color w:val="000000" w:themeColor="text1"/>
                <w:highlight w:val="none"/>
                <w:lang w:val="en-US" w:eastAsia="zh-CN"/>
                <w14:textFill>
                  <w14:solidFill>
                    <w14:schemeClr w14:val="tx1"/>
                  </w14:solidFill>
                </w14:textFill>
              </w:rPr>
              <w:t>1</w:t>
            </w:r>
            <w:r>
              <w:rPr>
                <w:rFonts w:hint="eastAsia" w:hAnsiTheme="minorEastAsia" w:eastAsiaTheme="minorEastAsia"/>
                <w:color w:val="000000" w:themeColor="text1"/>
                <w:highlight w:val="none"/>
                <w14:textFill>
                  <w14:solidFill>
                    <w14:schemeClr w14:val="tx1"/>
                  </w14:solidFill>
                </w14:textFill>
              </w:rPr>
              <w:t>个，年工作</w:t>
            </w:r>
            <w:r>
              <w:rPr>
                <w:rFonts w:hint="eastAsia" w:hAnsiTheme="minorEastAsia" w:eastAsiaTheme="minorEastAsia"/>
                <w:color w:val="000000" w:themeColor="text1"/>
                <w:highlight w:val="none"/>
                <w:lang w:val="en-US" w:eastAsia="zh-CN"/>
                <w14:textFill>
                  <w14:solidFill>
                    <w14:schemeClr w14:val="tx1"/>
                  </w14:solidFill>
                </w14:textFill>
              </w:rPr>
              <w:t>365</w:t>
            </w:r>
            <w:r>
              <w:rPr>
                <w:rFonts w:hint="eastAsia" w:hAnsiTheme="minorEastAsia" w:eastAsiaTheme="minorEastAsia"/>
                <w:color w:val="000000" w:themeColor="text1"/>
                <w:highlight w:val="none"/>
                <w14:textFill>
                  <w14:solidFill>
                    <w14:schemeClr w14:val="tx1"/>
                  </w14:solidFill>
                </w14:textFill>
              </w:rPr>
              <w:t>天，日工作时间以</w:t>
            </w:r>
            <w:r>
              <w:rPr>
                <w:rFonts w:hint="eastAsia" w:hAnsiTheme="minorEastAsia" w:eastAsiaTheme="minorEastAsia"/>
                <w:color w:val="000000" w:themeColor="text1"/>
                <w:highlight w:val="none"/>
                <w:lang w:val="en-US" w:eastAsia="zh-CN"/>
                <w14:textFill>
                  <w14:solidFill>
                    <w14:schemeClr w14:val="tx1"/>
                  </w14:solidFill>
                </w14:textFill>
              </w:rPr>
              <w:t>6</w:t>
            </w:r>
            <w:r>
              <w:rPr>
                <w:rFonts w:hint="eastAsia" w:hAnsiTheme="minorEastAsia" w:eastAsiaTheme="minorEastAsia"/>
                <w:color w:val="000000" w:themeColor="text1"/>
                <w:highlight w:val="none"/>
                <w14:textFill>
                  <w14:solidFill>
                    <w14:schemeClr w14:val="tx1"/>
                  </w14:solidFill>
                </w14:textFill>
              </w:rPr>
              <w:t>h计，排风量以4</w:t>
            </w:r>
            <w:r>
              <w:rPr>
                <w:rFonts w:hAnsiTheme="minorEastAsia" w:eastAsiaTheme="minorEastAsia"/>
                <w:color w:val="000000" w:themeColor="text1"/>
                <w:highlight w:val="none"/>
                <w14:textFill>
                  <w14:solidFill>
                    <w14:schemeClr w14:val="tx1"/>
                  </w14:solidFill>
                </w14:textFill>
              </w:rPr>
              <w:t>000</w:t>
            </w:r>
            <w:r>
              <w:rPr>
                <w:rFonts w:hint="eastAsia" w:hAnsiTheme="minorEastAsia" w:eastAsiaTheme="minorEastAsia"/>
                <w:color w:val="000000" w:themeColor="text1"/>
                <w:highlight w:val="none"/>
                <w14:textFill>
                  <w14:solidFill>
                    <w14:schemeClr w14:val="tx1"/>
                  </w14:solidFill>
                </w14:textFill>
              </w:rPr>
              <w:t>m</w:t>
            </w:r>
            <w:r>
              <w:rPr>
                <w:rFonts w:hAnsiTheme="minorEastAsia" w:eastAsiaTheme="minorEastAsia"/>
                <w:color w:val="000000" w:themeColor="text1"/>
                <w:highlight w:val="none"/>
                <w:vertAlign w:val="superscript"/>
                <w14:textFill>
                  <w14:solidFill>
                    <w14:schemeClr w14:val="tx1"/>
                  </w14:solidFill>
                </w14:textFill>
              </w:rPr>
              <w:t>3</w:t>
            </w:r>
            <w:r>
              <w:rPr>
                <w:rFonts w:hAnsiTheme="minorEastAsia" w:eastAsiaTheme="minorEastAsia"/>
                <w:color w:val="000000" w:themeColor="text1"/>
                <w:highlight w:val="none"/>
                <w14:textFill>
                  <w14:solidFill>
                    <w14:schemeClr w14:val="tx1"/>
                  </w14:solidFill>
                </w14:textFill>
              </w:rPr>
              <w:t>/</w:t>
            </w:r>
            <w:r>
              <w:rPr>
                <w:rFonts w:hint="eastAsia" w:hAnsiTheme="minorEastAsia" w:eastAsiaTheme="minorEastAsia"/>
                <w:color w:val="000000" w:themeColor="text1"/>
                <w:highlight w:val="none"/>
                <w14:textFill>
                  <w14:solidFill>
                    <w14:schemeClr w14:val="tx1"/>
                  </w14:solidFill>
                </w14:textFill>
              </w:rPr>
              <w:t>h计。则经计算可知年耗油量为0</w:t>
            </w:r>
            <w:r>
              <w:rPr>
                <w:rFonts w:hAnsiTheme="minorEastAsia" w:eastAsiaTheme="minorEastAsia"/>
                <w:color w:val="000000" w:themeColor="text1"/>
                <w:highlight w:val="none"/>
                <w14:textFill>
                  <w14:solidFill>
                    <w14:schemeClr w14:val="tx1"/>
                  </w14:solidFill>
                </w14:textFill>
              </w:rPr>
              <w:t>.0</w:t>
            </w:r>
            <w:r>
              <w:rPr>
                <w:rFonts w:hint="eastAsia" w:hAnsiTheme="minorEastAsia" w:eastAsiaTheme="minorEastAsia"/>
                <w:color w:val="000000" w:themeColor="text1"/>
                <w:highlight w:val="none"/>
                <w:lang w:val="en-US" w:eastAsia="zh-CN"/>
                <w14:textFill>
                  <w14:solidFill>
                    <w14:schemeClr w14:val="tx1"/>
                  </w14:solidFill>
                </w14:textFill>
              </w:rPr>
              <w:t>657</w:t>
            </w:r>
            <w:r>
              <w:rPr>
                <w:rFonts w:hint="eastAsia" w:hAnsiTheme="minorEastAsia" w:eastAsiaTheme="minorEastAsia"/>
                <w:color w:val="000000" w:themeColor="text1"/>
                <w:highlight w:val="none"/>
                <w14:textFill>
                  <w14:solidFill>
                    <w14:schemeClr w14:val="tx1"/>
                  </w14:solidFill>
                </w14:textFill>
              </w:rPr>
              <w:t>t/a，油烟产生量为0</w:t>
            </w:r>
            <w:r>
              <w:rPr>
                <w:rFonts w:hAnsiTheme="minorEastAsia" w:eastAsiaTheme="minorEastAsia"/>
                <w:color w:val="000000" w:themeColor="text1"/>
                <w:highlight w:val="none"/>
                <w14:textFill>
                  <w14:solidFill>
                    <w14:schemeClr w14:val="tx1"/>
                  </w14:solidFill>
                </w14:textFill>
              </w:rPr>
              <w:t>.00</w:t>
            </w:r>
            <w:r>
              <w:rPr>
                <w:rFonts w:hint="eastAsia" w:hAnsiTheme="minorEastAsia" w:eastAsiaTheme="minorEastAsia"/>
                <w:color w:val="000000" w:themeColor="text1"/>
                <w:highlight w:val="none"/>
                <w:lang w:val="en-US" w:eastAsia="zh-CN"/>
                <w14:textFill>
                  <w14:solidFill>
                    <w14:schemeClr w14:val="tx1"/>
                  </w14:solidFill>
                </w14:textFill>
              </w:rPr>
              <w:t>13</w:t>
            </w:r>
            <w:r>
              <w:rPr>
                <w:rFonts w:hint="eastAsia" w:hAnsiTheme="minorEastAsia" w:eastAsiaTheme="minorEastAsia"/>
                <w:color w:val="000000" w:themeColor="text1"/>
                <w:highlight w:val="none"/>
                <w14:textFill>
                  <w14:solidFill>
                    <w14:schemeClr w14:val="tx1"/>
                  </w14:solidFill>
                </w14:textFill>
              </w:rPr>
              <w:t>t/a。食堂油烟经油烟管道收集至油烟净化器处理后通过楼顶烟道排放，油烟平均去除效率以</w:t>
            </w:r>
            <w:r>
              <w:rPr>
                <w:rFonts w:hint="eastAsia" w:hAnsiTheme="minorEastAsia" w:eastAsiaTheme="minorEastAsia"/>
                <w:color w:val="000000" w:themeColor="text1"/>
                <w:highlight w:val="none"/>
                <w:lang w:val="en-US" w:eastAsia="zh-CN"/>
                <w14:textFill>
                  <w14:solidFill>
                    <w14:schemeClr w14:val="tx1"/>
                  </w14:solidFill>
                </w14:textFill>
              </w:rPr>
              <w:t>60</w:t>
            </w:r>
            <w:r>
              <w:rPr>
                <w:rFonts w:hAnsiTheme="minorEastAsia" w:eastAsiaTheme="minorEastAsia"/>
                <w:color w:val="000000" w:themeColor="text1"/>
                <w:highlight w:val="none"/>
                <w14:textFill>
                  <w14:solidFill>
                    <w14:schemeClr w14:val="tx1"/>
                  </w14:solidFill>
                </w14:textFill>
              </w:rPr>
              <w:t>%</w:t>
            </w:r>
            <w:r>
              <w:rPr>
                <w:rFonts w:hint="eastAsia" w:hAnsiTheme="minorEastAsia" w:eastAsiaTheme="minorEastAsia"/>
                <w:color w:val="000000" w:themeColor="text1"/>
                <w:highlight w:val="none"/>
                <w14:textFill>
                  <w14:solidFill>
                    <w14:schemeClr w14:val="tx1"/>
                  </w14:solidFill>
                </w14:textFill>
              </w:rPr>
              <w:t>计，则计算可知本项目油烟废气排放量为0</w:t>
            </w:r>
            <w:r>
              <w:rPr>
                <w:rFonts w:hAnsiTheme="minorEastAsia" w:eastAsiaTheme="minorEastAsia"/>
                <w:color w:val="000000" w:themeColor="text1"/>
                <w:highlight w:val="none"/>
                <w14:textFill>
                  <w14:solidFill>
                    <w14:schemeClr w14:val="tx1"/>
                  </w14:solidFill>
                </w14:textFill>
              </w:rPr>
              <w:t>.000</w:t>
            </w:r>
            <w:r>
              <w:rPr>
                <w:rFonts w:hint="eastAsia" w:hAnsiTheme="minorEastAsia" w:eastAsiaTheme="minorEastAsia"/>
                <w:color w:val="000000" w:themeColor="text1"/>
                <w:highlight w:val="none"/>
                <w:lang w:val="en-US" w:eastAsia="zh-CN"/>
                <w14:textFill>
                  <w14:solidFill>
                    <w14:schemeClr w14:val="tx1"/>
                  </w14:solidFill>
                </w14:textFill>
              </w:rPr>
              <w:t>5</w:t>
            </w:r>
            <w:r>
              <w:rPr>
                <w:rFonts w:hint="eastAsia" w:hAnsiTheme="minorEastAsia" w:eastAsiaTheme="minorEastAsia"/>
                <w:color w:val="000000" w:themeColor="text1"/>
                <w:highlight w:val="none"/>
                <w14:textFill>
                  <w14:solidFill>
                    <w14:schemeClr w14:val="tx1"/>
                  </w14:solidFill>
                </w14:textFill>
              </w:rPr>
              <w:t>t/a，排放速率为0</w:t>
            </w:r>
            <w:r>
              <w:rPr>
                <w:rFonts w:hAnsiTheme="minorEastAsia" w:eastAsiaTheme="minorEastAsia"/>
                <w:color w:val="000000" w:themeColor="text1"/>
                <w:highlight w:val="none"/>
                <w14:textFill>
                  <w14:solidFill>
                    <w14:schemeClr w14:val="tx1"/>
                  </w14:solidFill>
                </w14:textFill>
              </w:rPr>
              <w:t>.000</w:t>
            </w:r>
            <w:r>
              <w:rPr>
                <w:rFonts w:hint="eastAsia" w:hAnsiTheme="minorEastAsia" w:eastAsiaTheme="minorEastAsia"/>
                <w:color w:val="000000" w:themeColor="text1"/>
                <w:highlight w:val="none"/>
                <w:lang w:val="en-US" w:eastAsia="zh-CN"/>
                <w14:textFill>
                  <w14:solidFill>
                    <w14:schemeClr w14:val="tx1"/>
                  </w14:solidFill>
                </w14:textFill>
              </w:rPr>
              <w:t>2</w:t>
            </w:r>
            <w:r>
              <w:rPr>
                <w:rFonts w:hint="eastAsia" w:hAnsiTheme="minorEastAsia" w:eastAsiaTheme="minorEastAsia"/>
                <w:color w:val="000000" w:themeColor="text1"/>
                <w:highlight w:val="none"/>
                <w14:textFill>
                  <w14:solidFill>
                    <w14:schemeClr w14:val="tx1"/>
                  </w14:solidFill>
                </w14:textFill>
              </w:rPr>
              <w:t>kg</w:t>
            </w:r>
            <w:r>
              <w:rPr>
                <w:rFonts w:hAnsiTheme="minorEastAsia" w:eastAsiaTheme="minorEastAsia"/>
                <w:color w:val="000000" w:themeColor="text1"/>
                <w:highlight w:val="none"/>
                <w14:textFill>
                  <w14:solidFill>
                    <w14:schemeClr w14:val="tx1"/>
                  </w14:solidFill>
                </w14:textFill>
              </w:rPr>
              <w:t>/</w:t>
            </w:r>
            <w:r>
              <w:rPr>
                <w:rFonts w:hint="eastAsia" w:hAnsiTheme="minorEastAsia" w:eastAsiaTheme="minorEastAsia"/>
                <w:color w:val="000000" w:themeColor="text1"/>
                <w:highlight w:val="none"/>
                <w14:textFill>
                  <w14:solidFill>
                    <w14:schemeClr w14:val="tx1"/>
                  </w14:solidFill>
                </w14:textFill>
              </w:rPr>
              <w:t>h，排放浓度为0</w:t>
            </w:r>
            <w:r>
              <w:rPr>
                <w:rFonts w:hAnsiTheme="minorEastAsia" w:eastAsiaTheme="minorEastAsia"/>
                <w:color w:val="000000" w:themeColor="text1"/>
                <w:highlight w:val="none"/>
                <w14:textFill>
                  <w14:solidFill>
                    <w14:schemeClr w14:val="tx1"/>
                  </w14:solidFill>
                </w14:textFill>
              </w:rPr>
              <w:t>.0</w:t>
            </w:r>
            <w:r>
              <w:rPr>
                <w:rFonts w:hint="eastAsia" w:hAnsiTheme="minorEastAsia" w:eastAsiaTheme="minorEastAsia"/>
                <w:color w:val="000000" w:themeColor="text1"/>
                <w:highlight w:val="none"/>
                <w:lang w:val="en-US" w:eastAsia="zh-CN"/>
                <w14:textFill>
                  <w14:solidFill>
                    <w14:schemeClr w14:val="tx1"/>
                  </w14:solidFill>
                </w14:textFill>
              </w:rPr>
              <w:t>6</w:t>
            </w:r>
            <w:r>
              <w:rPr>
                <w:rFonts w:hint="eastAsia" w:hAnsiTheme="minorEastAsia" w:eastAsiaTheme="minorEastAsia"/>
                <w:color w:val="000000" w:themeColor="text1"/>
                <w:highlight w:val="none"/>
                <w14:textFill>
                  <w14:solidFill>
                    <w14:schemeClr w14:val="tx1"/>
                  </w14:solidFill>
                </w14:textFill>
              </w:rPr>
              <w:t>mg</w:t>
            </w:r>
            <w:r>
              <w:rPr>
                <w:rFonts w:hAnsiTheme="minorEastAsia" w:eastAsiaTheme="minorEastAsia"/>
                <w:color w:val="000000" w:themeColor="text1"/>
                <w:highlight w:val="none"/>
                <w14:textFill>
                  <w14:solidFill>
                    <w14:schemeClr w14:val="tx1"/>
                  </w14:solidFill>
                </w14:textFill>
              </w:rPr>
              <w:t>/</w:t>
            </w:r>
            <w:r>
              <w:rPr>
                <w:rFonts w:hint="eastAsia" w:hAnsiTheme="minorEastAsia" w:eastAsiaTheme="minorEastAsia"/>
                <w:color w:val="000000" w:themeColor="text1"/>
                <w:highlight w:val="none"/>
                <w14:textFill>
                  <w14:solidFill>
                    <w14:schemeClr w14:val="tx1"/>
                  </w14:solidFill>
                </w14:textFill>
              </w:rPr>
              <w:t>m</w:t>
            </w:r>
            <w:r>
              <w:rPr>
                <w:rFonts w:hAnsiTheme="minorEastAsia" w:eastAsiaTheme="minorEastAsia"/>
                <w:color w:val="000000" w:themeColor="text1"/>
                <w:highlight w:val="none"/>
                <w:vertAlign w:val="superscript"/>
                <w14:textFill>
                  <w14:solidFill>
                    <w14:schemeClr w14:val="tx1"/>
                  </w14:solidFill>
                </w14:textFill>
              </w:rPr>
              <w:t>3</w:t>
            </w:r>
            <w:r>
              <w:rPr>
                <w:rFonts w:hint="eastAsia" w:hAnsiTheme="minorEastAsia" w:eastAsiaTheme="minorEastAsia"/>
                <w:color w:val="000000" w:themeColor="text1"/>
                <w:highlight w:val="none"/>
                <w14:textFill>
                  <w14:solidFill>
                    <w14:schemeClr w14:val="tx1"/>
                  </w14:solidFill>
                </w14:textFill>
              </w:rPr>
              <w:t>，油烟废气的排放可以满足《饮食业油烟排放标准（试行）》（GB18483-2001）中标准限值。</w:t>
            </w:r>
          </w:p>
          <w:p>
            <w:pPr>
              <w:pStyle w:val="5"/>
              <w:widowControl w:val="0"/>
              <w:ind w:firstLine="480"/>
              <w:rPr>
                <w:rFonts w:hint="default" w:hAnsiTheme="minorEastAsia" w:eastAsiaTheme="minorEastAsia"/>
                <w:color w:val="000000" w:themeColor="text1"/>
                <w:highlight w:val="none"/>
                <w:lang w:val="en-US" w:eastAsia="zh-CN"/>
                <w14:textFill>
                  <w14:solidFill>
                    <w14:schemeClr w14:val="tx1"/>
                  </w14:solidFill>
                </w14:textFill>
              </w:rPr>
            </w:pPr>
            <w:r>
              <w:rPr>
                <w:rFonts w:hint="eastAsia" w:hAnsiTheme="minorEastAsia" w:eastAsiaTheme="minorEastAsia"/>
                <w:color w:val="000000" w:themeColor="text1"/>
                <w:highlight w:val="none"/>
                <w:lang w:eastAsia="zh-CN"/>
                <w14:textFill>
                  <w14:solidFill>
                    <w14:schemeClr w14:val="tx1"/>
                  </w14:solidFill>
                </w14:textFill>
              </w:rPr>
              <w:t>（</w:t>
            </w:r>
            <w:r>
              <w:rPr>
                <w:rFonts w:hint="eastAsia" w:hAnsiTheme="minorEastAsia" w:eastAsiaTheme="minorEastAsia"/>
                <w:color w:val="000000" w:themeColor="text1"/>
                <w:highlight w:val="none"/>
                <w:lang w:val="en-US" w:eastAsia="zh-CN"/>
                <w14:textFill>
                  <w14:solidFill>
                    <w14:schemeClr w14:val="tx1"/>
                  </w14:solidFill>
                </w14:textFill>
              </w:rPr>
              <w:t>2</w:t>
            </w:r>
            <w:r>
              <w:rPr>
                <w:rFonts w:hint="eastAsia" w:hAnsiTheme="minorEastAsia" w:eastAsiaTheme="minorEastAsia"/>
                <w:color w:val="000000" w:themeColor="text1"/>
                <w:highlight w:val="none"/>
                <w:lang w:eastAsia="zh-CN"/>
                <w14:textFill>
                  <w14:solidFill>
                    <w14:schemeClr w14:val="tx1"/>
                  </w14:solidFill>
                </w14:textFill>
              </w:rPr>
              <w:t>）</w:t>
            </w:r>
            <w:r>
              <w:rPr>
                <w:rFonts w:hint="eastAsia" w:hAnsiTheme="minorEastAsia" w:eastAsiaTheme="minorEastAsia"/>
                <w:color w:val="000000" w:themeColor="text1"/>
                <w:highlight w:val="none"/>
                <w:lang w:val="en-US" w:eastAsia="zh-CN"/>
                <w14:textFill>
                  <w14:solidFill>
                    <w14:schemeClr w14:val="tx1"/>
                  </w14:solidFill>
                </w14:textFill>
              </w:rPr>
              <w:t>柴油发电机尾气</w:t>
            </w:r>
          </w:p>
          <w:p>
            <w:pPr>
              <w:pStyle w:val="5"/>
              <w:widowControl w:val="0"/>
              <w:ind w:firstLine="482"/>
              <w:rPr>
                <w:rFonts w:hint="eastAsia" w:cs="宋体"/>
                <w:b w:val="0"/>
                <w:bCs/>
                <w:color w:val="000000" w:themeColor="text1"/>
                <w:highlight w:val="none"/>
                <w14:textFill>
                  <w14:solidFill>
                    <w14:schemeClr w14:val="tx1"/>
                  </w14:solidFill>
                </w14:textFill>
              </w:rPr>
            </w:pPr>
            <w:r>
              <w:rPr>
                <w:rFonts w:hint="eastAsia" w:cs="宋体"/>
                <w:b w:val="0"/>
                <w:bCs/>
                <w:color w:val="000000" w:themeColor="text1"/>
                <w:highlight w:val="none"/>
                <w14:textFill>
                  <w14:solidFill>
                    <w14:schemeClr w14:val="tx1"/>
                  </w14:solidFill>
                </w14:textFill>
              </w:rPr>
              <w:t>项目在</w:t>
            </w:r>
            <w:r>
              <w:rPr>
                <w:rFonts w:hint="eastAsia" w:cs="宋体"/>
                <w:b w:val="0"/>
                <w:bCs/>
                <w:color w:val="000000" w:themeColor="text1"/>
                <w:highlight w:val="none"/>
                <w:lang w:val="en-US" w:eastAsia="zh-CN"/>
                <w14:textFill>
                  <w14:solidFill>
                    <w14:schemeClr w14:val="tx1"/>
                  </w14:solidFill>
                </w14:textFill>
              </w:rPr>
              <w:t>发电</w:t>
            </w:r>
            <w:r>
              <w:rPr>
                <w:rFonts w:hint="eastAsia" w:cs="宋体"/>
                <w:b w:val="0"/>
                <w:bCs/>
                <w:color w:val="000000" w:themeColor="text1"/>
                <w:highlight w:val="none"/>
                <w14:textFill>
                  <w14:solidFill>
                    <w14:schemeClr w14:val="tx1"/>
                  </w14:solidFill>
                </w14:textFill>
              </w:rPr>
              <w:t>房设置1台的柴油发电机组作为备用电源，只有当</w:t>
            </w:r>
            <w:r>
              <w:rPr>
                <w:rFonts w:hint="eastAsia" w:cs="宋体"/>
                <w:b w:val="0"/>
                <w:bCs/>
                <w:color w:val="000000" w:themeColor="text1"/>
                <w:highlight w:val="none"/>
                <w:lang w:val="en-US" w:eastAsia="zh-CN"/>
                <w14:textFill>
                  <w14:solidFill>
                    <w14:schemeClr w14:val="tx1"/>
                  </w14:solidFill>
                </w14:textFill>
              </w:rPr>
              <w:t>区域</w:t>
            </w:r>
            <w:r>
              <w:rPr>
                <w:rFonts w:hint="eastAsia" w:cs="宋体"/>
                <w:b w:val="0"/>
                <w:bCs/>
                <w:color w:val="000000" w:themeColor="text1"/>
                <w:highlight w:val="none"/>
                <w14:textFill>
                  <w14:solidFill>
                    <w14:schemeClr w14:val="tx1"/>
                  </w14:solidFill>
                </w14:textFill>
              </w:rPr>
              <w:t>停止供电时方启用，全年工作时间不超过</w:t>
            </w:r>
            <w:r>
              <w:rPr>
                <w:rFonts w:hint="eastAsia" w:cs="宋体"/>
                <w:b w:val="0"/>
                <w:bCs/>
                <w:color w:val="000000" w:themeColor="text1"/>
                <w:highlight w:val="none"/>
                <w:lang w:val="en-US" w:eastAsia="zh-CN"/>
                <w14:textFill>
                  <w14:solidFill>
                    <w14:schemeClr w14:val="tx1"/>
                  </w14:solidFill>
                </w14:textFill>
              </w:rPr>
              <w:t>80</w:t>
            </w:r>
            <w:r>
              <w:rPr>
                <w:rFonts w:hint="eastAsia" w:cs="宋体"/>
                <w:b w:val="0"/>
                <w:bCs/>
                <w:color w:val="000000" w:themeColor="text1"/>
                <w:highlight w:val="none"/>
                <w14:textFill>
                  <w14:solidFill>
                    <w14:schemeClr w14:val="tx1"/>
                  </w14:solidFill>
                </w14:textFill>
              </w:rPr>
              <w:t>h，发电机燃油废气经自带烟气治理措施净化后</w:t>
            </w:r>
            <w:r>
              <w:rPr>
                <w:rFonts w:hint="eastAsia" w:cs="宋体"/>
                <w:b w:val="0"/>
                <w:bCs/>
                <w:color w:val="000000" w:themeColor="text1"/>
                <w:highlight w:val="none"/>
                <w:lang w:val="en-US" w:eastAsia="zh-CN"/>
                <w14:textFill>
                  <w14:solidFill>
                    <w14:schemeClr w14:val="tx1"/>
                  </w14:solidFill>
                </w14:textFill>
              </w:rPr>
              <w:t>经15m排气筒排放</w:t>
            </w:r>
            <w:r>
              <w:rPr>
                <w:rFonts w:hint="eastAsia" w:cs="宋体"/>
                <w:b w:val="0"/>
                <w:bCs/>
                <w:color w:val="000000" w:themeColor="text1"/>
                <w:highlight w:val="none"/>
                <w14:textFill>
                  <w14:solidFill>
                    <w14:schemeClr w14:val="tx1"/>
                  </w14:solidFill>
                </w14:textFill>
              </w:rPr>
              <w:t>，产生的 SO</w:t>
            </w:r>
            <w:r>
              <w:rPr>
                <w:rFonts w:hint="eastAsia" w:cs="宋体"/>
                <w:b w:val="0"/>
                <w:bCs/>
                <w:color w:val="000000" w:themeColor="text1"/>
                <w:highlight w:val="none"/>
                <w:vertAlign w:val="subscript"/>
                <w:lang w:val="en-US" w:eastAsia="zh-CN"/>
                <w14:textFill>
                  <w14:solidFill>
                    <w14:schemeClr w14:val="tx1"/>
                  </w14:solidFill>
                </w14:textFill>
              </w:rPr>
              <w:t>2</w:t>
            </w:r>
            <w:r>
              <w:rPr>
                <w:rFonts w:hint="eastAsia" w:cs="宋体"/>
                <w:b w:val="0"/>
                <w:bCs/>
                <w:color w:val="000000" w:themeColor="text1"/>
                <w:highlight w:val="none"/>
                <w14:textFill>
                  <w14:solidFill>
                    <w14:schemeClr w14:val="tx1"/>
                  </w14:solidFill>
                </w14:textFill>
              </w:rPr>
              <w:t>、NO</w:t>
            </w:r>
            <w:r>
              <w:rPr>
                <w:rFonts w:hint="eastAsia" w:cs="宋体"/>
                <w:b w:val="0"/>
                <w:bCs/>
                <w:color w:val="000000" w:themeColor="text1"/>
                <w:highlight w:val="none"/>
                <w:vertAlign w:val="subscript"/>
                <w:lang w:val="en-US" w:eastAsia="zh-CN"/>
                <w14:textFill>
                  <w14:solidFill>
                    <w14:schemeClr w14:val="tx1"/>
                  </w14:solidFill>
                </w14:textFill>
              </w:rPr>
              <w:t>x</w:t>
            </w:r>
            <w:r>
              <w:rPr>
                <w:rFonts w:hint="eastAsia" w:cs="宋体"/>
                <w:b w:val="0"/>
                <w:bCs/>
                <w:color w:val="000000" w:themeColor="text1"/>
                <w:highlight w:val="none"/>
                <w14:textFill>
                  <w14:solidFill>
                    <w14:schemeClr w14:val="tx1"/>
                  </w14:solidFill>
                </w14:textFill>
              </w:rPr>
              <w:t>、颗粒物的污染物排放浓度均达到《大气污染物综合排放标准》（GB16297-1996）中新污染源最高允许排放浓度要求，对周围环境影响较小。</w:t>
            </w:r>
          </w:p>
          <w:p>
            <w:pPr>
              <w:pStyle w:val="5"/>
              <w:widowControl w:val="0"/>
              <w:ind w:firstLine="482"/>
              <w:rPr>
                <w:rFonts w:cs="宋体"/>
                <w:b w:val="0"/>
                <w:bCs/>
                <w:color w:val="000000" w:themeColor="text1"/>
                <w:highlight w:val="none"/>
                <w14:textFill>
                  <w14:solidFill>
                    <w14:schemeClr w14:val="tx1"/>
                  </w14:solidFill>
                </w14:textFill>
              </w:rPr>
            </w:pPr>
            <w:r>
              <w:rPr>
                <w:rFonts w:hint="eastAsia" w:cs="宋体"/>
                <w:b w:val="0"/>
                <w:bCs/>
                <w:color w:val="000000" w:themeColor="text1"/>
                <w:highlight w:val="none"/>
                <w14:textFill>
                  <w14:solidFill>
                    <w14:schemeClr w14:val="tx1"/>
                  </w14:solidFill>
                </w14:textFill>
              </w:rPr>
              <w:t>（</w:t>
            </w:r>
            <w:r>
              <w:rPr>
                <w:rFonts w:hint="eastAsia" w:cs="宋体"/>
                <w:b w:val="0"/>
                <w:bCs/>
                <w:color w:val="000000" w:themeColor="text1"/>
                <w:highlight w:val="none"/>
                <w:lang w:val="en-US" w:eastAsia="zh-CN"/>
                <w14:textFill>
                  <w14:solidFill>
                    <w14:schemeClr w14:val="tx1"/>
                  </w14:solidFill>
                </w14:textFill>
              </w:rPr>
              <w:t>3</w:t>
            </w:r>
            <w:r>
              <w:rPr>
                <w:rFonts w:hint="eastAsia" w:cs="宋体"/>
                <w:b w:val="0"/>
                <w:bCs/>
                <w:color w:val="000000" w:themeColor="text1"/>
                <w:highlight w:val="none"/>
                <w14:textFill>
                  <w14:solidFill>
                    <w14:schemeClr w14:val="tx1"/>
                  </w14:solidFill>
                </w14:textFill>
              </w:rPr>
              <w:t>）大气环境影响分析结论</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根据前文分析可知，</w:t>
            </w:r>
            <w:r>
              <w:rPr>
                <w:rFonts w:hint="eastAsia" w:cs="Times New Roman"/>
                <w:color w:val="000000" w:themeColor="text1"/>
                <w:highlight w:val="none"/>
                <w14:textFill>
                  <w14:solidFill>
                    <w14:schemeClr w14:val="tx1"/>
                  </w14:solidFill>
                </w14:textFill>
              </w:rPr>
              <w:t>本项目废气产生量较少，对周边环境影响较小。</w:t>
            </w:r>
            <w:r>
              <w:rPr>
                <w:rFonts w:hint="eastAsia"/>
                <w:color w:val="000000" w:themeColor="text1"/>
                <w:highlight w:val="none"/>
                <w14:textFill>
                  <w14:solidFill>
                    <w14:schemeClr w14:val="tx1"/>
                  </w14:solidFill>
                </w14:textFill>
              </w:rPr>
              <w:t>本项目评价范围内无自然保护区、风景旅游点和文物古迹等需要特殊保护的环境敏感对象</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项目该周边大气敏感目标距离较远，因此项目废气对周边敏感点影响较小。</w:t>
            </w:r>
            <w:r>
              <w:rPr>
                <w:rFonts w:hint="eastAsia"/>
                <w:color w:val="000000" w:themeColor="text1"/>
                <w:highlight w:val="none"/>
                <w14:textFill>
                  <w14:solidFill>
                    <w14:schemeClr w14:val="tx1"/>
                  </w14:solidFill>
                </w14:textFill>
              </w:rPr>
              <w:t>总体上不因本项目的实施而改变区域环境现有功能，对区域大气环境的影响较小。</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由此可见，本项目建成后废气对周围环境的影响在可接受范围内。</w:t>
            </w:r>
          </w:p>
          <w:p>
            <w:pPr>
              <w:pStyle w:val="4"/>
              <w:widowControl w:val="0"/>
              <w:ind w:left="0" w:leftChars="0" w:firstLine="0" w:firstLineChars="0"/>
              <w:jc w:val="both"/>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运营期</w:t>
            </w:r>
            <w:r>
              <w:rPr>
                <w:rFonts w:hint="eastAsia"/>
                <w:color w:val="000000" w:themeColor="text1"/>
                <w:highlight w:val="none"/>
                <w:lang w:val="en-US" w:eastAsia="zh-CN"/>
                <w14:textFill>
                  <w14:solidFill>
                    <w14:schemeClr w14:val="tx1"/>
                  </w14:solidFill>
                </w14:textFill>
              </w:rPr>
              <w:t>废水</w:t>
            </w:r>
          </w:p>
          <w:p>
            <w:pPr>
              <w:pStyle w:val="5"/>
              <w:widowControl w:val="0"/>
              <w:ind w:firstLine="48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项目运营期废水主要为沉淀池排泥水、反冲洗废水以及员工生活污水</w:t>
            </w:r>
            <w:r>
              <w:rPr>
                <w:rFonts w:hint="eastAsia"/>
                <w:highlight w:val="none"/>
                <w:lang w:eastAsia="zh-CN"/>
              </w:rPr>
              <w:t>。</w:t>
            </w:r>
          </w:p>
          <w:p>
            <w:pPr>
              <w:pStyle w:val="5"/>
              <w:widowControl w:val="0"/>
              <w:ind w:firstLine="480"/>
              <w:rPr>
                <w:rFonts w:hint="default" w:eastAsia="宋体"/>
                <w:b w:val="0"/>
                <w:bCs w:val="0"/>
                <w:color w:val="000000" w:themeColor="text1"/>
                <w:highlight w:val="none"/>
                <w:u w:val="single" w:color="auto"/>
                <w:lang w:val="en-US" w:eastAsia="zh-CN"/>
                <w14:textFill>
                  <w14:solidFill>
                    <w14:schemeClr w14:val="tx1"/>
                  </w14:solidFill>
                </w14:textFill>
              </w:rPr>
            </w:pPr>
            <w:r>
              <w:rPr>
                <w:rFonts w:hint="eastAsia"/>
                <w:b w:val="0"/>
                <w:bCs w:val="0"/>
                <w:color w:val="000000" w:themeColor="text1"/>
                <w:highlight w:val="none"/>
                <w:u w:val="single" w:color="auto"/>
                <w:lang w:eastAsia="zh-CN"/>
                <w14:textFill>
                  <w14:solidFill>
                    <w14:schemeClr w14:val="tx1"/>
                  </w14:solidFill>
                </w14:textFill>
              </w:rPr>
              <w:t>（</w:t>
            </w:r>
            <w:r>
              <w:rPr>
                <w:rFonts w:hint="eastAsia"/>
                <w:b w:val="0"/>
                <w:bCs w:val="0"/>
                <w:color w:val="000000" w:themeColor="text1"/>
                <w:highlight w:val="none"/>
                <w:u w:val="single" w:color="auto"/>
                <w:lang w:val="en-US" w:eastAsia="zh-CN"/>
                <w14:textFill>
                  <w14:solidFill>
                    <w14:schemeClr w14:val="tx1"/>
                  </w14:solidFill>
                </w14:textFill>
              </w:rPr>
              <w:t>1</w:t>
            </w:r>
            <w:r>
              <w:rPr>
                <w:rFonts w:hint="eastAsia"/>
                <w:b w:val="0"/>
                <w:bCs w:val="0"/>
                <w:color w:val="000000" w:themeColor="text1"/>
                <w:highlight w:val="none"/>
                <w:u w:val="single" w:color="auto"/>
                <w:lang w:eastAsia="zh-CN"/>
                <w14:textFill>
                  <w14:solidFill>
                    <w14:schemeClr w14:val="tx1"/>
                  </w14:solidFill>
                </w14:textFill>
              </w:rPr>
              <w:t>）</w:t>
            </w:r>
            <w:r>
              <w:rPr>
                <w:rFonts w:hint="eastAsia"/>
                <w:b w:val="0"/>
                <w:bCs w:val="0"/>
                <w:color w:val="000000" w:themeColor="text1"/>
                <w:highlight w:val="none"/>
                <w:u w:val="single" w:color="auto"/>
                <w:lang w:val="en-US" w:eastAsia="zh-CN"/>
                <w14:textFill>
                  <w14:solidFill>
                    <w14:schemeClr w14:val="tx1"/>
                  </w14:solidFill>
                </w14:textFill>
              </w:rPr>
              <w:t>沉淀池排泥水</w:t>
            </w:r>
          </w:p>
          <w:p>
            <w:pPr>
              <w:pStyle w:val="5"/>
              <w:widowControl w:val="0"/>
              <w:ind w:firstLine="480"/>
              <w:rPr>
                <w:rFonts w:hint="eastAsia"/>
                <w:color w:val="000000" w:themeColor="text1"/>
                <w:highlight w:val="none"/>
                <w:u w:val="single" w:color="auto"/>
                <w:lang w:val="en-US" w:bidi="zh-CN"/>
                <w14:textFill>
                  <w14:solidFill>
                    <w14:schemeClr w14:val="tx1"/>
                  </w14:solidFill>
                </w14:textFill>
              </w:rPr>
            </w:pPr>
            <w:r>
              <w:rPr>
                <w:rFonts w:hint="eastAsia"/>
                <w:color w:val="000000" w:themeColor="text1"/>
                <w:highlight w:val="none"/>
                <w:u w:val="single" w:color="auto"/>
                <w:lang w:bidi="zh-CN"/>
                <w14:textFill>
                  <w14:solidFill>
                    <w14:schemeClr w14:val="tx1"/>
                  </w14:solidFill>
                </w14:textFill>
              </w:rPr>
              <w:t>本项目采用混凝沉淀的方法去除杂质，混凝剂采用</w:t>
            </w:r>
            <w:r>
              <w:rPr>
                <w:rFonts w:hint="eastAsia"/>
                <w:color w:val="000000" w:themeColor="text1"/>
                <w:highlight w:val="none"/>
                <w:u w:val="single" w:color="auto"/>
                <w:lang w:val="en-US" w:bidi="zh-CN"/>
                <w14:textFill>
                  <w14:solidFill>
                    <w14:schemeClr w14:val="tx1"/>
                  </w14:solidFill>
                </w14:textFill>
              </w:rPr>
              <w:t>聚合氯化铝，水中杂质絮凝后生成良好的絮体经过稳流器后进入配水区，然后由下而上通过斜管，原水中杂质与水在斜管内迅速分离，清水从上部经集水区、通过不锈钢集水槽流入滤池，沉淀在斜管壁上的杂质沿管壁划入积泥区由穿孔排泥管定期排出池外。排泥水排至池体周边排水渠后，进入污泥池，上清液进行回流作为原水使用，浓缩污泥进一步脱水处理。</w:t>
            </w:r>
          </w:p>
          <w:p>
            <w:pPr>
              <w:pStyle w:val="5"/>
              <w:widowControl w:val="0"/>
              <w:ind w:firstLine="480"/>
              <w:rPr>
                <w:rFonts w:hint="default"/>
                <w:color w:val="000000" w:themeColor="text1"/>
                <w:highlight w:val="none"/>
                <w:u w:val="single" w:color="auto"/>
                <w:vertAlign w:val="baseline"/>
                <w:lang w:val="en-US" w:bidi="zh-CN"/>
                <w14:textFill>
                  <w14:solidFill>
                    <w14:schemeClr w14:val="tx1"/>
                  </w14:solidFill>
                </w14:textFill>
              </w:rPr>
            </w:pPr>
            <w:r>
              <w:rPr>
                <w:rFonts w:hint="eastAsia"/>
                <w:color w:val="000000" w:themeColor="text1"/>
                <w:highlight w:val="none"/>
                <w:u w:val="single" w:color="auto"/>
                <w:lang w:val="en-US" w:bidi="zh-CN"/>
                <w14:textFill>
                  <w14:solidFill>
                    <w14:schemeClr w14:val="tx1"/>
                  </w14:solidFill>
                </w14:textFill>
              </w:rPr>
              <w:t>参考</w:t>
            </w:r>
            <w:r>
              <w:rPr>
                <w:rFonts w:hint="default" w:ascii="Times New Roman" w:hAnsi="Times New Roman" w:cs="Times New Roman"/>
                <w:sz w:val="24"/>
                <w:szCs w:val="24"/>
                <w:highlight w:val="none"/>
                <w:u w:val="single" w:color="auto"/>
              </w:rPr>
              <w:t>湖南省</w:t>
            </w:r>
            <w:r>
              <w:rPr>
                <w:rFonts w:hint="eastAsia"/>
                <w:color w:val="000000" w:themeColor="text1"/>
                <w:highlight w:val="none"/>
                <w:u w:val="single" w:color="auto"/>
                <w:lang w:val="en-US" w:bidi="zh-CN"/>
                <w14:textFill>
                  <w14:solidFill>
                    <w14:schemeClr w14:val="tx1"/>
                  </w14:solidFill>
                </w14:textFill>
              </w:rPr>
              <w:t>《排放源统计调查产排污核算方法和系数手册》4610 自来水生产和供应行业系数手册，原料为地表水，为规模≤5 万吨／日的自来水供应，工业废水量为6.16</w:t>
            </w:r>
            <w:r>
              <w:rPr>
                <w:rFonts w:hint="default" w:ascii="Arial" w:hAnsi="Arial" w:cs="Arial"/>
                <w:color w:val="000000" w:themeColor="text1"/>
                <w:highlight w:val="none"/>
                <w:u w:val="single" w:color="auto"/>
                <w:lang w:val="en-US" w:bidi="zh-CN"/>
                <w14:textFill>
                  <w14:solidFill>
                    <w14:schemeClr w14:val="tx1"/>
                  </w14:solidFill>
                </w14:textFill>
              </w:rPr>
              <w:t>×</w:t>
            </w:r>
            <w:r>
              <w:rPr>
                <w:rFonts w:hint="eastAsia"/>
                <w:color w:val="000000" w:themeColor="text1"/>
                <w:highlight w:val="none"/>
                <w:u w:val="single" w:color="auto"/>
                <w:lang w:val="en-US" w:bidi="zh-CN"/>
                <w14:textFill>
                  <w14:solidFill>
                    <w14:schemeClr w14:val="tx1"/>
                  </w14:solidFill>
                </w14:textFill>
              </w:rPr>
              <w:t>10</w:t>
            </w:r>
            <w:r>
              <w:rPr>
                <w:rFonts w:hint="eastAsia"/>
                <w:color w:val="000000" w:themeColor="text1"/>
                <w:highlight w:val="none"/>
                <w:u w:val="single" w:color="auto"/>
                <w:vertAlign w:val="superscript"/>
                <w:lang w:val="en-US" w:bidi="zh-CN"/>
                <w14:textFill>
                  <w14:solidFill>
                    <w14:schemeClr w14:val="tx1"/>
                  </w14:solidFill>
                </w14:textFill>
              </w:rPr>
              <w:t>-2</w:t>
            </w:r>
            <w:r>
              <w:rPr>
                <w:rFonts w:hint="eastAsia"/>
                <w:color w:val="000000" w:themeColor="text1"/>
                <w:highlight w:val="none"/>
                <w:u w:val="single" w:color="auto"/>
                <w:vertAlign w:val="baseline"/>
                <w:lang w:val="en-US" w:bidi="zh-CN"/>
                <w14:textFill>
                  <w14:solidFill>
                    <w14:schemeClr w14:val="tx1"/>
                  </w14:solidFill>
                </w14:textFill>
              </w:rPr>
              <w:t>吨/吨-产品，计算得本项目沉淀池排泥水量为59.136t/d（21584.64t/a）。约有90%上清液53.2t/d（19426.2t/a）作为原水回用，其余泥水经污泥压滤机进行压滤脱水，其中9.5%为滤液5.62t/d（2050.55t/a），作为厂区绿化使用，剩余0.5%为泥饼（含水率40%），产生量为0.3t/d</w:t>
            </w:r>
            <w:r>
              <w:rPr>
                <w:rFonts w:hint="eastAsia"/>
                <w:color w:val="auto"/>
                <w:highlight w:val="none"/>
                <w:u w:val="single" w:color="auto"/>
                <w:vertAlign w:val="baseline"/>
                <w:lang w:val="en-US" w:bidi="zh-CN"/>
              </w:rPr>
              <w:t>（107.9t/a）</w:t>
            </w:r>
            <w:r>
              <w:rPr>
                <w:rFonts w:hint="eastAsia"/>
                <w:color w:val="auto"/>
                <w:highlight w:val="none"/>
                <w:u w:val="single" w:color="auto"/>
                <w:vertAlign w:val="baseline"/>
                <w:lang w:val="en-US" w:bidi="zh-CN"/>
              </w:rPr>
              <w:t>。</w:t>
            </w:r>
          </w:p>
          <w:p>
            <w:pPr>
              <w:pStyle w:val="5"/>
              <w:widowControl w:val="0"/>
              <w:ind w:firstLine="480"/>
              <w:rPr>
                <w:rFonts w:hint="default"/>
                <w:b w:val="0"/>
                <w:bCs w:val="0"/>
                <w:color w:val="000000" w:themeColor="text1"/>
                <w:highlight w:val="none"/>
                <w:lang w:val="en-US" w:bidi="zh-CN"/>
                <w14:textFill>
                  <w14:solidFill>
                    <w14:schemeClr w14:val="tx1"/>
                  </w14:solidFill>
                </w14:textFill>
              </w:rPr>
            </w:pPr>
            <w:r>
              <w:rPr>
                <w:rFonts w:hint="eastAsia"/>
                <w:b w:val="0"/>
                <w:bCs w:val="0"/>
                <w:color w:val="000000" w:themeColor="text1"/>
                <w:highlight w:val="none"/>
                <w:lang w:bidi="zh-CN"/>
                <w14:textFill>
                  <w14:solidFill>
                    <w14:schemeClr w14:val="tx1"/>
                  </w14:solidFill>
                </w14:textFill>
              </w:rPr>
              <w:t>（</w:t>
            </w:r>
            <w:r>
              <w:rPr>
                <w:rFonts w:hint="eastAsia"/>
                <w:b w:val="0"/>
                <w:bCs w:val="0"/>
                <w:color w:val="000000" w:themeColor="text1"/>
                <w:highlight w:val="none"/>
                <w:lang w:val="en-US" w:bidi="zh-CN"/>
                <w14:textFill>
                  <w14:solidFill>
                    <w14:schemeClr w14:val="tx1"/>
                  </w14:solidFill>
                </w14:textFill>
              </w:rPr>
              <w:t>2</w:t>
            </w:r>
            <w:r>
              <w:rPr>
                <w:rFonts w:hint="eastAsia"/>
                <w:b w:val="0"/>
                <w:bCs w:val="0"/>
                <w:color w:val="000000" w:themeColor="text1"/>
                <w:highlight w:val="none"/>
                <w:lang w:bidi="zh-CN"/>
                <w14:textFill>
                  <w14:solidFill>
                    <w14:schemeClr w14:val="tx1"/>
                  </w14:solidFill>
                </w14:textFill>
              </w:rPr>
              <w:t>）</w:t>
            </w:r>
            <w:r>
              <w:rPr>
                <w:rFonts w:hint="eastAsia"/>
                <w:b w:val="0"/>
                <w:bCs w:val="0"/>
                <w:color w:val="000000" w:themeColor="text1"/>
                <w:highlight w:val="none"/>
                <w:lang w:val="en-US" w:bidi="zh-CN"/>
                <w14:textFill>
                  <w14:solidFill>
                    <w14:schemeClr w14:val="tx1"/>
                  </w14:solidFill>
                </w14:textFill>
              </w:rPr>
              <w:t>反冲洗水</w:t>
            </w:r>
          </w:p>
          <w:p>
            <w:pPr>
              <w:pStyle w:val="5"/>
              <w:widowControl w:val="0"/>
              <w:ind w:firstLine="480"/>
              <w:rPr>
                <w:rFonts w:hint="default" w:eastAsia="宋体"/>
                <w:color w:val="000000" w:themeColor="text1"/>
                <w:highlight w:val="none"/>
                <w:lang w:val="en-US" w:eastAsia="zh-CN" w:bidi="zh-CN"/>
                <w14:textFill>
                  <w14:solidFill>
                    <w14:schemeClr w14:val="tx1"/>
                  </w14:solidFill>
                </w14:textFill>
              </w:rPr>
            </w:pPr>
            <w:r>
              <w:rPr>
                <w:rFonts w:ascii="宋体" w:hAnsi="宋体" w:eastAsia="宋体" w:cs="宋体"/>
                <w:sz w:val="24"/>
                <w:szCs w:val="24"/>
                <w:highlight w:val="none"/>
              </w:rPr>
              <w:t>在滤池过滤过程中，滤料层截留的杂质数量不断增加，因而滤料层阻力不断增加，滤池水头损失增大，水位也会随之升高。因此，在过滤过程中，必须定时对过滤池进行反冲洗</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本项目反冲洗采用气水冲洗方式，先进行气冲、气水联合冲洗，最后进行水冲的方式。采用水泵从清水池中吸水冲洗，滤池反冲洗水排水直接回流作为原水回用。</w:t>
            </w:r>
          </w:p>
          <w:p>
            <w:pPr>
              <w:pStyle w:val="5"/>
              <w:widowControl w:val="0"/>
              <w:ind w:firstLine="480"/>
              <w:rPr>
                <w:rFonts w:hint="default"/>
                <w:color w:val="000000" w:themeColor="text1"/>
                <w:highlight w:val="none"/>
                <w:vertAlign w:val="baseline"/>
                <w:lang w:val="en-US" w:bidi="zh-CN"/>
                <w14:textFill>
                  <w14:solidFill>
                    <w14:schemeClr w14:val="tx1"/>
                  </w14:solidFill>
                </w14:textFill>
              </w:rPr>
            </w:pPr>
            <w:r>
              <w:rPr>
                <w:rFonts w:hint="eastAsia"/>
                <w:color w:val="000000" w:themeColor="text1"/>
                <w:highlight w:val="none"/>
                <w:lang w:val="en-US" w:bidi="zh-CN"/>
                <w14:textFill>
                  <w14:solidFill>
                    <w14:schemeClr w14:val="tx1"/>
                  </w14:solidFill>
                </w14:textFill>
              </w:rPr>
              <w:t>根据项目初步设计报告，反冲洗强度为4~8L/（m</w:t>
            </w:r>
            <w:r>
              <w:rPr>
                <w:rFonts w:hint="eastAsia"/>
                <w:color w:val="000000" w:themeColor="text1"/>
                <w:highlight w:val="none"/>
                <w:vertAlign w:val="superscript"/>
                <w:lang w:val="en-US" w:bidi="zh-CN"/>
                <w14:textFill>
                  <w14:solidFill>
                    <w14:schemeClr w14:val="tx1"/>
                  </w14:solidFill>
                </w14:textFill>
              </w:rPr>
              <w:t>2</w:t>
            </w:r>
            <w:r>
              <w:rPr>
                <w:rFonts w:hint="eastAsia"/>
                <w:color w:val="000000" w:themeColor="text1"/>
                <w:highlight w:val="none"/>
                <w:vertAlign w:val="baseline"/>
                <w:lang w:val="en-US" w:bidi="zh-CN"/>
                <w14:textFill>
                  <w14:solidFill>
                    <w14:schemeClr w14:val="tx1"/>
                  </w14:solidFill>
                </w14:textFill>
              </w:rPr>
              <w:t>.S），持续5min，过滤面积5.8m</w:t>
            </w:r>
            <w:r>
              <w:rPr>
                <w:rFonts w:hint="eastAsia"/>
                <w:color w:val="000000" w:themeColor="text1"/>
                <w:highlight w:val="none"/>
                <w:vertAlign w:val="superscript"/>
                <w:lang w:val="en-US" w:bidi="zh-CN"/>
                <w14:textFill>
                  <w14:solidFill>
                    <w14:schemeClr w14:val="tx1"/>
                  </w14:solidFill>
                </w14:textFill>
              </w:rPr>
              <w:t>2</w:t>
            </w:r>
            <w:r>
              <w:rPr>
                <w:rFonts w:hint="eastAsia"/>
                <w:color w:val="000000" w:themeColor="text1"/>
                <w:highlight w:val="none"/>
                <w:vertAlign w:val="baseline"/>
                <w:lang w:val="en-US" w:bidi="zh-CN"/>
                <w14:textFill>
                  <w14:solidFill>
                    <w14:schemeClr w14:val="tx1"/>
                  </w14:solidFill>
                </w14:textFill>
              </w:rPr>
              <w:t>，本项目取中间值6L</w:t>
            </w:r>
            <w:r>
              <w:rPr>
                <w:rFonts w:hint="eastAsia"/>
                <w:color w:val="000000" w:themeColor="text1"/>
                <w:highlight w:val="none"/>
                <w:lang w:val="en-US" w:bidi="zh-CN"/>
                <w14:textFill>
                  <w14:solidFill>
                    <w14:schemeClr w14:val="tx1"/>
                  </w14:solidFill>
                </w14:textFill>
              </w:rPr>
              <w:t>/（m</w:t>
            </w:r>
            <w:r>
              <w:rPr>
                <w:rFonts w:hint="eastAsia"/>
                <w:color w:val="000000" w:themeColor="text1"/>
                <w:highlight w:val="none"/>
                <w:vertAlign w:val="superscript"/>
                <w:lang w:val="en-US" w:bidi="zh-CN"/>
                <w14:textFill>
                  <w14:solidFill>
                    <w14:schemeClr w14:val="tx1"/>
                  </w14:solidFill>
                </w14:textFill>
              </w:rPr>
              <w:t>2</w:t>
            </w:r>
            <w:r>
              <w:rPr>
                <w:rFonts w:hint="eastAsia"/>
                <w:color w:val="000000" w:themeColor="text1"/>
                <w:highlight w:val="none"/>
                <w:vertAlign w:val="baseline"/>
                <w:lang w:val="en-US" w:bidi="zh-CN"/>
                <w14:textFill>
                  <w14:solidFill>
                    <w14:schemeClr w14:val="tx1"/>
                  </w14:solidFill>
                </w14:textFill>
              </w:rPr>
              <w:t>.S），则反冲洗水量为10.44m</w:t>
            </w:r>
            <w:r>
              <w:rPr>
                <w:rFonts w:hint="eastAsia"/>
                <w:color w:val="000000" w:themeColor="text1"/>
                <w:highlight w:val="none"/>
                <w:vertAlign w:val="superscript"/>
                <w:lang w:val="en-US" w:bidi="zh-CN"/>
                <w14:textFill>
                  <w14:solidFill>
                    <w14:schemeClr w14:val="tx1"/>
                  </w14:solidFill>
                </w14:textFill>
              </w:rPr>
              <w:t>3</w:t>
            </w:r>
            <w:r>
              <w:rPr>
                <w:rFonts w:hint="eastAsia"/>
                <w:color w:val="000000" w:themeColor="text1"/>
                <w:highlight w:val="none"/>
                <w:vertAlign w:val="baseline"/>
                <w:lang w:val="en-US" w:bidi="zh-CN"/>
                <w14:textFill>
                  <w14:solidFill>
                    <w14:schemeClr w14:val="tx1"/>
                  </w14:solidFill>
                </w14:textFill>
              </w:rPr>
              <w:t>/d（3810.6m</w:t>
            </w:r>
            <w:r>
              <w:rPr>
                <w:rFonts w:hint="eastAsia"/>
                <w:color w:val="000000" w:themeColor="text1"/>
                <w:highlight w:val="none"/>
                <w:vertAlign w:val="superscript"/>
                <w:lang w:val="en-US" w:bidi="zh-CN"/>
                <w14:textFill>
                  <w14:solidFill>
                    <w14:schemeClr w14:val="tx1"/>
                  </w14:solidFill>
                </w14:textFill>
              </w:rPr>
              <w:t>3</w:t>
            </w:r>
            <w:r>
              <w:rPr>
                <w:rFonts w:hint="eastAsia"/>
                <w:color w:val="000000" w:themeColor="text1"/>
                <w:highlight w:val="none"/>
                <w:vertAlign w:val="baseline"/>
                <w:lang w:val="en-US" w:bidi="zh-CN"/>
                <w14:textFill>
                  <w14:solidFill>
                    <w14:schemeClr w14:val="tx1"/>
                  </w14:solidFill>
                </w14:textFill>
              </w:rPr>
              <w:t>/a）。</w:t>
            </w:r>
          </w:p>
          <w:p>
            <w:pPr>
              <w:pStyle w:val="5"/>
              <w:widowControl w:val="0"/>
              <w:ind w:firstLine="480"/>
              <w:rPr>
                <w:rFonts w:hint="default"/>
                <w:b w:val="0"/>
                <w:bCs w:val="0"/>
                <w:color w:val="000000" w:themeColor="text1"/>
                <w:highlight w:val="none"/>
                <w:lang w:val="en-US" w:bidi="zh-CN"/>
                <w14:textFill>
                  <w14:solidFill>
                    <w14:schemeClr w14:val="tx1"/>
                  </w14:solidFill>
                </w14:textFill>
              </w:rPr>
            </w:pPr>
            <w:r>
              <w:rPr>
                <w:rFonts w:hint="eastAsia"/>
                <w:b w:val="0"/>
                <w:bCs w:val="0"/>
                <w:color w:val="000000" w:themeColor="text1"/>
                <w:highlight w:val="none"/>
                <w:lang w:bidi="zh-CN"/>
                <w14:textFill>
                  <w14:solidFill>
                    <w14:schemeClr w14:val="tx1"/>
                  </w14:solidFill>
                </w14:textFill>
              </w:rPr>
              <w:t>（</w:t>
            </w:r>
            <w:r>
              <w:rPr>
                <w:rFonts w:hint="eastAsia"/>
                <w:b w:val="0"/>
                <w:bCs w:val="0"/>
                <w:color w:val="000000" w:themeColor="text1"/>
                <w:highlight w:val="none"/>
                <w:lang w:val="en-US" w:bidi="zh-CN"/>
                <w14:textFill>
                  <w14:solidFill>
                    <w14:schemeClr w14:val="tx1"/>
                  </w14:solidFill>
                </w14:textFill>
              </w:rPr>
              <w:t>3</w:t>
            </w:r>
            <w:r>
              <w:rPr>
                <w:rFonts w:hint="eastAsia"/>
                <w:b w:val="0"/>
                <w:bCs w:val="0"/>
                <w:color w:val="000000" w:themeColor="text1"/>
                <w:highlight w:val="none"/>
                <w:lang w:bidi="zh-CN"/>
                <w14:textFill>
                  <w14:solidFill>
                    <w14:schemeClr w14:val="tx1"/>
                  </w14:solidFill>
                </w14:textFill>
              </w:rPr>
              <w:t>）</w:t>
            </w:r>
            <w:r>
              <w:rPr>
                <w:rFonts w:hint="eastAsia"/>
                <w:b w:val="0"/>
                <w:bCs w:val="0"/>
                <w:color w:val="000000" w:themeColor="text1"/>
                <w:highlight w:val="none"/>
                <w:lang w:val="en-US" w:bidi="zh-CN"/>
                <w14:textFill>
                  <w14:solidFill>
                    <w14:schemeClr w14:val="tx1"/>
                  </w14:solidFill>
                </w14:textFill>
              </w:rPr>
              <w:t>生活污水</w:t>
            </w:r>
          </w:p>
          <w:p>
            <w:pPr>
              <w:pStyle w:val="5"/>
              <w:widowControl w:val="0"/>
              <w:ind w:firstLine="480"/>
              <w:rPr>
                <w:rFonts w:hint="eastAsia"/>
                <w:color w:val="000000" w:themeColor="text1"/>
                <w:highlight w:val="none"/>
                <w:lang w:bidi="zh-CN"/>
                <w14:textFill>
                  <w14:solidFill>
                    <w14:schemeClr w14:val="tx1"/>
                  </w14:solidFill>
                </w14:textFill>
              </w:rPr>
            </w:pPr>
            <w:r>
              <w:rPr>
                <w:rFonts w:hint="default" w:ascii="Times New Roman" w:hAnsi="Times New Roman" w:eastAsia="宋体" w:cs="Times New Roman"/>
                <w:color w:val="000000"/>
                <w:kern w:val="0"/>
                <w:sz w:val="24"/>
                <w:szCs w:val="24"/>
                <w:highlight w:val="none"/>
                <w:lang w:val="en-US" w:eastAsia="zh-CN" w:bidi="ar"/>
              </w:rPr>
              <w:t>本项目劳动定员</w:t>
            </w:r>
            <w:r>
              <w:rPr>
                <w:rFonts w:hint="eastAsia" w:ascii="Times New Roman" w:hAnsi="Times New Roman" w:eastAsia="宋体" w:cs="Times New Roman"/>
                <w:color w:val="000000"/>
                <w:kern w:val="0"/>
                <w:sz w:val="24"/>
                <w:szCs w:val="24"/>
                <w:highlight w:val="none"/>
                <w:lang w:val="en-US" w:eastAsia="zh-CN" w:bidi="ar"/>
              </w:rPr>
              <w:t>6</w:t>
            </w:r>
            <w:r>
              <w:rPr>
                <w:rFonts w:hint="default" w:ascii="Times New Roman" w:hAnsi="Times New Roman" w:eastAsia="宋体" w:cs="Times New Roman"/>
                <w:color w:val="000000"/>
                <w:kern w:val="0"/>
                <w:sz w:val="24"/>
                <w:szCs w:val="24"/>
                <w:highlight w:val="none"/>
                <w:lang w:val="en-US" w:eastAsia="zh-CN" w:bidi="ar"/>
              </w:rPr>
              <w:t>人，</w:t>
            </w:r>
            <w:r>
              <w:rPr>
                <w:rFonts w:hint="eastAsia" w:cs="Times New Roman"/>
                <w:color w:val="000000"/>
                <w:kern w:val="0"/>
                <w:sz w:val="24"/>
                <w:szCs w:val="24"/>
                <w:highlight w:val="none"/>
                <w:lang w:val="en-US" w:eastAsia="zh-CN" w:bidi="ar"/>
              </w:rPr>
              <w:t>厂</w:t>
            </w:r>
            <w:r>
              <w:rPr>
                <w:rFonts w:hint="eastAsia" w:ascii="Times New Roman" w:hAnsi="Times New Roman" w:eastAsia="宋体" w:cs="Times New Roman"/>
                <w:color w:val="000000"/>
                <w:kern w:val="0"/>
                <w:sz w:val="24"/>
                <w:szCs w:val="24"/>
                <w:highlight w:val="none"/>
                <w:lang w:val="en-US" w:eastAsia="zh-CN" w:bidi="ar"/>
              </w:rPr>
              <w:t>内设置食堂、宿舍，</w:t>
            </w:r>
            <w:r>
              <w:rPr>
                <w:rFonts w:hint="default" w:ascii="Times New Roman" w:hAnsi="Times New Roman" w:eastAsia="宋体" w:cs="Times New Roman"/>
                <w:color w:val="000000"/>
                <w:kern w:val="0"/>
                <w:sz w:val="24"/>
                <w:szCs w:val="24"/>
                <w:highlight w:val="none"/>
                <w:lang w:val="en-US" w:eastAsia="zh-CN" w:bidi="ar"/>
              </w:rPr>
              <w:t>参照《湖南省用水定额》（DB43/T388-2020）</w:t>
            </w:r>
            <w:r>
              <w:rPr>
                <w:rFonts w:hint="eastAsia" w:ascii="Times New Roman" w:hAnsi="Times New Roman" w:eastAsia="宋体" w:cs="Times New Roman"/>
                <w:color w:val="000000"/>
                <w:kern w:val="0"/>
                <w:sz w:val="24"/>
                <w:szCs w:val="24"/>
                <w:highlight w:val="none"/>
                <w:lang w:val="en-US" w:eastAsia="zh-CN" w:bidi="ar"/>
              </w:rPr>
              <w:t>145L/人·d估算，则本项目用水量为0.87</w:t>
            </w:r>
            <w:r>
              <w:rPr>
                <w:rFonts w:hint="eastAsia"/>
                <w:color w:val="000000" w:themeColor="text1"/>
                <w:highlight w:val="none"/>
                <w:vertAlign w:val="baseline"/>
                <w:lang w:val="en-US" w:bidi="zh-CN"/>
                <w14:textFill>
                  <w14:solidFill>
                    <w14:schemeClr w14:val="tx1"/>
                  </w14:solidFill>
                </w14:textFill>
              </w:rPr>
              <w:t>m</w:t>
            </w:r>
            <w:r>
              <w:rPr>
                <w:rFonts w:hint="eastAsia"/>
                <w:color w:val="000000" w:themeColor="text1"/>
                <w:highlight w:val="none"/>
                <w:vertAlign w:val="superscript"/>
                <w:lang w:val="en-US" w:bidi="zh-CN"/>
                <w14:textFill>
                  <w14:solidFill>
                    <w14:schemeClr w14:val="tx1"/>
                  </w14:solidFill>
                </w14:textFill>
              </w:rPr>
              <w:t>3</w:t>
            </w:r>
            <w:r>
              <w:rPr>
                <w:rFonts w:hint="eastAsia"/>
                <w:color w:val="000000" w:themeColor="text1"/>
                <w:highlight w:val="none"/>
                <w:vertAlign w:val="baseline"/>
                <w:lang w:val="en-US" w:bidi="zh-CN"/>
                <w14:textFill>
                  <w14:solidFill>
                    <w14:schemeClr w14:val="tx1"/>
                  </w14:solidFill>
                </w14:textFill>
              </w:rPr>
              <w:t>/d（317.55m</w:t>
            </w:r>
            <w:r>
              <w:rPr>
                <w:rFonts w:hint="eastAsia"/>
                <w:color w:val="000000" w:themeColor="text1"/>
                <w:highlight w:val="none"/>
                <w:vertAlign w:val="superscript"/>
                <w:lang w:val="en-US" w:bidi="zh-CN"/>
                <w14:textFill>
                  <w14:solidFill>
                    <w14:schemeClr w14:val="tx1"/>
                  </w14:solidFill>
                </w14:textFill>
              </w:rPr>
              <w:t>3</w:t>
            </w:r>
            <w:r>
              <w:rPr>
                <w:rFonts w:hint="eastAsia"/>
                <w:color w:val="000000" w:themeColor="text1"/>
                <w:highlight w:val="none"/>
                <w:vertAlign w:val="baseline"/>
                <w:lang w:val="en-US" w:bidi="zh-CN"/>
                <w14:textFill>
                  <w14:solidFill>
                    <w14:schemeClr w14:val="tx1"/>
                  </w14:solidFill>
                </w14:textFill>
              </w:rPr>
              <w:t>/a）</w:t>
            </w:r>
            <w:r>
              <w:rPr>
                <w:rFonts w:hint="eastAsia" w:ascii="Times New Roman" w:hAnsi="Times New Roman" w:eastAsia="宋体" w:cs="Times New Roman"/>
                <w:color w:val="000000"/>
                <w:kern w:val="0"/>
                <w:sz w:val="24"/>
                <w:szCs w:val="24"/>
                <w:highlight w:val="none"/>
                <w:lang w:val="en-US" w:eastAsia="zh-CN" w:bidi="ar"/>
              </w:rPr>
              <w:t>，生活污水按80%计，项目生活污水为0.696</w:t>
            </w:r>
            <w:r>
              <w:rPr>
                <w:rFonts w:hint="eastAsia"/>
                <w:color w:val="000000" w:themeColor="text1"/>
                <w:highlight w:val="none"/>
                <w:vertAlign w:val="baseline"/>
                <w:lang w:val="en-US" w:bidi="zh-CN"/>
                <w14:textFill>
                  <w14:solidFill>
                    <w14:schemeClr w14:val="tx1"/>
                  </w14:solidFill>
                </w14:textFill>
              </w:rPr>
              <w:t>m</w:t>
            </w:r>
            <w:r>
              <w:rPr>
                <w:rFonts w:hint="eastAsia"/>
                <w:color w:val="000000" w:themeColor="text1"/>
                <w:highlight w:val="none"/>
                <w:vertAlign w:val="superscript"/>
                <w:lang w:val="en-US" w:bidi="zh-CN"/>
                <w14:textFill>
                  <w14:solidFill>
                    <w14:schemeClr w14:val="tx1"/>
                  </w14:solidFill>
                </w14:textFill>
              </w:rPr>
              <w:t>3</w:t>
            </w:r>
            <w:r>
              <w:rPr>
                <w:rFonts w:hint="eastAsia"/>
                <w:color w:val="000000" w:themeColor="text1"/>
                <w:highlight w:val="none"/>
                <w:vertAlign w:val="baseline"/>
                <w:lang w:val="en-US" w:bidi="zh-CN"/>
                <w14:textFill>
                  <w14:solidFill>
                    <w14:schemeClr w14:val="tx1"/>
                  </w14:solidFill>
                </w14:textFill>
              </w:rPr>
              <w:t>/d（254.04m</w:t>
            </w:r>
            <w:r>
              <w:rPr>
                <w:rFonts w:hint="eastAsia"/>
                <w:color w:val="000000" w:themeColor="text1"/>
                <w:highlight w:val="none"/>
                <w:vertAlign w:val="superscript"/>
                <w:lang w:val="en-US" w:bidi="zh-CN"/>
                <w14:textFill>
                  <w14:solidFill>
                    <w14:schemeClr w14:val="tx1"/>
                  </w14:solidFill>
                </w14:textFill>
              </w:rPr>
              <w:t>3</w:t>
            </w:r>
            <w:r>
              <w:rPr>
                <w:rFonts w:hint="eastAsia"/>
                <w:color w:val="000000" w:themeColor="text1"/>
                <w:highlight w:val="none"/>
                <w:vertAlign w:val="baseline"/>
                <w:lang w:val="en-US" w:bidi="zh-CN"/>
                <w14:textFill>
                  <w14:solidFill>
                    <w14:schemeClr w14:val="tx1"/>
                  </w14:solidFill>
                </w14:textFill>
              </w:rPr>
              <w:t>/a）</w:t>
            </w:r>
            <w:r>
              <w:rPr>
                <w:rFonts w:hint="eastAsia" w:ascii="Times New Roman" w:hAnsi="Times New Roman" w:eastAsia="宋体" w:cs="Times New Roman"/>
                <w:color w:val="000000"/>
                <w:kern w:val="0"/>
                <w:sz w:val="24"/>
                <w:szCs w:val="24"/>
                <w:highlight w:val="none"/>
                <w:lang w:val="en-US" w:eastAsia="zh-CN" w:bidi="ar"/>
              </w:rPr>
              <w:t>。生活污水经化粪池处理后用</w:t>
            </w:r>
            <w:r>
              <w:rPr>
                <w:rFonts w:hint="eastAsia" w:cs="Times New Roman"/>
                <w:color w:val="000000"/>
                <w:kern w:val="0"/>
                <w:sz w:val="24"/>
                <w:szCs w:val="24"/>
                <w:highlight w:val="none"/>
                <w:lang w:val="en-US" w:eastAsia="zh-CN" w:bidi="ar"/>
              </w:rPr>
              <w:t>作</w:t>
            </w:r>
            <w:r>
              <w:rPr>
                <w:rFonts w:hint="eastAsia" w:ascii="Times New Roman" w:hAnsi="Times New Roman" w:eastAsia="宋体" w:cs="Times New Roman"/>
                <w:color w:val="000000"/>
                <w:kern w:val="0"/>
                <w:sz w:val="24"/>
                <w:szCs w:val="24"/>
                <w:highlight w:val="none"/>
                <w:lang w:val="en-US" w:eastAsia="zh-CN" w:bidi="ar"/>
              </w:rPr>
              <w:t>周边</w:t>
            </w:r>
            <w:r>
              <w:rPr>
                <w:rFonts w:hint="eastAsia" w:cs="Times New Roman"/>
                <w:color w:val="000000"/>
                <w:kern w:val="0"/>
                <w:sz w:val="24"/>
                <w:szCs w:val="24"/>
                <w:highlight w:val="none"/>
                <w:lang w:val="en-US" w:eastAsia="zh-CN" w:bidi="ar"/>
              </w:rPr>
              <w:t>菜地农肥</w:t>
            </w:r>
            <w:r>
              <w:rPr>
                <w:rFonts w:hint="eastAsia" w:ascii="Times New Roman" w:hAnsi="Times New Roman" w:eastAsia="宋体" w:cs="Times New Roman"/>
                <w:color w:val="000000"/>
                <w:kern w:val="0"/>
                <w:sz w:val="24"/>
                <w:szCs w:val="24"/>
                <w:highlight w:val="none"/>
                <w:lang w:val="en-US" w:eastAsia="zh-CN" w:bidi="ar"/>
              </w:rPr>
              <w:t>使用</w:t>
            </w:r>
            <w:r>
              <w:rPr>
                <w:rFonts w:hint="eastAsia" w:cs="Times New Roman"/>
                <w:color w:val="000000"/>
                <w:kern w:val="0"/>
                <w:sz w:val="24"/>
                <w:szCs w:val="24"/>
                <w:highlight w:val="none"/>
                <w:lang w:val="en-US" w:eastAsia="zh-CN" w:bidi="ar"/>
              </w:rPr>
              <w:t>，</w:t>
            </w:r>
            <w:r>
              <w:rPr>
                <w:rFonts w:hint="eastAsia" w:ascii="Times New Roman" w:hAnsi="Times New Roman" w:eastAsia="宋体" w:cs="Times New Roman"/>
                <w:color w:val="000000"/>
                <w:kern w:val="0"/>
                <w:sz w:val="24"/>
                <w:szCs w:val="24"/>
                <w:highlight w:val="none"/>
                <w:lang w:val="en-US" w:eastAsia="zh-CN" w:bidi="ar"/>
              </w:rPr>
              <w:t>不外排</w:t>
            </w:r>
            <w:r>
              <w:rPr>
                <w:rFonts w:hint="eastAsia"/>
                <w:highlight w:val="none"/>
                <w:lang w:eastAsia="zh-CN"/>
              </w:rPr>
              <w:t>。</w:t>
            </w:r>
          </w:p>
          <w:p>
            <w:pPr>
              <w:pStyle w:val="5"/>
              <w:widowControl w:val="0"/>
              <w:ind w:firstLine="482"/>
              <w:rPr>
                <w:b w:val="0"/>
                <w:bCs w:val="0"/>
                <w:color w:val="000000" w:themeColor="text1"/>
                <w:highlight w:val="none"/>
                <w14:textFill>
                  <w14:solidFill>
                    <w14:schemeClr w14:val="tx1"/>
                  </w14:solidFill>
                </w14:textFill>
              </w:rPr>
            </w:pPr>
            <w:r>
              <w:rPr>
                <w:rFonts w:hint="eastAsia"/>
                <w:b w:val="0"/>
                <w:bCs w:val="0"/>
                <w:color w:val="000000" w:themeColor="text1"/>
                <w:highlight w:val="none"/>
                <w:lang w:eastAsia="zh-CN"/>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4</w:t>
            </w:r>
            <w:r>
              <w:rPr>
                <w:rFonts w:hint="eastAsia"/>
                <w:b w:val="0"/>
                <w:bCs w:val="0"/>
                <w:color w:val="000000" w:themeColor="text1"/>
                <w:highlight w:val="none"/>
                <w:lang w:eastAsia="zh-CN"/>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废水处理措施可行性</w:t>
            </w:r>
            <w:r>
              <w:rPr>
                <w:rFonts w:hint="eastAsia"/>
                <w:b w:val="0"/>
                <w:bCs w:val="0"/>
                <w:color w:val="000000" w:themeColor="text1"/>
                <w:highlight w:val="none"/>
                <w14:textFill>
                  <w14:solidFill>
                    <w14:schemeClr w14:val="tx1"/>
                  </w14:solidFill>
                </w14:textFill>
              </w:rPr>
              <w:t>分析</w:t>
            </w:r>
          </w:p>
          <w:p>
            <w:pPr>
              <w:pStyle w:val="5"/>
              <w:widowControl w:val="0"/>
              <w:ind w:firstLine="480"/>
              <w:rPr>
                <w:rFonts w:hint="default"/>
                <w:b w:val="0"/>
                <w:bCs w:val="0"/>
                <w:color w:val="000000" w:themeColor="text1"/>
                <w:highlight w:val="none"/>
                <w:u w:val="single"/>
                <w:lang w:val="en-US"/>
                <w14:textFill>
                  <w14:solidFill>
                    <w14:schemeClr w14:val="tx1"/>
                  </w14:solidFill>
                </w14:textFill>
              </w:rPr>
            </w:pPr>
            <w:r>
              <w:rPr>
                <w:rFonts w:hint="eastAsia"/>
                <w:color w:val="000000" w:themeColor="text1"/>
                <w:highlight w:val="none"/>
                <w:u w:val="single"/>
                <w14:textFill>
                  <w14:solidFill>
                    <w14:schemeClr w14:val="tx1"/>
                  </w14:solidFill>
                </w14:textFill>
              </w:rPr>
              <w:t>本项目</w:t>
            </w:r>
            <w:r>
              <w:rPr>
                <w:rFonts w:hint="eastAsia"/>
                <w:color w:val="000000" w:themeColor="text1"/>
                <w:highlight w:val="none"/>
                <w:u w:val="single"/>
                <w:lang w:bidi="zh-CN"/>
                <w14:textFill>
                  <w14:solidFill>
                    <w14:schemeClr w14:val="tx1"/>
                  </w14:solidFill>
                </w14:textFill>
              </w:rPr>
              <w:t>生活污水经化粪池预处理</w:t>
            </w:r>
            <w:r>
              <w:rPr>
                <w:rFonts w:hint="eastAsia"/>
                <w:color w:val="000000" w:themeColor="text1"/>
                <w:highlight w:val="none"/>
                <w:u w:val="single"/>
                <w:lang w:val="en-US" w:bidi="zh-CN"/>
                <w14:textFill>
                  <w14:solidFill>
                    <w14:schemeClr w14:val="tx1"/>
                  </w14:solidFill>
                </w14:textFill>
              </w:rPr>
              <w:t>后用作周边菜地作农肥，不外排；</w:t>
            </w:r>
            <w:r>
              <w:rPr>
                <w:rFonts w:hint="eastAsia"/>
                <w:color w:val="000000" w:themeColor="text1"/>
                <w:highlight w:val="none"/>
                <w:u w:val="single"/>
                <w:lang w:val="en-US" w:eastAsia="zh-CN"/>
                <w14:textFill>
                  <w14:solidFill>
                    <w14:schemeClr w14:val="tx1"/>
                  </w14:solidFill>
                </w14:textFill>
              </w:rPr>
              <w:t>反冲洗废水直接作为原水回用，不外排。沉淀池排泥水经池体周边排水渠进入污泥池，上清液进行回流作为原水使用，浓缩污泥进一步压滤脱水，滤液作为厂区绿化使用不外排。</w:t>
            </w:r>
          </w:p>
          <w:p>
            <w:pPr>
              <w:pStyle w:val="5"/>
              <w:widowControl w:val="0"/>
              <w:ind w:firstLine="482"/>
              <w:rPr>
                <w:rFonts w:hint="default"/>
                <w:b w:val="0"/>
                <w:bCs w:val="0"/>
                <w:color w:val="auto"/>
                <w:highlight w:val="none"/>
                <w:lang w:val="en-US" w:eastAsia="zh-CN"/>
              </w:rPr>
            </w:pPr>
            <w:r>
              <w:rPr>
                <w:rFonts w:hint="eastAsia"/>
                <w:b w:val="0"/>
                <w:bCs w:val="0"/>
                <w:color w:val="auto"/>
                <w:highlight w:val="none"/>
                <w:lang w:val="en-US" w:eastAsia="zh-CN"/>
              </w:rPr>
              <w:t>1）生活污水</w:t>
            </w:r>
          </w:p>
          <w:p>
            <w:pPr>
              <w:pStyle w:val="5"/>
              <w:widowControl w:val="0"/>
              <w:ind w:firstLine="482"/>
              <w:rPr>
                <w:rFonts w:hint="eastAsia"/>
                <w:b w:val="0"/>
                <w:bCs w:val="0"/>
                <w:color w:val="auto"/>
                <w:highlight w:val="none"/>
              </w:rPr>
            </w:pPr>
            <w:r>
              <w:rPr>
                <w:rFonts w:hint="eastAsia"/>
                <w:b w:val="0"/>
                <w:bCs w:val="0"/>
                <w:color w:val="auto"/>
                <w:highlight w:val="none"/>
              </w:rPr>
              <w:t>化粪池是一种利用沉淀和厌氧发酵的原理，去除生活污水中悬浮性有机物的处理设施，属于初级的过渡性生活处构筑物。生活污水中含有大量粪便、纸屑、病原虫，悬浮物，根据《化粪池污水处理能力研究及其评价》(兰州交通大学学报)污水进入化粪池经过12-24h的沉淀，可去除50% -60%的悬浮物、厌氧消化分解COD 25%以上，最高可达到86%。沉淀下来的污泥经过3个月以上的厌氧消化，使污泥中的有机物分解成稳定的无机物，易腐败的生污泥转化为稳定的熟污泥，改变了污泥的结构，降低了污泥的含水率。定期将污泥清掏外运，填埋或用作肥料。</w:t>
            </w:r>
          </w:p>
          <w:p>
            <w:pPr>
              <w:pStyle w:val="5"/>
              <w:widowControl w:val="0"/>
              <w:ind w:firstLine="482"/>
              <w:rPr>
                <w:rFonts w:hint="eastAsia"/>
                <w:b w:val="0"/>
                <w:bCs w:val="0"/>
                <w:color w:val="auto"/>
                <w:highlight w:val="none"/>
              </w:rPr>
            </w:pPr>
            <w:r>
              <w:rPr>
                <w:rFonts w:hint="eastAsia"/>
                <w:b w:val="0"/>
                <w:bCs w:val="0"/>
                <w:color w:val="auto"/>
                <w:highlight w:val="none"/>
                <w:lang w:val="en-US" w:eastAsia="zh-CN"/>
              </w:rPr>
              <w:t>项目周边主要分布以农田、菜地、林地为主。</w:t>
            </w:r>
            <w:r>
              <w:rPr>
                <w:rFonts w:hint="eastAsia"/>
                <w:b w:val="0"/>
                <w:bCs w:val="0"/>
                <w:color w:val="auto"/>
                <w:highlight w:val="none"/>
              </w:rPr>
              <w:t>本项目生活污水产生量为</w:t>
            </w:r>
            <w:r>
              <w:rPr>
                <w:rFonts w:hint="eastAsia"/>
                <w:b w:val="0"/>
                <w:bCs w:val="0"/>
                <w:color w:val="auto"/>
                <w:highlight w:val="none"/>
                <w:lang w:val="en-US" w:eastAsia="zh-CN"/>
              </w:rPr>
              <w:t>317.55</w:t>
            </w:r>
            <w:r>
              <w:rPr>
                <w:rFonts w:hint="eastAsia"/>
                <w:b w:val="0"/>
                <w:bCs w:val="0"/>
                <w:color w:val="auto"/>
                <w:highlight w:val="none"/>
              </w:rPr>
              <w:t>t/a，从水量上，项目附近的田地完全可以消纳本项目产生的生活污水；本项目污粪农用主要采用人工挑运的方式，从运输方式上可行。生活污水污染因子单一，可生化降解能力强，根据中国农村现状情况，及各地农村实际耕作经验，人畜的粪便经化粪池初步处理后是较好的生态有机肥，可以单独使用，也可以配合化肥使用。因此，本项目的生活污水从水量、运输方式、水质上看，用作农肥是可行的。</w:t>
            </w:r>
          </w:p>
          <w:p>
            <w:pPr>
              <w:pStyle w:val="5"/>
              <w:widowControl w:val="0"/>
              <w:ind w:firstLine="482"/>
              <w:rPr>
                <w:rFonts w:hint="default"/>
                <w:b w:val="0"/>
                <w:bCs w:val="0"/>
                <w:iCs/>
                <w:color w:val="auto"/>
                <w:highlight w:val="none"/>
                <w:u w:val="none"/>
                <w:lang w:val="en-US" w:eastAsia="zh-CN"/>
              </w:rPr>
            </w:pPr>
            <w:r>
              <w:rPr>
                <w:rFonts w:hint="eastAsia"/>
                <w:b w:val="0"/>
                <w:bCs w:val="0"/>
                <w:iCs/>
                <w:color w:val="auto"/>
                <w:highlight w:val="none"/>
                <w:u w:val="none"/>
                <w:lang w:val="en-US" w:eastAsia="zh-CN"/>
              </w:rPr>
              <w:t>2）生产废水</w:t>
            </w:r>
          </w:p>
          <w:p>
            <w:pPr>
              <w:pStyle w:val="5"/>
              <w:widowControl w:val="0"/>
              <w:ind w:firstLine="482"/>
              <w:rPr>
                <w:rFonts w:hint="default"/>
                <w:b w:val="0"/>
                <w:bCs w:val="0"/>
                <w:iCs/>
                <w:color w:val="auto"/>
                <w:highlight w:val="none"/>
                <w:u w:val="none"/>
                <w:lang w:val="en-US" w:eastAsia="zh-CN"/>
              </w:rPr>
            </w:pPr>
            <w:r>
              <w:rPr>
                <w:rFonts w:hint="eastAsia"/>
                <w:b w:val="0"/>
                <w:bCs w:val="0"/>
                <w:iCs/>
                <w:color w:val="auto"/>
                <w:highlight w:val="none"/>
                <w:u w:val="none"/>
                <w:lang w:val="en-US" w:eastAsia="zh-CN"/>
              </w:rPr>
              <w:t>本项目</w:t>
            </w:r>
            <w:r>
              <w:rPr>
                <w:rFonts w:hint="eastAsia"/>
                <w:color w:val="auto"/>
                <w:highlight w:val="none"/>
                <w:u w:val="none"/>
                <w:lang w:val="en-US" w:eastAsia="zh-CN"/>
              </w:rPr>
              <w:t>反冲洗废水、沉淀池排泥水水主要污染物为 SS。SS经重力作用沉淀，上层上清液可作为原水直接回用，污泥经压滤机脱水后送周边居民做农肥使用，压滤滤液做厂内绿化使用，本项目废水处理措施可行。</w:t>
            </w:r>
          </w:p>
          <w:p>
            <w:pPr>
              <w:pStyle w:val="5"/>
              <w:widowControl w:val="0"/>
              <w:ind w:firstLine="482"/>
              <w:rPr>
                <w:b w:val="0"/>
                <w:bCs w:val="0"/>
                <w:iCs/>
                <w:color w:val="000000" w:themeColor="text1"/>
                <w:highlight w:val="none"/>
                <w:u w:val="none"/>
                <w14:textFill>
                  <w14:solidFill>
                    <w14:schemeClr w14:val="tx1"/>
                  </w14:solidFill>
                </w14:textFill>
              </w:rPr>
            </w:pPr>
            <w:r>
              <w:rPr>
                <w:rFonts w:hint="eastAsia"/>
                <w:b w:val="0"/>
                <w:bCs w:val="0"/>
                <w:iCs/>
                <w:color w:val="000000" w:themeColor="text1"/>
                <w:highlight w:val="none"/>
                <w:u w:val="none"/>
                <w:lang w:eastAsia="zh-CN"/>
                <w14:textFill>
                  <w14:solidFill>
                    <w14:schemeClr w14:val="tx1"/>
                  </w14:solidFill>
                </w14:textFill>
              </w:rPr>
              <w:t>（</w:t>
            </w:r>
            <w:r>
              <w:rPr>
                <w:rFonts w:hint="eastAsia"/>
                <w:b w:val="0"/>
                <w:bCs w:val="0"/>
                <w:iCs/>
                <w:color w:val="000000" w:themeColor="text1"/>
                <w:highlight w:val="none"/>
                <w:u w:val="none"/>
                <w:lang w:val="en-US" w:eastAsia="zh-CN"/>
                <w14:textFill>
                  <w14:solidFill>
                    <w14:schemeClr w14:val="tx1"/>
                  </w14:solidFill>
                </w14:textFill>
              </w:rPr>
              <w:t>5</w:t>
            </w:r>
            <w:r>
              <w:rPr>
                <w:rFonts w:hint="eastAsia"/>
                <w:b w:val="0"/>
                <w:bCs w:val="0"/>
                <w:iCs/>
                <w:color w:val="000000" w:themeColor="text1"/>
                <w:highlight w:val="none"/>
                <w:u w:val="none"/>
                <w:lang w:eastAsia="zh-CN"/>
                <w14:textFill>
                  <w14:solidFill>
                    <w14:schemeClr w14:val="tx1"/>
                  </w14:solidFill>
                </w14:textFill>
              </w:rPr>
              <w:t>）</w:t>
            </w:r>
            <w:r>
              <w:rPr>
                <w:rFonts w:hint="eastAsia"/>
                <w:b w:val="0"/>
                <w:bCs w:val="0"/>
                <w:iCs/>
                <w:color w:val="000000" w:themeColor="text1"/>
                <w:highlight w:val="none"/>
                <w:u w:val="none"/>
                <w14:textFill>
                  <w14:solidFill>
                    <w14:schemeClr w14:val="tx1"/>
                  </w14:solidFill>
                </w14:textFill>
              </w:rPr>
              <w:t>监测计划</w:t>
            </w:r>
          </w:p>
          <w:p>
            <w:pPr>
              <w:pStyle w:val="5"/>
              <w:widowControl w:val="0"/>
              <w:ind w:firstLine="482"/>
              <w:rPr>
                <w:rFonts w:hint="default" w:ascii="Times New Roman" w:hAnsi="Times New Roman" w:eastAsia="宋体" w:cs="Times New Roman"/>
                <w:color w:val="auto"/>
                <w:sz w:val="24"/>
                <w:szCs w:val="32"/>
                <w:highlight w:val="none"/>
                <w:u w:val="single" w:color="auto"/>
                <w:lang w:val="en-US" w:eastAsia="zh-CN"/>
              </w:rPr>
            </w:pPr>
            <w:r>
              <w:rPr>
                <w:rFonts w:hint="eastAsia"/>
                <w:b w:val="0"/>
                <w:bCs w:val="0"/>
                <w:color w:val="000000" w:themeColor="text1"/>
                <w:highlight w:val="none"/>
                <w:u w:val="single"/>
                <w:lang w:val="en-US" w:eastAsia="zh-CN"/>
                <w14:textFill>
                  <w14:solidFill>
                    <w14:schemeClr w14:val="tx1"/>
                  </w14:solidFill>
                </w14:textFill>
              </w:rPr>
              <w:t>为保障居民用水安全，本评价要求建设单位定期对原水水质及水厂出水水质进行监测，监测频次参考《地表水与污水监测技术规范》（HJ/T91-2002</w:t>
            </w:r>
            <w:r>
              <w:rPr>
                <w:rFonts w:hint="eastAsia"/>
                <w:b w:val="0"/>
                <w:bCs w:val="0"/>
                <w:color w:val="000000" w:themeColor="text1"/>
                <w:highlight w:val="none"/>
                <w:u w:val="single"/>
                <w:lang w:val="en-US" w:eastAsia="zh-CN"/>
                <w14:textFill>
                  <w14:solidFill>
                    <w14:schemeClr w14:val="tx1"/>
                  </w14:solidFill>
                </w14:textFill>
              </w:rPr>
              <w:t>），</w:t>
            </w:r>
            <w:r>
              <w:rPr>
                <w:rFonts w:hint="default" w:ascii="Times New Roman" w:hAnsi="Times New Roman" w:eastAsia="宋体" w:cs="Times New Roman"/>
                <w:color w:val="auto"/>
                <w:sz w:val="24"/>
                <w:szCs w:val="32"/>
                <w:highlight w:val="none"/>
                <w:u w:val="single" w:color="auto"/>
                <w:lang w:val="en-US" w:eastAsia="zh-CN"/>
              </w:rPr>
              <w:t>项目监测计划如下：</w:t>
            </w:r>
          </w:p>
          <w:p>
            <w:pPr>
              <w:widowControl/>
              <w:autoSpaceDE/>
              <w:autoSpaceDN/>
              <w:spacing w:line="360" w:lineRule="auto"/>
              <w:ind w:firstLine="422" w:firstLineChars="200"/>
              <w:jc w:val="center"/>
              <w:rPr>
                <w:rFonts w:hint="default" w:ascii="Times New Roman" w:hAnsi="Times New Roman" w:eastAsia="宋体" w:cs="Times New Roman"/>
                <w:b/>
                <w:bCs/>
                <w:sz w:val="21"/>
                <w:szCs w:val="21"/>
                <w:highlight w:val="none"/>
                <w:lang w:val="en-US" w:eastAsia="zh-CN"/>
              </w:rPr>
            </w:pPr>
            <w:bookmarkStart w:id="12" w:name="_Toc28366"/>
            <w:r>
              <w:rPr>
                <w:rFonts w:hint="default" w:ascii="Times New Roman" w:hAnsi="Times New Roman" w:eastAsia="宋体" w:cs="Times New Roman"/>
                <w:b/>
                <w:bCs/>
                <w:sz w:val="21"/>
                <w:szCs w:val="21"/>
                <w:highlight w:val="none"/>
                <w:lang w:val="en-US" w:eastAsia="zh-CN"/>
              </w:rPr>
              <w:t>表4-</w:t>
            </w:r>
            <w:r>
              <w:rPr>
                <w:rFonts w:hint="eastAsia" w:ascii="Times New Roman" w:hAnsi="Times New Roman" w:eastAsia="宋体" w:cs="Times New Roman"/>
                <w:b/>
                <w:bCs/>
                <w:sz w:val="21"/>
                <w:szCs w:val="21"/>
                <w:highlight w:val="none"/>
                <w:lang w:val="en-US" w:eastAsia="zh-CN"/>
              </w:rPr>
              <w:t>7</w:t>
            </w:r>
            <w:r>
              <w:rPr>
                <w:rFonts w:hint="default" w:ascii="Times New Roman" w:hAnsi="Times New Roman" w:eastAsia="宋体" w:cs="Times New Roman"/>
                <w:b/>
                <w:bCs/>
                <w:sz w:val="21"/>
                <w:szCs w:val="21"/>
                <w:highlight w:val="none"/>
                <w:lang w:val="en-US" w:eastAsia="zh-CN"/>
              </w:rPr>
              <w:t xml:space="preserve">  废水监测计划</w:t>
            </w:r>
            <w:bookmarkEnd w:id="12"/>
          </w:p>
          <w:tbl>
            <w:tblPr>
              <w:tblStyle w:val="2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2"/>
              <w:gridCol w:w="1472"/>
              <w:gridCol w:w="3375"/>
              <w:gridCol w:w="1118"/>
              <w:gridCol w:w="25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2"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highlight w:val="none"/>
                      <w:u w:val="single" w:color="auto"/>
                      <w:lang w:val="en-US" w:eastAsia="zh-CN"/>
                    </w:rPr>
                  </w:pPr>
                  <w:r>
                    <w:rPr>
                      <w:rFonts w:hint="default" w:ascii="Times New Roman" w:hAnsi="Times New Roman" w:eastAsia="宋体" w:cs="Times New Roman"/>
                      <w:sz w:val="21"/>
                      <w:szCs w:val="21"/>
                      <w:highlight w:val="none"/>
                      <w:u w:val="single" w:color="auto"/>
                      <w:lang w:val="en-US" w:eastAsia="zh-CN"/>
                    </w:rPr>
                    <w:t>类别</w:t>
                  </w:r>
                </w:p>
              </w:tc>
              <w:tc>
                <w:tcPr>
                  <w:tcW w:w="1472"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highlight w:val="none"/>
                      <w:u w:val="single" w:color="auto"/>
                      <w:lang w:val="en-US" w:eastAsia="zh-CN"/>
                    </w:rPr>
                  </w:pPr>
                  <w:r>
                    <w:rPr>
                      <w:rFonts w:hint="default" w:ascii="Times New Roman" w:hAnsi="Times New Roman" w:eastAsia="宋体" w:cs="Times New Roman"/>
                      <w:sz w:val="21"/>
                      <w:szCs w:val="21"/>
                      <w:highlight w:val="none"/>
                      <w:u w:val="single" w:color="auto"/>
                      <w:lang w:val="en-US" w:eastAsia="zh-CN"/>
                    </w:rPr>
                    <w:t>监测点位</w:t>
                  </w:r>
                </w:p>
              </w:tc>
              <w:tc>
                <w:tcPr>
                  <w:tcW w:w="337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highlight w:val="none"/>
                      <w:u w:val="single" w:color="auto"/>
                      <w:lang w:val="en-US" w:eastAsia="zh-CN"/>
                    </w:rPr>
                  </w:pPr>
                  <w:r>
                    <w:rPr>
                      <w:rFonts w:hint="default" w:ascii="Times New Roman" w:hAnsi="Times New Roman" w:eastAsia="宋体" w:cs="Times New Roman"/>
                      <w:sz w:val="21"/>
                      <w:szCs w:val="21"/>
                      <w:highlight w:val="none"/>
                      <w:u w:val="single" w:color="auto"/>
                      <w:lang w:val="en-US" w:eastAsia="zh-CN"/>
                    </w:rPr>
                    <w:t>监测项目</w:t>
                  </w:r>
                </w:p>
              </w:tc>
              <w:tc>
                <w:tcPr>
                  <w:tcW w:w="1118"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highlight w:val="none"/>
                      <w:u w:val="single" w:color="auto"/>
                      <w:lang w:val="en-US" w:eastAsia="zh-CN"/>
                    </w:rPr>
                  </w:pPr>
                  <w:r>
                    <w:rPr>
                      <w:rFonts w:hint="default" w:ascii="Times New Roman" w:hAnsi="Times New Roman" w:eastAsia="宋体" w:cs="Times New Roman"/>
                      <w:sz w:val="21"/>
                      <w:szCs w:val="21"/>
                      <w:highlight w:val="none"/>
                      <w:u w:val="single" w:color="auto"/>
                      <w:lang w:val="en-US" w:eastAsia="zh-CN"/>
                    </w:rPr>
                    <w:t>监测频次</w:t>
                  </w:r>
                </w:p>
              </w:tc>
              <w:tc>
                <w:tcPr>
                  <w:tcW w:w="2568"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highlight w:val="none"/>
                      <w:u w:val="single" w:color="auto"/>
                      <w:lang w:val="en-US" w:eastAsia="zh-CN"/>
                    </w:rPr>
                  </w:pPr>
                  <w:r>
                    <w:rPr>
                      <w:rFonts w:hint="default" w:ascii="Times New Roman" w:hAnsi="Times New Roman" w:eastAsia="宋体" w:cs="Times New Roman"/>
                      <w:sz w:val="21"/>
                      <w:szCs w:val="21"/>
                      <w:highlight w:val="none"/>
                      <w:u w:val="single" w:color="auto"/>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2" w:hRule="atLeast"/>
              </w:trPr>
              <w:tc>
                <w:tcPr>
                  <w:tcW w:w="722"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highlight w:val="none"/>
                      <w:u w:val="single" w:color="auto"/>
                      <w:lang w:val="en-US" w:eastAsia="zh-CN"/>
                    </w:rPr>
                  </w:pPr>
                  <w:r>
                    <w:rPr>
                      <w:rFonts w:hint="eastAsia" w:eastAsia="宋体" w:cs="Times New Roman"/>
                      <w:sz w:val="21"/>
                      <w:szCs w:val="21"/>
                      <w:highlight w:val="none"/>
                      <w:u w:val="single" w:color="auto"/>
                      <w:lang w:val="en-US" w:eastAsia="zh-CN"/>
                    </w:rPr>
                    <w:t>原水</w:t>
                  </w:r>
                </w:p>
              </w:tc>
              <w:tc>
                <w:tcPr>
                  <w:tcW w:w="1472"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highlight w:val="none"/>
                      <w:u w:val="single" w:color="auto"/>
                      <w:lang w:val="en-US" w:eastAsia="zh-CN"/>
                    </w:rPr>
                  </w:pPr>
                  <w:r>
                    <w:rPr>
                      <w:rFonts w:hint="eastAsia" w:eastAsia="宋体" w:cs="Times New Roman"/>
                      <w:sz w:val="21"/>
                      <w:szCs w:val="21"/>
                      <w:highlight w:val="none"/>
                      <w:u w:val="single" w:color="auto"/>
                      <w:lang w:val="en-US" w:eastAsia="zh-CN"/>
                    </w:rPr>
                    <w:t>水厂进水口</w:t>
                  </w:r>
                </w:p>
              </w:tc>
              <w:tc>
                <w:tcPr>
                  <w:tcW w:w="337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highlight w:val="none"/>
                      <w:u w:val="single" w:color="auto"/>
                      <w:lang w:val="en-US" w:eastAsia="zh-CN"/>
                    </w:rPr>
                  </w:pPr>
                  <w:r>
                    <w:rPr>
                      <w:rFonts w:hint="eastAsia"/>
                      <w:color w:val="000000" w:themeColor="text1"/>
                      <w:sz w:val="21"/>
                      <w:szCs w:val="21"/>
                      <w:highlight w:val="none"/>
                      <w:u w:val="single" w:color="auto"/>
                      <w:lang w:val="en-US" w:eastAsia="zh-CN"/>
                      <w14:textFill>
                        <w14:solidFill>
                          <w14:schemeClr w14:val="tx1"/>
                        </w14:solidFill>
                      </w14:textFill>
                    </w:rPr>
                    <w:t>pH值、溶解氧、高锰酸盐指数、化学需氧量、五日生化需氧量、氨氮、总磷、总氮、铜、锌、氟化物、硒、砷、汞、镉、铬、铅、氰化物、挥发酚、石油类、阴离子表面活性剂、硫化物、粪大肠菌群、硫酸盐、氯化物、硝酸盐、铁、锰</w:t>
                  </w:r>
                </w:p>
              </w:tc>
              <w:tc>
                <w:tcPr>
                  <w:tcW w:w="1118"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highlight w:val="none"/>
                      <w:u w:val="single" w:color="auto"/>
                      <w:lang w:val="en-US" w:eastAsia="zh-CN"/>
                    </w:rPr>
                  </w:pPr>
                  <w:r>
                    <w:rPr>
                      <w:rFonts w:hint="eastAsia" w:cs="Times New Roman"/>
                      <w:sz w:val="21"/>
                      <w:szCs w:val="21"/>
                      <w:highlight w:val="none"/>
                      <w:u w:val="single" w:color="auto"/>
                      <w:lang w:val="en-US" w:eastAsia="zh-CN"/>
                    </w:rPr>
                    <w:t>月</w:t>
                  </w:r>
                  <w:r>
                    <w:rPr>
                      <w:rFonts w:hint="eastAsia" w:eastAsia="宋体" w:cs="Times New Roman"/>
                      <w:sz w:val="21"/>
                      <w:szCs w:val="21"/>
                      <w:highlight w:val="none"/>
                      <w:u w:val="single" w:color="auto"/>
                      <w:lang w:val="en-US" w:eastAsia="zh-CN"/>
                    </w:rPr>
                    <w:t>/次</w:t>
                  </w:r>
                </w:p>
              </w:tc>
              <w:tc>
                <w:tcPr>
                  <w:tcW w:w="2568"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highlight w:val="none"/>
                      <w:u w:val="single" w:color="auto"/>
                      <w:lang w:val="en-US" w:eastAsia="zh-CN"/>
                    </w:rPr>
                  </w:pPr>
                  <w:r>
                    <w:rPr>
                      <w:rFonts w:hint="default" w:ascii="Times New Roman" w:hAnsi="Times New Roman" w:eastAsia="宋体" w:cs="Times New Roman"/>
                      <w:sz w:val="21"/>
                      <w:szCs w:val="21"/>
                      <w:highlight w:val="none"/>
                      <w:u w:val="single" w:color="auto"/>
                      <w:lang w:val="en-US" w:eastAsia="zh-CN"/>
                    </w:rPr>
                    <w:t>《地表水环境质量标准》（GB3838-2002）Ⅱ类</w:t>
                  </w:r>
                </w:p>
              </w:tc>
            </w:tr>
          </w:tbl>
          <w:p>
            <w:pPr>
              <w:pStyle w:val="5"/>
              <w:widowControl w:val="0"/>
              <w:ind w:left="0" w:leftChars="0" w:firstLine="0" w:firstLineChars="0"/>
              <w:rPr>
                <w:rFonts w:cs="宋体"/>
                <w:b/>
                <w:color w:val="000000" w:themeColor="text1"/>
                <w:highlight w:val="none"/>
                <w:u w:val="none"/>
                <w:lang w:bidi="ar"/>
                <w14:textFill>
                  <w14:solidFill>
                    <w14:schemeClr w14:val="tx1"/>
                  </w14:solidFill>
                </w14:textFill>
              </w:rPr>
            </w:pPr>
            <w:r>
              <w:rPr>
                <w:rFonts w:hint="eastAsia" w:cs="宋体"/>
                <w:b/>
                <w:color w:val="000000" w:themeColor="text1"/>
                <w:highlight w:val="none"/>
                <w:u w:val="none"/>
                <w:lang w:val="en-US" w:eastAsia="zh-CN" w:bidi="ar"/>
                <w14:textFill>
                  <w14:solidFill>
                    <w14:schemeClr w14:val="tx1"/>
                  </w14:solidFill>
                </w14:textFill>
              </w:rPr>
              <w:t>3、</w:t>
            </w:r>
            <w:r>
              <w:rPr>
                <w:rFonts w:hint="eastAsia" w:cs="宋体"/>
                <w:b/>
                <w:color w:val="000000" w:themeColor="text1"/>
                <w:highlight w:val="none"/>
                <w:u w:val="none"/>
                <w:lang w:bidi="ar"/>
                <w14:textFill>
                  <w14:solidFill>
                    <w14:schemeClr w14:val="tx1"/>
                  </w14:solidFill>
                </w14:textFill>
              </w:rPr>
              <w:t>运营期声环境</w:t>
            </w:r>
          </w:p>
          <w:p>
            <w:pPr>
              <w:pStyle w:val="5"/>
              <w:widowControl w:val="0"/>
              <w:ind w:firstLine="482"/>
              <w:rPr>
                <w:rFonts w:cs="宋体"/>
                <w:b w:val="0"/>
                <w:bCs/>
                <w:color w:val="000000" w:themeColor="text1"/>
                <w:highlight w:val="none"/>
                <w:u w:val="none"/>
                <w:lang w:bidi="ar"/>
                <w14:textFill>
                  <w14:solidFill>
                    <w14:schemeClr w14:val="tx1"/>
                  </w14:solidFill>
                </w14:textFill>
              </w:rPr>
            </w:pPr>
            <w:r>
              <w:rPr>
                <w:rFonts w:hint="eastAsia" w:cs="宋体"/>
                <w:b w:val="0"/>
                <w:bCs/>
                <w:color w:val="000000" w:themeColor="text1"/>
                <w:highlight w:val="none"/>
                <w:u w:val="none"/>
                <w:lang w:bidi="ar"/>
                <w14:textFill>
                  <w14:solidFill>
                    <w14:schemeClr w14:val="tx1"/>
                  </w14:solidFill>
                </w14:textFill>
              </w:rPr>
              <w:t>（</w:t>
            </w:r>
            <w:r>
              <w:rPr>
                <w:rFonts w:cs="宋体"/>
                <w:b w:val="0"/>
                <w:bCs/>
                <w:color w:val="000000" w:themeColor="text1"/>
                <w:highlight w:val="none"/>
                <w:u w:val="none"/>
                <w:lang w:bidi="ar"/>
                <w14:textFill>
                  <w14:solidFill>
                    <w14:schemeClr w14:val="tx1"/>
                  </w14:solidFill>
                </w14:textFill>
              </w:rPr>
              <w:t>1</w:t>
            </w:r>
            <w:r>
              <w:rPr>
                <w:rFonts w:hint="eastAsia" w:cs="宋体"/>
                <w:b w:val="0"/>
                <w:bCs/>
                <w:color w:val="000000" w:themeColor="text1"/>
                <w:highlight w:val="none"/>
                <w:u w:val="none"/>
                <w:lang w:bidi="ar"/>
                <w14:textFill>
                  <w14:solidFill>
                    <w14:schemeClr w14:val="tx1"/>
                  </w14:solidFill>
                </w14:textFill>
              </w:rPr>
              <w:t>）噪声污染源强分析</w:t>
            </w:r>
          </w:p>
          <w:p>
            <w:pPr>
              <w:pStyle w:val="5"/>
              <w:widowControl w:val="0"/>
              <w:ind w:firstLine="480"/>
              <w:rPr>
                <w:bCs/>
                <w:color w:val="000000" w:themeColor="text1"/>
                <w:highlight w:val="none"/>
                <w:u w:val="none"/>
                <w14:textFill>
                  <w14:solidFill>
                    <w14:schemeClr w14:val="tx1"/>
                  </w14:solidFill>
                </w14:textFill>
              </w:rPr>
            </w:pPr>
            <w:r>
              <w:rPr>
                <w:rFonts w:hint="eastAsia" w:cs="宋体"/>
                <w:bCs/>
                <w:color w:val="000000" w:themeColor="text1"/>
                <w:highlight w:val="none"/>
                <w:u w:val="none"/>
                <w:lang w:bidi="ar"/>
                <w14:textFill>
                  <w14:solidFill>
                    <w14:schemeClr w14:val="tx1"/>
                  </w14:solidFill>
                </w14:textFill>
              </w:rPr>
              <w:t>本项目</w:t>
            </w:r>
            <w:r>
              <w:rPr>
                <w:rFonts w:hint="eastAsia" w:cs="宋体"/>
                <w:bCs/>
                <w:color w:val="000000" w:themeColor="text1"/>
                <w:highlight w:val="none"/>
                <w:u w:val="none"/>
                <w:lang w:val="en-US" w:eastAsia="zh-CN" w:bidi="ar"/>
                <w14:textFill>
                  <w14:solidFill>
                    <w14:schemeClr w14:val="tx1"/>
                  </w14:solidFill>
                </w14:textFill>
              </w:rPr>
              <w:t>营运期办公楼主要为工作人员办公生活及物资储存，配水水管采用重力输送，其噪声影响极小，本项目主要考虑水厂噪声影响。</w:t>
            </w:r>
            <w:r>
              <w:rPr>
                <w:rFonts w:hint="eastAsia" w:cs="宋体"/>
                <w:bCs/>
                <w:color w:val="000000" w:themeColor="text1"/>
                <w:highlight w:val="none"/>
                <w:u w:val="none"/>
                <w:lang w:bidi="ar"/>
                <w14:textFill>
                  <w14:solidFill>
                    <w14:schemeClr w14:val="tx1"/>
                  </w14:solidFill>
                </w14:textFill>
              </w:rPr>
              <w:t>噪声源</w:t>
            </w:r>
            <w:r>
              <w:rPr>
                <w:rFonts w:hint="eastAsia"/>
                <w:bCs/>
                <w:color w:val="000000" w:themeColor="text1"/>
                <w:highlight w:val="none"/>
                <w:u w:val="none"/>
                <w14:textFill>
                  <w14:solidFill>
                    <w14:schemeClr w14:val="tx1"/>
                  </w14:solidFill>
                </w14:textFill>
              </w:rPr>
              <w:t>主要</w:t>
            </w:r>
            <w:r>
              <w:rPr>
                <w:rFonts w:hint="eastAsia"/>
                <w:bCs/>
                <w:color w:val="000000" w:themeColor="text1"/>
                <w:highlight w:val="none"/>
                <w:u w:val="none"/>
                <w:lang w:val="en-US" w:eastAsia="zh-CN"/>
                <w14:textFill>
                  <w14:solidFill>
                    <w14:schemeClr w14:val="tx1"/>
                  </w14:solidFill>
                </w14:textFill>
              </w:rPr>
              <w:t>来自水泵、风机、空压机、柴油发电机等运行产生的噪声，其噪声值约为85~90</w:t>
            </w:r>
            <w:r>
              <w:rPr>
                <w:bCs/>
                <w:color w:val="000000" w:themeColor="text1"/>
                <w:highlight w:val="none"/>
                <w:u w:val="none"/>
                <w14:textFill>
                  <w14:solidFill>
                    <w14:schemeClr w14:val="tx1"/>
                  </w14:solidFill>
                </w14:textFill>
              </w:rPr>
              <w:t>dB</w:t>
            </w:r>
            <w:r>
              <w:rPr>
                <w:rFonts w:hint="eastAsia"/>
                <w:bCs/>
                <w:color w:val="000000" w:themeColor="text1"/>
                <w:highlight w:val="none"/>
                <w:u w:val="none"/>
                <w14:textFill>
                  <w14:solidFill>
                    <w14:schemeClr w14:val="tx1"/>
                  </w14:solidFill>
                </w14:textFill>
              </w:rPr>
              <w:t>（</w:t>
            </w:r>
            <w:r>
              <w:rPr>
                <w:bCs/>
                <w:color w:val="000000" w:themeColor="text1"/>
                <w:highlight w:val="none"/>
                <w:u w:val="none"/>
                <w14:textFill>
                  <w14:solidFill>
                    <w14:schemeClr w14:val="tx1"/>
                  </w14:solidFill>
                </w14:textFill>
              </w:rPr>
              <w:t>A</w:t>
            </w:r>
            <w:r>
              <w:rPr>
                <w:rFonts w:hint="eastAsia"/>
                <w:bCs/>
                <w:color w:val="000000" w:themeColor="text1"/>
                <w:highlight w:val="none"/>
                <w:u w:val="none"/>
                <w14:textFill>
                  <w14:solidFill>
                    <w14:schemeClr w14:val="tx1"/>
                  </w14:solidFill>
                </w14:textFill>
              </w:rPr>
              <w:t>）。</w:t>
            </w:r>
            <w:r>
              <w:rPr>
                <w:rFonts w:hint="eastAsia"/>
                <w:iCs/>
                <w:color w:val="000000" w:themeColor="text1"/>
                <w:highlight w:val="none"/>
                <w:u w:val="none"/>
                <w14:textFill>
                  <w14:solidFill>
                    <w14:schemeClr w14:val="tx1"/>
                  </w14:solidFill>
                </w14:textFill>
              </w:rPr>
              <w:t>本项目</w:t>
            </w:r>
            <w:r>
              <w:rPr>
                <w:rFonts w:hint="eastAsia"/>
                <w:iCs/>
                <w:color w:val="000000" w:themeColor="text1"/>
                <w:highlight w:val="none"/>
                <w:u w:val="none"/>
                <w:lang w:val="en-US" w:eastAsia="zh-CN"/>
                <w14:textFill>
                  <w14:solidFill>
                    <w14:schemeClr w14:val="tx1"/>
                  </w14:solidFill>
                </w14:textFill>
              </w:rPr>
              <w:t>生产设备主要布局在水厂区域（工作时间为24h）且厂界</w:t>
            </w:r>
            <w:r>
              <w:rPr>
                <w:iCs/>
                <w:color w:val="000000" w:themeColor="text1"/>
                <w:highlight w:val="none"/>
                <w:u w:val="none"/>
                <w:lang w:bidi="zh-CN"/>
                <w14:textFill>
                  <w14:solidFill>
                    <w14:schemeClr w14:val="tx1"/>
                  </w14:solidFill>
                </w14:textFill>
              </w:rPr>
              <w:t>50m范围内</w:t>
            </w:r>
            <w:r>
              <w:rPr>
                <w:rFonts w:hint="eastAsia"/>
                <w:iCs/>
                <w:color w:val="000000" w:themeColor="text1"/>
                <w:highlight w:val="none"/>
                <w:u w:val="none"/>
                <w:lang w:bidi="zh-CN"/>
                <w14:textFill>
                  <w14:solidFill>
                    <w14:schemeClr w14:val="tx1"/>
                  </w14:solidFill>
                </w14:textFill>
              </w:rPr>
              <w:t>无</w:t>
            </w:r>
            <w:r>
              <w:rPr>
                <w:iCs/>
                <w:color w:val="000000" w:themeColor="text1"/>
                <w:highlight w:val="none"/>
                <w:u w:val="none"/>
                <w:lang w:bidi="zh-CN"/>
                <w14:textFill>
                  <w14:solidFill>
                    <w14:schemeClr w14:val="tx1"/>
                  </w14:solidFill>
                </w14:textFill>
              </w:rPr>
              <w:t>声环境保护目标</w:t>
            </w:r>
            <w:r>
              <w:rPr>
                <w:rFonts w:hint="eastAsia"/>
                <w:iCs/>
                <w:color w:val="000000" w:themeColor="text1"/>
                <w:highlight w:val="none"/>
                <w:u w:val="none"/>
                <w:lang w:val="en-US" w:eastAsia="zh-CN"/>
                <w14:textFill>
                  <w14:solidFill>
                    <w14:schemeClr w14:val="tx1"/>
                  </w14:solidFill>
                </w14:textFill>
              </w:rPr>
              <w:t>，因此仅对水厂</w:t>
            </w:r>
            <w:r>
              <w:rPr>
                <w:rFonts w:hint="eastAsia"/>
                <w:iCs/>
                <w:color w:val="000000" w:themeColor="text1"/>
                <w:highlight w:val="none"/>
                <w:u w:val="none"/>
                <w14:textFill>
                  <w14:solidFill>
                    <w14:schemeClr w14:val="tx1"/>
                  </w14:solidFill>
                </w14:textFill>
              </w:rPr>
              <w:t>厂界</w:t>
            </w:r>
            <w:r>
              <w:rPr>
                <w:rFonts w:hint="eastAsia"/>
                <w:iCs/>
                <w:color w:val="000000" w:themeColor="text1"/>
                <w:highlight w:val="none"/>
                <w:u w:val="none"/>
                <w:lang w:val="en-US" w:eastAsia="zh-CN"/>
                <w14:textFill>
                  <w14:solidFill>
                    <w14:schemeClr w14:val="tx1"/>
                  </w14:solidFill>
                </w14:textFill>
              </w:rPr>
              <w:t>进行昼、夜间噪声预测</w:t>
            </w:r>
          </w:p>
          <w:p>
            <w:pPr>
              <w:pStyle w:val="5"/>
              <w:widowControl w:val="0"/>
              <w:ind w:firstLine="480"/>
              <w:rPr>
                <w:rFonts w:hint="eastAsia" w:cs="宋体"/>
                <w:bCs/>
                <w:color w:val="000000" w:themeColor="text1"/>
                <w:highlight w:val="none"/>
                <w:u w:val="none"/>
                <w:lang w:bidi="ar"/>
                <w14:textFill>
                  <w14:solidFill>
                    <w14:schemeClr w14:val="tx1"/>
                  </w14:solidFill>
                </w14:textFill>
              </w:rPr>
            </w:pPr>
            <w:r>
              <w:rPr>
                <w:rFonts w:hint="eastAsia" w:cs="宋体"/>
                <w:bCs/>
                <w:color w:val="000000" w:themeColor="text1"/>
                <w:highlight w:val="none"/>
                <w:u w:val="none"/>
                <w:lang w:val="en-US" w:eastAsia="zh-CN" w:bidi="ar"/>
                <w14:textFill>
                  <w14:solidFill>
                    <w14:schemeClr w14:val="tx1"/>
                  </w14:solidFill>
                </w14:textFill>
              </w:rPr>
              <w:t>通过选用低噪声设备、建筑隔声等措施可以降低20</w:t>
            </w:r>
            <w:r>
              <w:rPr>
                <w:rFonts w:hint="eastAsia" w:cs="宋体"/>
                <w:bCs/>
                <w:color w:val="000000" w:themeColor="text1"/>
                <w:highlight w:val="none"/>
                <w:u w:val="none"/>
                <w:lang w:bidi="ar"/>
                <w14:textFill>
                  <w14:solidFill>
                    <w14:schemeClr w14:val="tx1"/>
                  </w14:solidFill>
                </w14:textFill>
              </w:rPr>
              <w:t>dB（A</w:t>
            </w:r>
            <w:r>
              <w:rPr>
                <w:rFonts w:hint="eastAsia" w:cs="宋体"/>
                <w:bCs/>
                <w:color w:val="000000" w:themeColor="text1"/>
                <w:highlight w:val="none"/>
                <w:u w:val="none"/>
                <w:lang w:eastAsia="zh-CN" w:bidi="ar"/>
                <w14:textFill>
                  <w14:solidFill>
                    <w14:schemeClr w14:val="tx1"/>
                  </w14:solidFill>
                </w14:textFill>
              </w:rPr>
              <w:t>）</w:t>
            </w:r>
            <w:r>
              <w:rPr>
                <w:rFonts w:hint="eastAsia" w:cs="宋体"/>
                <w:bCs/>
                <w:color w:val="000000" w:themeColor="text1"/>
                <w:highlight w:val="none"/>
                <w:u w:val="none"/>
                <w:lang w:bidi="ar"/>
                <w14:textFill>
                  <w14:solidFill>
                    <w14:schemeClr w14:val="tx1"/>
                  </w14:solidFill>
                </w14:textFill>
              </w:rPr>
              <w:t>，综上可知本项目主要噪声源情况具体如下：</w:t>
            </w:r>
          </w:p>
          <w:p>
            <w:pPr>
              <w:pStyle w:val="5"/>
              <w:widowControl w:val="0"/>
              <w:ind w:firstLine="0" w:firstLineChars="0"/>
              <w:jc w:val="center"/>
              <w:rPr>
                <w:rFonts w:hint="eastAsia" w:cs="宋体"/>
                <w:b/>
                <w:color w:val="000000" w:themeColor="text1"/>
                <w:highlight w:val="none"/>
                <w:u w:val="none"/>
                <w:lang w:bidi="ar"/>
                <w14:textFill>
                  <w14:solidFill>
                    <w14:schemeClr w14:val="tx1"/>
                  </w14:solidFill>
                </w14:textFill>
              </w:rPr>
            </w:pPr>
            <w:r>
              <w:rPr>
                <w:rFonts w:hint="eastAsia" w:cs="宋体"/>
                <w:b/>
                <w:color w:val="000000" w:themeColor="text1"/>
                <w:highlight w:val="none"/>
                <w:u w:val="none"/>
                <w:lang w:bidi="ar"/>
                <w14:textFill>
                  <w14:solidFill>
                    <w14:schemeClr w14:val="tx1"/>
                  </w14:solidFill>
                </w14:textFill>
              </w:rPr>
              <w:t>表</w:t>
            </w:r>
            <w:r>
              <w:rPr>
                <w:rFonts w:cs="宋体"/>
                <w:b/>
                <w:color w:val="000000" w:themeColor="text1"/>
                <w:highlight w:val="none"/>
                <w:u w:val="none"/>
                <w:lang w:bidi="ar"/>
                <w14:textFill>
                  <w14:solidFill>
                    <w14:schemeClr w14:val="tx1"/>
                  </w14:solidFill>
                </w14:textFill>
              </w:rPr>
              <w:t>4-</w:t>
            </w:r>
            <w:r>
              <w:rPr>
                <w:rFonts w:hint="eastAsia" w:cs="宋体"/>
                <w:b/>
                <w:color w:val="000000" w:themeColor="text1"/>
                <w:highlight w:val="none"/>
                <w:u w:val="none"/>
                <w:lang w:val="en-US" w:eastAsia="zh-CN" w:bidi="ar"/>
                <w14:textFill>
                  <w14:solidFill>
                    <w14:schemeClr w14:val="tx1"/>
                  </w14:solidFill>
                </w14:textFill>
              </w:rPr>
              <w:t>8</w:t>
            </w:r>
            <w:r>
              <w:rPr>
                <w:rFonts w:cs="宋体"/>
                <w:b/>
                <w:color w:val="000000" w:themeColor="text1"/>
                <w:highlight w:val="none"/>
                <w:u w:val="none"/>
                <w:lang w:bidi="ar"/>
                <w14:textFill>
                  <w14:solidFill>
                    <w14:schemeClr w14:val="tx1"/>
                  </w14:solidFill>
                </w14:textFill>
              </w:rPr>
              <w:t xml:space="preserve">  </w:t>
            </w:r>
            <w:r>
              <w:rPr>
                <w:rFonts w:hint="eastAsia" w:cs="宋体"/>
                <w:b/>
                <w:color w:val="000000" w:themeColor="text1"/>
                <w:highlight w:val="none"/>
                <w:u w:val="none"/>
                <w:lang w:bidi="ar"/>
                <w14:textFill>
                  <w14:solidFill>
                    <w14:schemeClr w14:val="tx1"/>
                  </w14:solidFill>
                </w14:textFill>
              </w:rPr>
              <w:t>本项目主要噪声设备污染源强一览表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3"/>
              <w:gridCol w:w="521"/>
              <w:gridCol w:w="474"/>
              <w:gridCol w:w="463"/>
              <w:gridCol w:w="872"/>
              <w:gridCol w:w="429"/>
              <w:gridCol w:w="319"/>
              <w:gridCol w:w="319"/>
              <w:gridCol w:w="319"/>
              <w:gridCol w:w="1061"/>
              <w:gridCol w:w="1010"/>
              <w:gridCol w:w="559"/>
              <w:gridCol w:w="630"/>
              <w:gridCol w:w="1013"/>
              <w:gridCol w:w="5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trPr>
              <w:tc>
                <w:tcPr>
                  <w:tcW w:w="443" w:type="dxa"/>
                  <w:vMerge w:val="restart"/>
                  <w:noWrap w:val="0"/>
                  <w:vAlign w:val="center"/>
                </w:tcPr>
                <w:p>
                  <w:pPr>
                    <w:pStyle w:val="34"/>
                    <w:jc w:val="center"/>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序号</w:t>
                  </w:r>
                </w:p>
              </w:tc>
              <w:tc>
                <w:tcPr>
                  <w:tcW w:w="521" w:type="dxa"/>
                  <w:vMerge w:val="restart"/>
                  <w:noWrap w:val="0"/>
                  <w:vAlign w:val="center"/>
                </w:tcPr>
                <w:p>
                  <w:pPr>
                    <w:pStyle w:val="34"/>
                    <w:jc w:val="center"/>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建筑物名称</w:t>
                  </w:r>
                </w:p>
              </w:tc>
              <w:tc>
                <w:tcPr>
                  <w:tcW w:w="474" w:type="dxa"/>
                  <w:vMerge w:val="restart"/>
                  <w:noWrap w:val="0"/>
                  <w:vAlign w:val="center"/>
                </w:tcPr>
                <w:p>
                  <w:pPr>
                    <w:pStyle w:val="34"/>
                    <w:jc w:val="center"/>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声源名称</w:t>
                  </w:r>
                </w:p>
              </w:tc>
              <w:tc>
                <w:tcPr>
                  <w:tcW w:w="463" w:type="dxa"/>
                  <w:vMerge w:val="restart"/>
                  <w:noWrap w:val="0"/>
                  <w:vAlign w:val="center"/>
                </w:tcPr>
                <w:p>
                  <w:pPr>
                    <w:pStyle w:val="34"/>
                    <w:jc w:val="center"/>
                    <w:rPr>
                      <w:rFonts w:hint="default"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数量/台</w:t>
                  </w:r>
                </w:p>
              </w:tc>
              <w:tc>
                <w:tcPr>
                  <w:tcW w:w="872" w:type="dxa"/>
                  <w:vMerge w:val="restart"/>
                  <w:noWrap w:val="0"/>
                  <w:vAlign w:val="center"/>
                </w:tcPr>
                <w:p>
                  <w:pPr>
                    <w:pStyle w:val="34"/>
                    <w:jc w:val="center"/>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lang w:val="en-US" w:eastAsia="zh-CN"/>
                    </w:rPr>
                    <w:t>声功率级dB（A）</w:t>
                  </w:r>
                </w:p>
              </w:tc>
              <w:tc>
                <w:tcPr>
                  <w:tcW w:w="429" w:type="dxa"/>
                  <w:vMerge w:val="restart"/>
                  <w:noWrap w:val="0"/>
                  <w:vAlign w:val="center"/>
                </w:tcPr>
                <w:p>
                  <w:pPr>
                    <w:pStyle w:val="34"/>
                    <w:jc w:val="center"/>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声源控制措施</w:t>
                  </w:r>
                </w:p>
              </w:tc>
              <w:tc>
                <w:tcPr>
                  <w:tcW w:w="957" w:type="dxa"/>
                  <w:gridSpan w:val="3"/>
                  <w:noWrap w:val="0"/>
                  <w:vAlign w:val="center"/>
                </w:tcPr>
                <w:p>
                  <w:pPr>
                    <w:pStyle w:val="34"/>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空间</w:t>
                  </w:r>
                  <w:r>
                    <w:rPr>
                      <w:rFonts w:hint="eastAsia" w:ascii="Times New Roman" w:hAnsi="Times New Roman" w:eastAsia="宋体" w:cs="Times New Roman"/>
                      <w:b w:val="0"/>
                      <w:bCs w:val="0"/>
                      <w:color w:val="auto"/>
                      <w:sz w:val="21"/>
                      <w:szCs w:val="21"/>
                      <w:highlight w:val="none"/>
                      <w:lang w:val="en-US" w:eastAsia="zh-CN"/>
                    </w:rPr>
                    <w:t>相对</w:t>
                  </w:r>
                  <w:r>
                    <w:rPr>
                      <w:rFonts w:hint="default" w:ascii="Times New Roman" w:hAnsi="Times New Roman" w:eastAsia="宋体" w:cs="Times New Roman"/>
                      <w:b w:val="0"/>
                      <w:bCs w:val="0"/>
                      <w:color w:val="auto"/>
                      <w:sz w:val="21"/>
                      <w:szCs w:val="21"/>
                      <w:highlight w:val="none"/>
                      <w:lang w:val="en-US" w:eastAsia="zh-CN"/>
                    </w:rPr>
                    <w:t>位置</w:t>
                  </w:r>
                </w:p>
              </w:tc>
              <w:tc>
                <w:tcPr>
                  <w:tcW w:w="1061" w:type="dxa"/>
                  <w:vMerge w:val="restart"/>
                  <w:noWrap w:val="0"/>
                  <w:vAlign w:val="center"/>
                </w:tcPr>
                <w:p>
                  <w:pPr>
                    <w:pStyle w:val="34"/>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距室内边界距离/m</w:t>
                  </w:r>
                </w:p>
              </w:tc>
              <w:tc>
                <w:tcPr>
                  <w:tcW w:w="1010" w:type="dxa"/>
                  <w:vMerge w:val="restart"/>
                  <w:noWrap w:val="0"/>
                  <w:vAlign w:val="center"/>
                </w:tcPr>
                <w:p>
                  <w:pPr>
                    <w:pStyle w:val="34"/>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室内边界声级/dB（A）</w:t>
                  </w:r>
                </w:p>
              </w:tc>
              <w:tc>
                <w:tcPr>
                  <w:tcW w:w="559" w:type="dxa"/>
                  <w:vMerge w:val="restart"/>
                  <w:noWrap w:val="0"/>
                  <w:vAlign w:val="center"/>
                </w:tcPr>
                <w:p>
                  <w:pPr>
                    <w:pStyle w:val="34"/>
                    <w:jc w:val="center"/>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运行时段</w:t>
                  </w:r>
                  <w:r>
                    <w:rPr>
                      <w:rFonts w:hint="eastAsia" w:ascii="Times New Roman" w:hAnsi="Times New Roman" w:cs="Times New Roman"/>
                      <w:b w:val="0"/>
                      <w:bCs w:val="0"/>
                      <w:color w:val="auto"/>
                      <w:sz w:val="21"/>
                      <w:szCs w:val="21"/>
                      <w:highlight w:val="none"/>
                      <w:vertAlign w:val="baseline"/>
                      <w:lang w:val="en-US" w:eastAsia="zh-CN"/>
                    </w:rPr>
                    <w:t>h/d</w:t>
                  </w:r>
                </w:p>
              </w:tc>
              <w:tc>
                <w:tcPr>
                  <w:tcW w:w="630" w:type="dxa"/>
                  <w:vMerge w:val="restart"/>
                  <w:noWrap w:val="0"/>
                  <w:vAlign w:val="center"/>
                </w:tcPr>
                <w:p>
                  <w:pPr>
                    <w:pStyle w:val="34"/>
                    <w:jc w:val="center"/>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建筑物插入损失/</w:t>
                  </w:r>
                  <w:r>
                    <w:rPr>
                      <w:rFonts w:hint="default" w:ascii="Times New Roman" w:hAnsi="Times New Roman" w:eastAsia="宋体" w:cs="Times New Roman"/>
                      <w:b w:val="0"/>
                      <w:bCs w:val="0"/>
                      <w:color w:val="auto"/>
                      <w:sz w:val="21"/>
                      <w:szCs w:val="21"/>
                      <w:highlight w:val="none"/>
                      <w:lang w:val="en-US" w:eastAsia="zh-CN"/>
                    </w:rPr>
                    <w:t>dB（A）</w:t>
                  </w:r>
                </w:p>
              </w:tc>
              <w:tc>
                <w:tcPr>
                  <w:tcW w:w="1519" w:type="dxa"/>
                  <w:gridSpan w:val="2"/>
                  <w:noWrap w:val="0"/>
                  <w:vAlign w:val="center"/>
                </w:tcPr>
                <w:p>
                  <w:pPr>
                    <w:pStyle w:val="34"/>
                    <w:jc w:val="center"/>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9" w:hRule="atLeast"/>
              </w:trPr>
              <w:tc>
                <w:tcPr>
                  <w:tcW w:w="443" w:type="dxa"/>
                  <w:vMerge w:val="continue"/>
                  <w:noWrap w:val="0"/>
                  <w:vAlign w:val="center"/>
                </w:tcPr>
                <w:p>
                  <w:pPr>
                    <w:pStyle w:val="34"/>
                    <w:jc w:val="center"/>
                    <w:rPr>
                      <w:rFonts w:hint="default" w:ascii="Times New Roman" w:hAnsi="Times New Roman" w:cs="Times New Roman"/>
                      <w:b w:val="0"/>
                      <w:bCs w:val="0"/>
                      <w:color w:val="auto"/>
                      <w:sz w:val="21"/>
                      <w:szCs w:val="21"/>
                      <w:highlight w:val="none"/>
                    </w:rPr>
                  </w:pPr>
                </w:p>
              </w:tc>
              <w:tc>
                <w:tcPr>
                  <w:tcW w:w="521" w:type="dxa"/>
                  <w:vMerge w:val="continue"/>
                  <w:noWrap w:val="0"/>
                  <w:vAlign w:val="center"/>
                </w:tcPr>
                <w:p>
                  <w:pPr>
                    <w:pStyle w:val="34"/>
                    <w:jc w:val="center"/>
                    <w:rPr>
                      <w:rFonts w:hint="default" w:ascii="Times New Roman" w:hAnsi="Times New Roman" w:cs="Times New Roman"/>
                      <w:b w:val="0"/>
                      <w:bCs w:val="0"/>
                      <w:color w:val="auto"/>
                      <w:sz w:val="21"/>
                      <w:szCs w:val="21"/>
                      <w:highlight w:val="none"/>
                    </w:rPr>
                  </w:pPr>
                </w:p>
              </w:tc>
              <w:tc>
                <w:tcPr>
                  <w:tcW w:w="474" w:type="dxa"/>
                  <w:vMerge w:val="continue"/>
                  <w:noWrap w:val="0"/>
                  <w:vAlign w:val="center"/>
                </w:tcPr>
                <w:p>
                  <w:pPr>
                    <w:pStyle w:val="34"/>
                    <w:jc w:val="center"/>
                    <w:rPr>
                      <w:rFonts w:hint="default" w:ascii="Times New Roman" w:hAnsi="Times New Roman" w:cs="Times New Roman"/>
                      <w:b w:val="0"/>
                      <w:bCs w:val="0"/>
                      <w:color w:val="auto"/>
                      <w:sz w:val="21"/>
                      <w:szCs w:val="21"/>
                      <w:highlight w:val="none"/>
                    </w:rPr>
                  </w:pPr>
                </w:p>
              </w:tc>
              <w:tc>
                <w:tcPr>
                  <w:tcW w:w="463" w:type="dxa"/>
                  <w:vMerge w:val="continue"/>
                  <w:noWrap w:val="0"/>
                  <w:vAlign w:val="center"/>
                </w:tcPr>
                <w:p>
                  <w:pPr>
                    <w:pStyle w:val="34"/>
                    <w:jc w:val="center"/>
                    <w:rPr>
                      <w:rFonts w:hint="default" w:ascii="Times New Roman" w:hAnsi="Times New Roman" w:cs="Times New Roman"/>
                      <w:b w:val="0"/>
                      <w:bCs w:val="0"/>
                      <w:color w:val="auto"/>
                      <w:sz w:val="21"/>
                      <w:szCs w:val="21"/>
                      <w:highlight w:val="none"/>
                    </w:rPr>
                  </w:pPr>
                </w:p>
              </w:tc>
              <w:tc>
                <w:tcPr>
                  <w:tcW w:w="872" w:type="dxa"/>
                  <w:vMerge w:val="continue"/>
                  <w:noWrap w:val="0"/>
                  <w:vAlign w:val="center"/>
                </w:tcPr>
                <w:p>
                  <w:pPr>
                    <w:pStyle w:val="34"/>
                    <w:jc w:val="center"/>
                    <w:rPr>
                      <w:rFonts w:hint="default" w:ascii="Times New Roman" w:hAnsi="Times New Roman" w:cs="Times New Roman"/>
                      <w:b w:val="0"/>
                      <w:bCs w:val="0"/>
                      <w:color w:val="auto"/>
                      <w:sz w:val="21"/>
                      <w:szCs w:val="21"/>
                      <w:highlight w:val="none"/>
                    </w:rPr>
                  </w:pPr>
                </w:p>
              </w:tc>
              <w:tc>
                <w:tcPr>
                  <w:tcW w:w="429" w:type="dxa"/>
                  <w:vMerge w:val="continue"/>
                  <w:noWrap w:val="0"/>
                  <w:vAlign w:val="center"/>
                </w:tcPr>
                <w:p>
                  <w:pPr>
                    <w:pStyle w:val="34"/>
                    <w:jc w:val="center"/>
                    <w:rPr>
                      <w:rFonts w:hint="default" w:ascii="Times New Roman" w:hAnsi="Times New Roman" w:cs="Times New Roman"/>
                      <w:b w:val="0"/>
                      <w:bCs w:val="0"/>
                      <w:color w:val="auto"/>
                      <w:sz w:val="21"/>
                      <w:szCs w:val="21"/>
                      <w:highlight w:val="none"/>
                    </w:rPr>
                  </w:pPr>
                </w:p>
              </w:tc>
              <w:tc>
                <w:tcPr>
                  <w:tcW w:w="319" w:type="dxa"/>
                  <w:noWrap w:val="0"/>
                  <w:vAlign w:val="center"/>
                </w:tcPr>
                <w:p>
                  <w:pPr>
                    <w:pStyle w:val="34"/>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X</w:t>
                  </w:r>
                </w:p>
              </w:tc>
              <w:tc>
                <w:tcPr>
                  <w:tcW w:w="319" w:type="dxa"/>
                  <w:noWrap w:val="0"/>
                  <w:vAlign w:val="center"/>
                </w:tcPr>
                <w:p>
                  <w:pPr>
                    <w:pStyle w:val="34"/>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Y</w:t>
                  </w:r>
                </w:p>
              </w:tc>
              <w:tc>
                <w:tcPr>
                  <w:tcW w:w="319" w:type="dxa"/>
                  <w:noWrap w:val="0"/>
                  <w:vAlign w:val="center"/>
                </w:tcPr>
                <w:p>
                  <w:pPr>
                    <w:pStyle w:val="34"/>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Z</w:t>
                  </w:r>
                </w:p>
              </w:tc>
              <w:tc>
                <w:tcPr>
                  <w:tcW w:w="1061" w:type="dxa"/>
                  <w:vMerge w:val="continue"/>
                  <w:noWrap w:val="0"/>
                  <w:vAlign w:val="center"/>
                </w:tcPr>
                <w:p>
                  <w:pPr>
                    <w:pStyle w:val="34"/>
                    <w:jc w:val="center"/>
                    <w:rPr>
                      <w:rFonts w:hint="default" w:ascii="Times New Roman" w:hAnsi="Times New Roman" w:cs="Times New Roman"/>
                      <w:b w:val="0"/>
                      <w:bCs w:val="0"/>
                      <w:color w:val="auto"/>
                      <w:sz w:val="21"/>
                      <w:szCs w:val="21"/>
                      <w:highlight w:val="none"/>
                    </w:rPr>
                  </w:pPr>
                </w:p>
              </w:tc>
              <w:tc>
                <w:tcPr>
                  <w:tcW w:w="1010" w:type="dxa"/>
                  <w:vMerge w:val="continue"/>
                  <w:noWrap w:val="0"/>
                  <w:vAlign w:val="center"/>
                </w:tcPr>
                <w:p>
                  <w:pPr>
                    <w:pStyle w:val="34"/>
                    <w:jc w:val="center"/>
                    <w:rPr>
                      <w:rFonts w:hint="default" w:ascii="Times New Roman" w:hAnsi="Times New Roman" w:cs="Times New Roman"/>
                      <w:b w:val="0"/>
                      <w:bCs w:val="0"/>
                      <w:color w:val="auto"/>
                      <w:sz w:val="21"/>
                      <w:szCs w:val="21"/>
                      <w:highlight w:val="none"/>
                    </w:rPr>
                  </w:pPr>
                </w:p>
              </w:tc>
              <w:tc>
                <w:tcPr>
                  <w:tcW w:w="559" w:type="dxa"/>
                  <w:vMerge w:val="continue"/>
                  <w:noWrap w:val="0"/>
                  <w:vAlign w:val="center"/>
                </w:tcPr>
                <w:p>
                  <w:pPr>
                    <w:pStyle w:val="34"/>
                    <w:jc w:val="center"/>
                    <w:rPr>
                      <w:rFonts w:hint="default" w:ascii="Times New Roman" w:hAnsi="Times New Roman" w:cs="Times New Roman"/>
                      <w:b w:val="0"/>
                      <w:bCs w:val="0"/>
                      <w:color w:val="auto"/>
                      <w:sz w:val="21"/>
                      <w:szCs w:val="21"/>
                      <w:highlight w:val="none"/>
                    </w:rPr>
                  </w:pPr>
                </w:p>
              </w:tc>
              <w:tc>
                <w:tcPr>
                  <w:tcW w:w="630" w:type="dxa"/>
                  <w:vMerge w:val="continue"/>
                  <w:noWrap w:val="0"/>
                  <w:vAlign w:val="center"/>
                </w:tcPr>
                <w:p>
                  <w:pPr>
                    <w:pStyle w:val="34"/>
                    <w:jc w:val="center"/>
                    <w:rPr>
                      <w:rFonts w:hint="default" w:ascii="Times New Roman" w:hAnsi="Times New Roman" w:cs="Times New Roman"/>
                      <w:b w:val="0"/>
                      <w:bCs w:val="0"/>
                      <w:color w:val="auto"/>
                      <w:sz w:val="21"/>
                      <w:szCs w:val="21"/>
                      <w:highlight w:val="none"/>
                    </w:rPr>
                  </w:pPr>
                </w:p>
              </w:tc>
              <w:tc>
                <w:tcPr>
                  <w:tcW w:w="1013" w:type="dxa"/>
                  <w:noWrap w:val="0"/>
                  <w:vAlign w:val="center"/>
                </w:tcPr>
                <w:p>
                  <w:pPr>
                    <w:pStyle w:val="34"/>
                    <w:jc w:val="center"/>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声压级/</w:t>
                  </w:r>
                  <w:r>
                    <w:rPr>
                      <w:rFonts w:hint="default" w:ascii="Times New Roman" w:hAnsi="Times New Roman" w:eastAsia="宋体" w:cs="Times New Roman"/>
                      <w:b w:val="0"/>
                      <w:bCs w:val="0"/>
                      <w:color w:val="auto"/>
                      <w:sz w:val="21"/>
                      <w:szCs w:val="21"/>
                      <w:highlight w:val="none"/>
                      <w:lang w:val="en-US" w:eastAsia="zh-CN"/>
                    </w:rPr>
                    <w:t>dB（A）</w:t>
                  </w:r>
                </w:p>
              </w:tc>
              <w:tc>
                <w:tcPr>
                  <w:tcW w:w="506" w:type="dxa"/>
                  <w:noWrap w:val="0"/>
                  <w:vAlign w:val="center"/>
                </w:tcPr>
                <w:p>
                  <w:pPr>
                    <w:pStyle w:val="34"/>
                    <w:jc w:val="center"/>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建筑物外距离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1" w:hRule="atLeast"/>
              </w:trPr>
              <w:tc>
                <w:tcPr>
                  <w:tcW w:w="443"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p>
              </w:tc>
              <w:tc>
                <w:tcPr>
                  <w:tcW w:w="521" w:type="dxa"/>
                  <w:vMerge w:val="restart"/>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水处理间</w:t>
                  </w:r>
                </w:p>
              </w:tc>
              <w:tc>
                <w:tcPr>
                  <w:tcW w:w="474" w:type="dxa"/>
                  <w:noWrap w:val="0"/>
                  <w:vAlign w:val="center"/>
                </w:tcPr>
                <w:p>
                  <w:pPr>
                    <w:pStyle w:val="34"/>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管道混合器</w:t>
                  </w:r>
                </w:p>
              </w:tc>
              <w:tc>
                <w:tcPr>
                  <w:tcW w:w="463" w:type="dxa"/>
                  <w:noWrap w:val="0"/>
                  <w:vAlign w:val="center"/>
                </w:tcPr>
                <w:p>
                  <w:pPr>
                    <w:pStyle w:val="34"/>
                    <w:jc w:val="center"/>
                    <w:rPr>
                      <w:rFonts w:hint="default" w:ascii="Times New Roman" w:hAnsi="Times New Roman" w:eastAsia="宋体" w:cs="Times New Roman"/>
                      <w:b w:val="0"/>
                      <w:bCs w:val="0"/>
                      <w:color w:val="auto"/>
                      <w:spacing w:val="4"/>
                      <w:kern w:val="0"/>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1</w:t>
                  </w:r>
                </w:p>
              </w:tc>
              <w:tc>
                <w:tcPr>
                  <w:tcW w:w="872"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75</w:t>
                  </w:r>
                </w:p>
              </w:tc>
              <w:tc>
                <w:tcPr>
                  <w:tcW w:w="429" w:type="dxa"/>
                  <w:vMerge w:val="restart"/>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b w:val="0"/>
                      <w:bCs w:val="0"/>
                      <w:color w:val="auto"/>
                      <w:spacing w:val="4"/>
                      <w:sz w:val="21"/>
                      <w:szCs w:val="21"/>
                      <w:highlight w:val="none"/>
                      <w:lang w:val="en-US" w:eastAsia="zh-CN"/>
                    </w:rPr>
                    <w:t>基础减震、设备布设于</w:t>
                  </w:r>
                  <w:r>
                    <w:rPr>
                      <w:rFonts w:hint="eastAsia" w:ascii="Times New Roman" w:hAnsi="Times New Roman" w:cs="Times New Roman"/>
                      <w:b w:val="0"/>
                      <w:bCs w:val="0"/>
                      <w:color w:val="auto"/>
                      <w:spacing w:val="4"/>
                      <w:sz w:val="21"/>
                      <w:szCs w:val="21"/>
                      <w:highlight w:val="none"/>
                      <w:lang w:val="en-US" w:eastAsia="zh-CN"/>
                    </w:rPr>
                    <w:t>厂</w:t>
                  </w:r>
                  <w:r>
                    <w:rPr>
                      <w:rFonts w:hint="default" w:ascii="Times New Roman" w:hAnsi="Times New Roman" w:cs="Times New Roman"/>
                      <w:b w:val="0"/>
                      <w:bCs w:val="0"/>
                      <w:color w:val="auto"/>
                      <w:spacing w:val="4"/>
                      <w:sz w:val="21"/>
                      <w:szCs w:val="21"/>
                      <w:highlight w:val="none"/>
                      <w:lang w:val="en-US" w:eastAsia="zh-CN"/>
                    </w:rPr>
                    <w:t>房内</w:t>
                  </w: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1061" w:type="dxa"/>
                  <w:noWrap w:val="0"/>
                  <w:vAlign w:val="center"/>
                </w:tcPr>
                <w:p>
                  <w:pPr>
                    <w:pStyle w:val="34"/>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东：15</w:t>
                  </w:r>
                </w:p>
                <w:p>
                  <w:pPr>
                    <w:pStyle w:val="34"/>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南：14</w:t>
                  </w:r>
                </w:p>
                <w:p>
                  <w:pPr>
                    <w:pStyle w:val="34"/>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西：2</w:t>
                  </w:r>
                </w:p>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北：5</w:t>
                  </w:r>
                </w:p>
              </w:tc>
              <w:tc>
                <w:tcPr>
                  <w:tcW w:w="1010"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东：45.6南：46.3西：67.5北：57.5</w:t>
                  </w:r>
                </w:p>
              </w:tc>
              <w:tc>
                <w:tcPr>
                  <w:tcW w:w="559" w:type="dxa"/>
                  <w:vMerge w:val="restart"/>
                  <w:noWrap w:val="0"/>
                  <w:vAlign w:val="center"/>
                </w:tcPr>
                <w:p>
                  <w:pPr>
                    <w:pStyle w:val="36"/>
                    <w:ind w:left="0" w:leftChars="0" w:firstLine="0" w:firstLineChars="0"/>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24</w:t>
                  </w:r>
                </w:p>
              </w:tc>
              <w:tc>
                <w:tcPr>
                  <w:tcW w:w="630" w:type="dxa"/>
                  <w:vMerge w:val="restart"/>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1013"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东：30.6</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南：31.3</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西：52.5</w:t>
                  </w:r>
                </w:p>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北：42.5</w:t>
                  </w:r>
                </w:p>
              </w:tc>
              <w:tc>
                <w:tcPr>
                  <w:tcW w:w="506"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1" w:hRule="atLeast"/>
              </w:trPr>
              <w:tc>
                <w:tcPr>
                  <w:tcW w:w="443"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521" w:type="dxa"/>
                  <w:vMerge w:val="continue"/>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p>
              </w:tc>
              <w:tc>
                <w:tcPr>
                  <w:tcW w:w="474" w:type="dxa"/>
                  <w:noWrap w:val="0"/>
                  <w:vAlign w:val="center"/>
                </w:tcPr>
                <w:p>
                  <w:pPr>
                    <w:pStyle w:val="34"/>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卧式反冲洗水泵</w:t>
                  </w:r>
                </w:p>
              </w:tc>
              <w:tc>
                <w:tcPr>
                  <w:tcW w:w="463"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872"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85</w:t>
                  </w:r>
                </w:p>
              </w:tc>
              <w:tc>
                <w:tcPr>
                  <w:tcW w:w="429" w:type="dxa"/>
                  <w:vMerge w:val="continue"/>
                  <w:noWrap w:val="0"/>
                  <w:vAlign w:val="center"/>
                </w:tcPr>
                <w:p>
                  <w:pPr>
                    <w:pStyle w:val="34"/>
                    <w:jc w:val="center"/>
                    <w:rPr>
                      <w:rFonts w:hint="default" w:ascii="Times New Roman" w:hAnsi="Times New Roman" w:cs="Times New Roman"/>
                      <w:b w:val="0"/>
                      <w:bCs w:val="0"/>
                      <w:color w:val="auto"/>
                      <w:spacing w:val="4"/>
                      <w:sz w:val="21"/>
                      <w:szCs w:val="21"/>
                      <w:highlight w:val="none"/>
                      <w:lang w:val="en-US" w:eastAsia="zh-CN"/>
                    </w:rPr>
                  </w:pP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w:t>
                  </w: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1061"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东：7</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南：7</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西：8</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北：12</w:t>
                  </w:r>
                </w:p>
              </w:tc>
              <w:tc>
                <w:tcPr>
                  <w:tcW w:w="1010"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东：66.9</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南：66.9</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西：65.4</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北：61.0</w:t>
                  </w:r>
                </w:p>
              </w:tc>
              <w:tc>
                <w:tcPr>
                  <w:tcW w:w="559" w:type="dxa"/>
                  <w:vMerge w:val="continue"/>
                  <w:noWrap w:val="0"/>
                  <w:vAlign w:val="center"/>
                </w:tcPr>
                <w:p>
                  <w:pPr>
                    <w:pStyle w:val="36"/>
                    <w:ind w:left="0" w:leftChars="0" w:firstLine="0" w:firstLineChars="0"/>
                    <w:jc w:val="both"/>
                    <w:rPr>
                      <w:rFonts w:hint="eastAsia" w:ascii="Times New Roman" w:hAnsi="Times New Roman" w:cs="Times New Roman"/>
                      <w:b w:val="0"/>
                      <w:bCs w:val="0"/>
                      <w:color w:val="auto"/>
                      <w:sz w:val="21"/>
                      <w:szCs w:val="21"/>
                      <w:highlight w:val="none"/>
                      <w:lang w:val="en-US" w:eastAsia="zh-CN"/>
                    </w:rPr>
                  </w:pPr>
                </w:p>
              </w:tc>
              <w:tc>
                <w:tcPr>
                  <w:tcW w:w="630" w:type="dxa"/>
                  <w:vMerge w:val="continue"/>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p>
              </w:tc>
              <w:tc>
                <w:tcPr>
                  <w:tcW w:w="1013"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东：51.9</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南：51.9</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西：50.4</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北：46</w:t>
                  </w:r>
                </w:p>
              </w:tc>
              <w:tc>
                <w:tcPr>
                  <w:tcW w:w="506" w:type="dxa"/>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1" w:hRule="atLeast"/>
              </w:trPr>
              <w:tc>
                <w:tcPr>
                  <w:tcW w:w="443"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521" w:type="dxa"/>
                  <w:vMerge w:val="continue"/>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p>
              </w:tc>
              <w:tc>
                <w:tcPr>
                  <w:tcW w:w="474"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鼓风机</w:t>
                  </w:r>
                </w:p>
              </w:tc>
              <w:tc>
                <w:tcPr>
                  <w:tcW w:w="463"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872"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85</w:t>
                  </w:r>
                </w:p>
              </w:tc>
              <w:tc>
                <w:tcPr>
                  <w:tcW w:w="429" w:type="dxa"/>
                  <w:vMerge w:val="continue"/>
                  <w:noWrap w:val="0"/>
                  <w:vAlign w:val="center"/>
                </w:tcPr>
                <w:p>
                  <w:pPr>
                    <w:pStyle w:val="34"/>
                    <w:jc w:val="center"/>
                    <w:rPr>
                      <w:rFonts w:hint="default" w:ascii="Times New Roman" w:hAnsi="Times New Roman" w:cs="Times New Roman"/>
                      <w:b w:val="0"/>
                      <w:bCs w:val="0"/>
                      <w:color w:val="auto"/>
                      <w:spacing w:val="4"/>
                      <w:sz w:val="21"/>
                      <w:szCs w:val="21"/>
                      <w:highlight w:val="none"/>
                      <w:lang w:val="en-US" w:eastAsia="zh-CN"/>
                    </w:rPr>
                  </w:pP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w:t>
                  </w: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w:t>
                  </w:r>
                </w:p>
              </w:tc>
              <w:tc>
                <w:tcPr>
                  <w:tcW w:w="1061"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东：6</w:t>
                  </w:r>
                </w:p>
                <w:p>
                  <w:pPr>
                    <w:pStyle w:val="34"/>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南：10</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西：10</w:t>
                  </w:r>
                </w:p>
                <w:p>
                  <w:pPr>
                    <w:pStyle w:val="34"/>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北：11</w:t>
                  </w:r>
                </w:p>
              </w:tc>
              <w:tc>
                <w:tcPr>
                  <w:tcW w:w="1010"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东：73.6</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南：68.0</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西：68.0</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北：67.0</w:t>
                  </w:r>
                </w:p>
              </w:tc>
              <w:tc>
                <w:tcPr>
                  <w:tcW w:w="559" w:type="dxa"/>
                  <w:vMerge w:val="continue"/>
                  <w:noWrap w:val="0"/>
                  <w:vAlign w:val="center"/>
                </w:tcPr>
                <w:p>
                  <w:pPr>
                    <w:pStyle w:val="36"/>
                    <w:ind w:left="0" w:leftChars="0" w:firstLine="0" w:firstLineChars="0"/>
                    <w:jc w:val="both"/>
                    <w:rPr>
                      <w:rFonts w:hint="eastAsia" w:ascii="Times New Roman" w:hAnsi="Times New Roman" w:cs="Times New Roman"/>
                      <w:b w:val="0"/>
                      <w:bCs w:val="0"/>
                      <w:color w:val="auto"/>
                      <w:sz w:val="21"/>
                      <w:szCs w:val="21"/>
                      <w:highlight w:val="none"/>
                      <w:lang w:val="en-US" w:eastAsia="zh-CN"/>
                    </w:rPr>
                  </w:pPr>
                </w:p>
              </w:tc>
              <w:tc>
                <w:tcPr>
                  <w:tcW w:w="630" w:type="dxa"/>
                  <w:vMerge w:val="continue"/>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p>
              </w:tc>
              <w:tc>
                <w:tcPr>
                  <w:tcW w:w="1013"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东：58.6</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南：53.0</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西：53.0</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北：52.0</w:t>
                  </w:r>
                </w:p>
              </w:tc>
              <w:tc>
                <w:tcPr>
                  <w:tcW w:w="506"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1" w:hRule="atLeast"/>
              </w:trPr>
              <w:tc>
                <w:tcPr>
                  <w:tcW w:w="443"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w:t>
                  </w:r>
                </w:p>
              </w:tc>
              <w:tc>
                <w:tcPr>
                  <w:tcW w:w="521" w:type="dxa"/>
                  <w:vMerge w:val="continue"/>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p>
              </w:tc>
              <w:tc>
                <w:tcPr>
                  <w:tcW w:w="474"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加药泵</w:t>
                  </w:r>
                </w:p>
              </w:tc>
              <w:tc>
                <w:tcPr>
                  <w:tcW w:w="463"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872"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85</w:t>
                  </w:r>
                </w:p>
              </w:tc>
              <w:tc>
                <w:tcPr>
                  <w:tcW w:w="429" w:type="dxa"/>
                  <w:vMerge w:val="continue"/>
                  <w:noWrap w:val="0"/>
                  <w:vAlign w:val="center"/>
                </w:tcPr>
                <w:p>
                  <w:pPr>
                    <w:pStyle w:val="34"/>
                    <w:jc w:val="center"/>
                    <w:rPr>
                      <w:rFonts w:hint="default" w:ascii="Times New Roman" w:hAnsi="Times New Roman" w:cs="Times New Roman"/>
                      <w:b w:val="0"/>
                      <w:bCs w:val="0"/>
                      <w:color w:val="auto"/>
                      <w:spacing w:val="4"/>
                      <w:sz w:val="21"/>
                      <w:szCs w:val="21"/>
                      <w:highlight w:val="none"/>
                      <w:lang w:val="en-US" w:eastAsia="zh-CN"/>
                    </w:rPr>
                  </w:pPr>
                </w:p>
              </w:tc>
              <w:tc>
                <w:tcPr>
                  <w:tcW w:w="319" w:type="dxa"/>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w:t>
                  </w:r>
                </w:p>
              </w:tc>
              <w:tc>
                <w:tcPr>
                  <w:tcW w:w="319" w:type="dxa"/>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w:t>
                  </w:r>
                </w:p>
              </w:tc>
              <w:tc>
                <w:tcPr>
                  <w:tcW w:w="319" w:type="dxa"/>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w:t>
                  </w:r>
                </w:p>
              </w:tc>
              <w:tc>
                <w:tcPr>
                  <w:tcW w:w="1061"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东：15</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南：6</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西：3</w:t>
                  </w:r>
                </w:p>
                <w:p>
                  <w:pPr>
                    <w:pStyle w:val="34"/>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北：13</w:t>
                  </w:r>
                </w:p>
              </w:tc>
              <w:tc>
                <w:tcPr>
                  <w:tcW w:w="1010"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东：55.6</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南：65.5</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西：73.1</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北：53.2</w:t>
                  </w:r>
                </w:p>
              </w:tc>
              <w:tc>
                <w:tcPr>
                  <w:tcW w:w="559" w:type="dxa"/>
                  <w:vMerge w:val="continue"/>
                  <w:noWrap w:val="0"/>
                  <w:vAlign w:val="center"/>
                </w:tcPr>
                <w:p>
                  <w:pPr>
                    <w:pStyle w:val="36"/>
                    <w:ind w:left="0" w:leftChars="0" w:firstLine="0" w:firstLineChars="0"/>
                    <w:jc w:val="both"/>
                    <w:rPr>
                      <w:rFonts w:hint="eastAsia" w:ascii="Times New Roman" w:hAnsi="Times New Roman" w:cs="Times New Roman"/>
                      <w:b w:val="0"/>
                      <w:bCs w:val="0"/>
                      <w:color w:val="auto"/>
                      <w:sz w:val="21"/>
                      <w:szCs w:val="21"/>
                      <w:highlight w:val="none"/>
                      <w:lang w:val="en-US" w:eastAsia="zh-CN"/>
                    </w:rPr>
                  </w:pPr>
                </w:p>
              </w:tc>
              <w:tc>
                <w:tcPr>
                  <w:tcW w:w="630" w:type="dxa"/>
                  <w:vMerge w:val="continue"/>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p>
              </w:tc>
              <w:tc>
                <w:tcPr>
                  <w:tcW w:w="1013"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东：40.6</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南：50.5</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西：58.1</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北：38.2</w:t>
                  </w:r>
                </w:p>
              </w:tc>
              <w:tc>
                <w:tcPr>
                  <w:tcW w:w="506" w:type="dxa"/>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1" w:hRule="atLeast"/>
              </w:trPr>
              <w:tc>
                <w:tcPr>
                  <w:tcW w:w="443"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521" w:type="dxa"/>
                  <w:vMerge w:val="continue"/>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p>
              </w:tc>
              <w:tc>
                <w:tcPr>
                  <w:tcW w:w="474"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次氯酸钠发生器</w:t>
                  </w:r>
                </w:p>
              </w:tc>
              <w:tc>
                <w:tcPr>
                  <w:tcW w:w="463"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872"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75</w:t>
                  </w:r>
                </w:p>
              </w:tc>
              <w:tc>
                <w:tcPr>
                  <w:tcW w:w="429" w:type="dxa"/>
                  <w:vMerge w:val="continue"/>
                  <w:noWrap w:val="0"/>
                  <w:vAlign w:val="center"/>
                </w:tcPr>
                <w:p>
                  <w:pPr>
                    <w:pStyle w:val="34"/>
                    <w:jc w:val="center"/>
                    <w:rPr>
                      <w:rFonts w:hint="default" w:ascii="Times New Roman" w:hAnsi="Times New Roman" w:cs="Times New Roman"/>
                      <w:b w:val="0"/>
                      <w:bCs w:val="0"/>
                      <w:color w:val="auto"/>
                      <w:spacing w:val="4"/>
                      <w:sz w:val="21"/>
                      <w:szCs w:val="21"/>
                      <w:highlight w:val="none"/>
                      <w:lang w:val="en-US" w:eastAsia="zh-CN"/>
                    </w:rPr>
                  </w:pP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1061"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东：15</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南：10</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西：2</w:t>
                  </w:r>
                </w:p>
                <w:p>
                  <w:pPr>
                    <w:pStyle w:val="34"/>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北：10</w:t>
                  </w:r>
                </w:p>
              </w:tc>
              <w:tc>
                <w:tcPr>
                  <w:tcW w:w="1010"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东：46.5南：50.0</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西：67.5</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北：50.0</w:t>
                  </w:r>
                </w:p>
              </w:tc>
              <w:tc>
                <w:tcPr>
                  <w:tcW w:w="559" w:type="dxa"/>
                  <w:vMerge w:val="continue"/>
                  <w:noWrap w:val="0"/>
                  <w:vAlign w:val="center"/>
                </w:tcPr>
                <w:p>
                  <w:pPr>
                    <w:pStyle w:val="36"/>
                    <w:ind w:left="0" w:leftChars="0" w:firstLine="0" w:firstLineChars="0"/>
                    <w:jc w:val="both"/>
                    <w:rPr>
                      <w:rFonts w:hint="eastAsia" w:ascii="Times New Roman" w:hAnsi="Times New Roman" w:cs="Times New Roman"/>
                      <w:b w:val="0"/>
                      <w:bCs w:val="0"/>
                      <w:color w:val="auto"/>
                      <w:sz w:val="21"/>
                      <w:szCs w:val="21"/>
                      <w:highlight w:val="none"/>
                      <w:lang w:val="en-US" w:eastAsia="zh-CN"/>
                    </w:rPr>
                  </w:pPr>
                </w:p>
              </w:tc>
              <w:tc>
                <w:tcPr>
                  <w:tcW w:w="630" w:type="dxa"/>
                  <w:vMerge w:val="continue"/>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p>
              </w:tc>
              <w:tc>
                <w:tcPr>
                  <w:tcW w:w="1013"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东：31.5</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南：35</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西：43.1</w:t>
                  </w:r>
                </w:p>
                <w:p>
                  <w:pPr>
                    <w:pStyle w:val="34"/>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北：23.2</w:t>
                  </w:r>
                </w:p>
              </w:tc>
              <w:tc>
                <w:tcPr>
                  <w:tcW w:w="506" w:type="dxa"/>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1" w:hRule="atLeast"/>
              </w:trPr>
              <w:tc>
                <w:tcPr>
                  <w:tcW w:w="443"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521" w:type="dxa"/>
                  <w:vMerge w:val="continue"/>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p>
              </w:tc>
              <w:tc>
                <w:tcPr>
                  <w:tcW w:w="474" w:type="dxa"/>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污泥压滤机</w:t>
                  </w:r>
                </w:p>
              </w:tc>
              <w:tc>
                <w:tcPr>
                  <w:tcW w:w="463"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872"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80</w:t>
                  </w:r>
                </w:p>
              </w:tc>
              <w:tc>
                <w:tcPr>
                  <w:tcW w:w="429" w:type="dxa"/>
                  <w:vMerge w:val="continue"/>
                  <w:noWrap w:val="0"/>
                  <w:vAlign w:val="center"/>
                </w:tcPr>
                <w:p>
                  <w:pPr>
                    <w:pStyle w:val="34"/>
                    <w:jc w:val="center"/>
                    <w:rPr>
                      <w:rFonts w:hint="default" w:ascii="Times New Roman" w:hAnsi="Times New Roman" w:cs="Times New Roman"/>
                      <w:b w:val="0"/>
                      <w:bCs w:val="0"/>
                      <w:color w:val="auto"/>
                      <w:spacing w:val="4"/>
                      <w:sz w:val="21"/>
                      <w:szCs w:val="21"/>
                      <w:highlight w:val="none"/>
                      <w:lang w:val="en-US" w:eastAsia="zh-CN"/>
                    </w:rPr>
                  </w:pP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w:t>
                  </w: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319"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1061"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东：6</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南：14</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西：10</w:t>
                  </w:r>
                </w:p>
                <w:p>
                  <w:pPr>
                    <w:pStyle w:val="34"/>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北：7</w:t>
                  </w:r>
                </w:p>
              </w:tc>
              <w:tc>
                <w:tcPr>
                  <w:tcW w:w="1010"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东：60.5南：51.3</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西：55.0</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北：58.9</w:t>
                  </w:r>
                </w:p>
              </w:tc>
              <w:tc>
                <w:tcPr>
                  <w:tcW w:w="559" w:type="dxa"/>
                  <w:vMerge w:val="continue"/>
                  <w:noWrap w:val="0"/>
                  <w:vAlign w:val="center"/>
                </w:tcPr>
                <w:p>
                  <w:pPr>
                    <w:pStyle w:val="36"/>
                    <w:ind w:left="0" w:leftChars="0" w:firstLine="0" w:firstLineChars="0"/>
                    <w:jc w:val="both"/>
                    <w:rPr>
                      <w:rFonts w:hint="eastAsia" w:ascii="Times New Roman" w:hAnsi="Times New Roman" w:cs="Times New Roman"/>
                      <w:b w:val="0"/>
                      <w:bCs w:val="0"/>
                      <w:color w:val="auto"/>
                      <w:sz w:val="21"/>
                      <w:szCs w:val="21"/>
                      <w:highlight w:val="none"/>
                      <w:lang w:val="en-US" w:eastAsia="zh-CN"/>
                    </w:rPr>
                  </w:pPr>
                </w:p>
              </w:tc>
              <w:tc>
                <w:tcPr>
                  <w:tcW w:w="630" w:type="dxa"/>
                  <w:vMerge w:val="continue"/>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p>
              </w:tc>
              <w:tc>
                <w:tcPr>
                  <w:tcW w:w="1013"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东：45.5</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南：36.3</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西：40.0</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北：43.9</w:t>
                  </w:r>
                </w:p>
              </w:tc>
              <w:tc>
                <w:tcPr>
                  <w:tcW w:w="506" w:type="dxa"/>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1" w:hRule="atLeast"/>
              </w:trPr>
              <w:tc>
                <w:tcPr>
                  <w:tcW w:w="443"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w:t>
                  </w:r>
                </w:p>
              </w:tc>
              <w:tc>
                <w:tcPr>
                  <w:tcW w:w="521" w:type="dxa"/>
                  <w:vMerge w:val="continue"/>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p>
              </w:tc>
              <w:tc>
                <w:tcPr>
                  <w:tcW w:w="474"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柴油发电机</w:t>
                  </w:r>
                </w:p>
              </w:tc>
              <w:tc>
                <w:tcPr>
                  <w:tcW w:w="463"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872" w:type="dxa"/>
                  <w:noWrap w:val="0"/>
                  <w:vAlign w:val="center"/>
                </w:tcPr>
                <w:p>
                  <w:pPr>
                    <w:pStyle w:val="34"/>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85</w:t>
                  </w:r>
                </w:p>
              </w:tc>
              <w:tc>
                <w:tcPr>
                  <w:tcW w:w="429" w:type="dxa"/>
                  <w:vMerge w:val="continue"/>
                  <w:noWrap w:val="0"/>
                  <w:vAlign w:val="center"/>
                </w:tcPr>
                <w:p>
                  <w:pPr>
                    <w:pStyle w:val="34"/>
                    <w:jc w:val="center"/>
                    <w:rPr>
                      <w:rFonts w:hint="default" w:ascii="Times New Roman" w:hAnsi="Times New Roman" w:cs="Times New Roman"/>
                      <w:b w:val="0"/>
                      <w:bCs w:val="0"/>
                      <w:color w:val="auto"/>
                      <w:spacing w:val="4"/>
                      <w:sz w:val="21"/>
                      <w:szCs w:val="21"/>
                      <w:highlight w:val="none"/>
                      <w:lang w:val="en-US" w:eastAsia="zh-CN"/>
                    </w:rPr>
                  </w:pPr>
                </w:p>
              </w:tc>
              <w:tc>
                <w:tcPr>
                  <w:tcW w:w="319" w:type="dxa"/>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319" w:type="dxa"/>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319" w:type="dxa"/>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1061"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东：5</w:t>
                  </w:r>
                </w:p>
                <w:p>
                  <w:pPr>
                    <w:pStyle w:val="34"/>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南：10</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西：10</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北：10</w:t>
                  </w:r>
                </w:p>
              </w:tc>
              <w:tc>
                <w:tcPr>
                  <w:tcW w:w="1010"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东：73.6</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南：68.0</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西：68.0</w:t>
                  </w:r>
                </w:p>
                <w:p>
                  <w:pPr>
                    <w:pStyle w:val="34"/>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北：67.0</w:t>
                  </w:r>
                </w:p>
              </w:tc>
              <w:tc>
                <w:tcPr>
                  <w:tcW w:w="559" w:type="dxa"/>
                  <w:vMerge w:val="continue"/>
                  <w:noWrap w:val="0"/>
                  <w:vAlign w:val="center"/>
                </w:tcPr>
                <w:p>
                  <w:pPr>
                    <w:pStyle w:val="36"/>
                    <w:ind w:left="0" w:leftChars="0" w:firstLine="0" w:firstLineChars="0"/>
                    <w:jc w:val="both"/>
                    <w:rPr>
                      <w:rFonts w:hint="eastAsia" w:ascii="Times New Roman" w:hAnsi="Times New Roman" w:cs="Times New Roman"/>
                      <w:b w:val="0"/>
                      <w:bCs w:val="0"/>
                      <w:color w:val="auto"/>
                      <w:sz w:val="21"/>
                      <w:szCs w:val="21"/>
                      <w:highlight w:val="none"/>
                      <w:lang w:val="en-US" w:eastAsia="zh-CN"/>
                    </w:rPr>
                  </w:pPr>
                </w:p>
              </w:tc>
              <w:tc>
                <w:tcPr>
                  <w:tcW w:w="630" w:type="dxa"/>
                  <w:vMerge w:val="continue"/>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p>
              </w:tc>
              <w:tc>
                <w:tcPr>
                  <w:tcW w:w="1013" w:type="dxa"/>
                  <w:noWrap w:val="0"/>
                  <w:vAlign w:val="center"/>
                </w:tcPr>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东：58.6</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南：53.0</w:t>
                  </w:r>
                </w:p>
                <w:p>
                  <w:pPr>
                    <w:pStyle w:val="34"/>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西：53.0</w:t>
                  </w:r>
                </w:p>
                <w:p>
                  <w:pPr>
                    <w:pStyle w:val="34"/>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北：52.0</w:t>
                  </w:r>
                </w:p>
              </w:tc>
              <w:tc>
                <w:tcPr>
                  <w:tcW w:w="506" w:type="dxa"/>
                  <w:noWrap w:val="0"/>
                  <w:vAlign w:val="center"/>
                </w:tcPr>
                <w:p>
                  <w:pPr>
                    <w:pStyle w:val="34"/>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r>
          </w:tbl>
          <w:p>
            <w:pPr>
              <w:pStyle w:val="5"/>
              <w:widowControl w:val="0"/>
              <w:ind w:firstLine="482"/>
              <w:rPr>
                <w:b w:val="0"/>
                <w:bCs w:val="0"/>
                <w:color w:val="000000" w:themeColor="text1"/>
                <w:highlight w:val="none"/>
                <w:u w:val="none"/>
                <w14:textFill>
                  <w14:solidFill>
                    <w14:schemeClr w14:val="tx1"/>
                  </w14:solidFill>
                </w14:textFill>
              </w:rPr>
            </w:pPr>
            <w:r>
              <w:rPr>
                <w:rFonts w:hint="eastAsia"/>
                <w:b w:val="0"/>
                <w:bCs w:val="0"/>
                <w:color w:val="000000" w:themeColor="text1"/>
                <w:highlight w:val="none"/>
                <w:u w:val="none"/>
                <w14:textFill>
                  <w14:solidFill>
                    <w14:schemeClr w14:val="tx1"/>
                  </w14:solidFill>
                </w14:textFill>
              </w:rPr>
              <w:t>（</w:t>
            </w:r>
            <w:r>
              <w:rPr>
                <w:b w:val="0"/>
                <w:bCs w:val="0"/>
                <w:color w:val="000000" w:themeColor="text1"/>
                <w:highlight w:val="none"/>
                <w:u w:val="none"/>
                <w14:textFill>
                  <w14:solidFill>
                    <w14:schemeClr w14:val="tx1"/>
                  </w14:solidFill>
                </w14:textFill>
              </w:rPr>
              <w:t>2</w:t>
            </w:r>
            <w:r>
              <w:rPr>
                <w:rFonts w:hint="eastAsia"/>
                <w:b w:val="0"/>
                <w:bCs w:val="0"/>
                <w:color w:val="000000" w:themeColor="text1"/>
                <w:highlight w:val="none"/>
                <w:u w:val="none"/>
                <w14:textFill>
                  <w14:solidFill>
                    <w14:schemeClr w14:val="tx1"/>
                  </w14:solidFill>
                </w14:textFill>
              </w:rPr>
              <w:t>）降噪措施</w:t>
            </w:r>
          </w:p>
          <w:p>
            <w:pPr>
              <w:pStyle w:val="5"/>
              <w:widowControl w:val="0"/>
              <w:ind w:firstLine="48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为降低噪声对环境的影响，提出以下措施：</w:t>
            </w:r>
          </w:p>
          <w:p>
            <w:pPr>
              <w:pStyle w:val="5"/>
              <w:widowControl w:val="0"/>
              <w:ind w:firstLine="48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fldChar w:fldCharType="begin"/>
            </w:r>
            <w:r>
              <w:rPr>
                <w:color w:val="000000" w:themeColor="text1"/>
                <w:highlight w:val="none"/>
                <w:u w:val="none"/>
                <w14:textFill>
                  <w14:solidFill>
                    <w14:schemeClr w14:val="tx1"/>
                  </w14:solidFill>
                </w14:textFill>
              </w:rPr>
              <w:instrText xml:space="preserve"> = 1 \* GB3 \* MERGEFORMAT </w:instrText>
            </w:r>
            <w:r>
              <w:rPr>
                <w:color w:val="000000" w:themeColor="text1"/>
                <w:highlight w:val="none"/>
                <w:u w:val="none"/>
                <w14:textFill>
                  <w14:solidFill>
                    <w14:schemeClr w14:val="tx1"/>
                  </w14:solidFill>
                </w14:textFill>
              </w:rPr>
              <w:fldChar w:fldCharType="separate"/>
            </w:r>
            <w:r>
              <w:rPr>
                <w:rFonts w:hint="eastAsia" w:ascii="宋体" w:hAnsi="宋体" w:cs="宋体"/>
                <w:color w:val="000000" w:themeColor="text1"/>
                <w:highlight w:val="none"/>
                <w:u w:val="none"/>
                <w14:textFill>
                  <w14:solidFill>
                    <w14:schemeClr w14:val="tx1"/>
                  </w14:solidFill>
                </w14:textFill>
              </w:rPr>
              <w:t>①</w:t>
            </w:r>
            <w:r>
              <w:rPr>
                <w:color w:val="000000" w:themeColor="text1"/>
                <w:highlight w:val="none"/>
                <w:u w:val="none"/>
                <w14:textFill>
                  <w14:solidFill>
                    <w14:schemeClr w14:val="tx1"/>
                  </w14:solidFill>
                </w14:textFill>
              </w:rPr>
              <w:fldChar w:fldCharType="end"/>
            </w:r>
            <w:r>
              <w:rPr>
                <w:rFonts w:hint="eastAsia"/>
                <w:color w:val="000000" w:themeColor="text1"/>
                <w:highlight w:val="none"/>
                <w:u w:val="none"/>
                <w14:textFill>
                  <w14:solidFill>
                    <w14:schemeClr w14:val="tx1"/>
                  </w14:solidFill>
                </w14:textFill>
              </w:rPr>
              <w:t>总平布置</w:t>
            </w:r>
          </w:p>
          <w:p>
            <w:pPr>
              <w:pStyle w:val="5"/>
              <w:widowControl w:val="0"/>
              <w:ind w:firstLine="48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从总平面布置的角度出发，将噪声大的生产设备尽量设置于远离厂界的位置，同时利用墙壁的作用，使噪声受到不同程度的隔绝和吸收，做到尽可能屏蔽声源，减少对环境的影响。在本项目总体布置上利用建筑物、构筑物来阻隔声波的传播。</w:t>
            </w:r>
          </w:p>
          <w:p>
            <w:pPr>
              <w:pStyle w:val="5"/>
              <w:widowControl w:val="0"/>
              <w:ind w:firstLine="48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fldChar w:fldCharType="begin"/>
            </w:r>
            <w:r>
              <w:rPr>
                <w:color w:val="000000" w:themeColor="text1"/>
                <w:highlight w:val="none"/>
                <w:u w:val="none"/>
                <w14:textFill>
                  <w14:solidFill>
                    <w14:schemeClr w14:val="tx1"/>
                  </w14:solidFill>
                </w14:textFill>
              </w:rPr>
              <w:instrText xml:space="preserve"> = 2 \* GB3 \* MERGEFORMAT </w:instrText>
            </w:r>
            <w:r>
              <w:rPr>
                <w:color w:val="000000" w:themeColor="text1"/>
                <w:highlight w:val="none"/>
                <w:u w:val="none"/>
                <w14:textFill>
                  <w14:solidFill>
                    <w14:schemeClr w14:val="tx1"/>
                  </w14:solidFill>
                </w14:textFill>
              </w:rPr>
              <w:fldChar w:fldCharType="separate"/>
            </w:r>
            <w:r>
              <w:rPr>
                <w:rFonts w:hint="eastAsia" w:ascii="宋体" w:hAnsi="宋体" w:cs="宋体"/>
                <w:color w:val="000000" w:themeColor="text1"/>
                <w:highlight w:val="none"/>
                <w:u w:val="none"/>
                <w14:textFill>
                  <w14:solidFill>
                    <w14:schemeClr w14:val="tx1"/>
                  </w14:solidFill>
                </w14:textFill>
              </w:rPr>
              <w:t>②</w:t>
            </w:r>
            <w:r>
              <w:rPr>
                <w:color w:val="000000" w:themeColor="text1"/>
                <w:highlight w:val="none"/>
                <w:u w:val="none"/>
                <w14:textFill>
                  <w14:solidFill>
                    <w14:schemeClr w14:val="tx1"/>
                  </w14:solidFill>
                </w14:textFill>
              </w:rPr>
              <w:fldChar w:fldCharType="end"/>
            </w:r>
            <w:r>
              <w:rPr>
                <w:rFonts w:hint="eastAsia"/>
                <w:color w:val="000000" w:themeColor="text1"/>
                <w:highlight w:val="none"/>
                <w:u w:val="none"/>
                <w14:textFill>
                  <w14:solidFill>
                    <w14:schemeClr w14:val="tx1"/>
                  </w14:solidFill>
                </w14:textFill>
              </w:rPr>
              <w:t>加强治理</w:t>
            </w:r>
          </w:p>
          <w:p>
            <w:pPr>
              <w:pStyle w:val="5"/>
              <w:widowControl w:val="0"/>
              <w:ind w:firstLine="48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对于生产设备产生的噪声，首先从声源上进行控制，以低噪声的工艺和设备代替高噪声的工艺和设备；如仍达不到要求，则应采用隔声、消声、吸声、隔振以及综合控制等噪声控制措施：物料及成品运输车辆进出厂区时禁止鸣笛、限速行驶等。</w:t>
            </w:r>
          </w:p>
          <w:p>
            <w:pPr>
              <w:pStyle w:val="5"/>
              <w:widowControl w:val="0"/>
              <w:ind w:firstLine="48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fldChar w:fldCharType="begin"/>
            </w:r>
            <w:r>
              <w:rPr>
                <w:color w:val="000000" w:themeColor="text1"/>
                <w:highlight w:val="none"/>
                <w:u w:val="none"/>
                <w14:textFill>
                  <w14:solidFill>
                    <w14:schemeClr w14:val="tx1"/>
                  </w14:solidFill>
                </w14:textFill>
              </w:rPr>
              <w:instrText xml:space="preserve"> = 3 \* GB3 \* MERGEFORMAT </w:instrText>
            </w:r>
            <w:r>
              <w:rPr>
                <w:color w:val="000000" w:themeColor="text1"/>
                <w:highlight w:val="none"/>
                <w:u w:val="none"/>
                <w14:textFill>
                  <w14:solidFill>
                    <w14:schemeClr w14:val="tx1"/>
                  </w14:solidFill>
                </w14:textFill>
              </w:rPr>
              <w:fldChar w:fldCharType="separate"/>
            </w:r>
            <w:r>
              <w:rPr>
                <w:rFonts w:hint="eastAsia" w:ascii="宋体" w:hAnsi="宋体" w:cs="宋体"/>
                <w:color w:val="000000" w:themeColor="text1"/>
                <w:highlight w:val="none"/>
                <w:u w:val="none"/>
                <w14:textFill>
                  <w14:solidFill>
                    <w14:schemeClr w14:val="tx1"/>
                  </w14:solidFill>
                </w14:textFill>
              </w:rPr>
              <w:t>③</w:t>
            </w:r>
            <w:r>
              <w:rPr>
                <w:color w:val="000000" w:themeColor="text1"/>
                <w:highlight w:val="none"/>
                <w:u w:val="none"/>
                <w14:textFill>
                  <w14:solidFill>
                    <w14:schemeClr w14:val="tx1"/>
                  </w14:solidFill>
                </w14:textFill>
              </w:rPr>
              <w:fldChar w:fldCharType="end"/>
            </w:r>
            <w:r>
              <w:rPr>
                <w:rFonts w:hint="eastAsia"/>
                <w:color w:val="000000" w:themeColor="text1"/>
                <w:highlight w:val="none"/>
                <w:u w:val="none"/>
                <w14:textFill>
                  <w14:solidFill>
                    <w14:schemeClr w14:val="tx1"/>
                  </w14:solidFill>
                </w14:textFill>
              </w:rPr>
              <w:t>加强管理</w:t>
            </w:r>
          </w:p>
          <w:p>
            <w:pPr>
              <w:pStyle w:val="5"/>
              <w:widowControl w:val="0"/>
              <w:ind w:firstLine="48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建立设备定期维护，保养的管理制度，以防止设备故障形成的非正常生产噪声，同时确保环保措施发挥最佳有效的功能；加强职工环保意识教育，提倡文明生产，防止人为噪声。</w:t>
            </w:r>
          </w:p>
          <w:p>
            <w:pPr>
              <w:pStyle w:val="5"/>
              <w:widowControl w:val="0"/>
              <w:ind w:firstLine="48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上述措施技术容易实施，技术成熟可靠，投资费用不高，在经济和技术上是合理可行的。</w:t>
            </w:r>
          </w:p>
          <w:p>
            <w:pPr>
              <w:pStyle w:val="5"/>
              <w:widowControl w:val="0"/>
              <w:ind w:firstLine="482"/>
              <w:rPr>
                <w:b w:val="0"/>
                <w:bCs w:val="0"/>
                <w:color w:val="000000" w:themeColor="text1"/>
                <w:highlight w:val="none"/>
                <w:u w:val="none"/>
                <w:lang w:bidi="ar"/>
                <w14:textFill>
                  <w14:solidFill>
                    <w14:schemeClr w14:val="tx1"/>
                  </w14:solidFill>
                </w14:textFill>
              </w:rPr>
            </w:pPr>
            <w:r>
              <w:rPr>
                <w:rFonts w:hint="eastAsia"/>
                <w:b w:val="0"/>
                <w:bCs w:val="0"/>
                <w:color w:val="000000" w:themeColor="text1"/>
                <w:highlight w:val="none"/>
                <w:u w:val="none"/>
                <w:lang w:eastAsia="zh-CN" w:bidi="ar"/>
                <w14:textFill>
                  <w14:solidFill>
                    <w14:schemeClr w14:val="tx1"/>
                  </w14:solidFill>
                </w14:textFill>
              </w:rPr>
              <w:t>（</w:t>
            </w:r>
            <w:r>
              <w:rPr>
                <w:rFonts w:hint="eastAsia"/>
                <w:b w:val="0"/>
                <w:bCs w:val="0"/>
                <w:color w:val="000000" w:themeColor="text1"/>
                <w:highlight w:val="none"/>
                <w:u w:val="none"/>
                <w:lang w:val="en-US" w:eastAsia="zh-CN" w:bidi="ar"/>
                <w14:textFill>
                  <w14:solidFill>
                    <w14:schemeClr w14:val="tx1"/>
                  </w14:solidFill>
                </w14:textFill>
              </w:rPr>
              <w:t>3</w:t>
            </w:r>
            <w:r>
              <w:rPr>
                <w:rFonts w:hint="eastAsia"/>
                <w:b w:val="0"/>
                <w:bCs w:val="0"/>
                <w:color w:val="000000" w:themeColor="text1"/>
                <w:highlight w:val="none"/>
                <w:u w:val="none"/>
                <w:lang w:eastAsia="zh-CN" w:bidi="ar"/>
                <w14:textFill>
                  <w14:solidFill>
                    <w14:schemeClr w14:val="tx1"/>
                  </w14:solidFill>
                </w14:textFill>
              </w:rPr>
              <w:t>）</w:t>
            </w:r>
            <w:r>
              <w:rPr>
                <w:rFonts w:hint="eastAsia"/>
                <w:b w:val="0"/>
                <w:bCs w:val="0"/>
                <w:color w:val="000000" w:themeColor="text1"/>
                <w:highlight w:val="none"/>
                <w:u w:val="none"/>
                <w:lang w:bidi="ar"/>
                <w14:textFill>
                  <w14:solidFill>
                    <w14:schemeClr w14:val="tx1"/>
                  </w14:solidFill>
                </w14:textFill>
              </w:rPr>
              <w:t>噪声影响预测及达标分析</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0" w:firstLineChars="200"/>
              <w:jc w:val="both"/>
              <w:textAlignment w:val="auto"/>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本次评价噪声预测模式如下：</w:t>
            </w:r>
          </w:p>
          <w:p>
            <w:pPr>
              <w:tabs>
                <w:tab w:val="left" w:pos="1280"/>
              </w:tabs>
              <w:adjustRightInd w:val="0"/>
              <w:snapToGrid w:val="0"/>
              <w:spacing w:line="360" w:lineRule="auto"/>
              <w:ind w:firstLine="480" w:firstLineChars="200"/>
              <w:jc w:val="both"/>
              <w:textAlignment w:val="baseline"/>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为了说明运营期对周围环境的影响程度，预测各产噪设施内设备全部运行状况下各</w:t>
            </w:r>
            <w:r>
              <w:rPr>
                <w:rFonts w:hint="eastAsia" w:cs="Times New Roman"/>
                <w:color w:val="auto"/>
                <w:sz w:val="24"/>
                <w:szCs w:val="24"/>
                <w:highlight w:val="none"/>
                <w:u w:val="none" w:color="auto"/>
                <w:lang w:val="en-US" w:eastAsia="zh-CN"/>
              </w:rPr>
              <w:t>厂</w:t>
            </w:r>
            <w:r>
              <w:rPr>
                <w:rFonts w:hint="default" w:ascii="Times New Roman" w:hAnsi="Times New Roman" w:cs="Times New Roman"/>
                <w:color w:val="auto"/>
                <w:sz w:val="24"/>
                <w:szCs w:val="24"/>
                <w:highlight w:val="none"/>
                <w:u w:val="none" w:color="auto"/>
              </w:rPr>
              <w:t>界的噪声值。本次选用《环境影响评价技术导则声环境》（HJ2.4-20</w:t>
            </w:r>
            <w:r>
              <w:rPr>
                <w:rFonts w:hint="eastAsia" w:ascii="Times New Roman" w:hAnsi="Times New Roman" w:cs="Times New Roman"/>
                <w:color w:val="auto"/>
                <w:sz w:val="24"/>
                <w:szCs w:val="24"/>
                <w:highlight w:val="none"/>
                <w:u w:val="none" w:color="auto"/>
                <w:lang w:val="en-US" w:eastAsia="zh-CN"/>
              </w:rPr>
              <w:t>21</w:t>
            </w:r>
            <w:r>
              <w:rPr>
                <w:rFonts w:hint="default" w:ascii="Times New Roman" w:hAnsi="Times New Roman" w:cs="Times New Roman"/>
                <w:color w:val="auto"/>
                <w:sz w:val="24"/>
                <w:szCs w:val="24"/>
                <w:highlight w:val="none"/>
                <w:u w:val="none" w:color="auto"/>
              </w:rPr>
              <w:t>）推荐的方法和模式进行预测。</w:t>
            </w:r>
          </w:p>
          <w:p>
            <w:pPr>
              <w:tabs>
                <w:tab w:val="left" w:pos="1280"/>
              </w:tabs>
              <w:adjustRightInd w:val="0"/>
              <w:snapToGrid w:val="0"/>
              <w:spacing w:line="360" w:lineRule="auto"/>
              <w:ind w:firstLine="480" w:firstLineChars="200"/>
              <w:jc w:val="both"/>
              <w:textAlignment w:val="baseline"/>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lang w:val="en-US" w:eastAsia="zh-CN"/>
              </w:rPr>
              <w:t>①</w:t>
            </w:r>
            <w:r>
              <w:rPr>
                <w:rFonts w:hint="default" w:ascii="Times New Roman" w:hAnsi="Times New Roman" w:cs="Times New Roman"/>
                <w:color w:val="auto"/>
                <w:sz w:val="24"/>
                <w:szCs w:val="24"/>
                <w:highlight w:val="none"/>
                <w:u w:val="none" w:color="auto"/>
              </w:rPr>
              <w:t>预测模式</w:t>
            </w:r>
          </w:p>
          <w:p>
            <w:pPr>
              <w:tabs>
                <w:tab w:val="left" w:pos="1280"/>
              </w:tabs>
              <w:adjustRightInd w:val="0"/>
              <w:snapToGrid w:val="0"/>
              <w:spacing w:line="360" w:lineRule="auto"/>
              <w:ind w:firstLine="480" w:firstLineChars="200"/>
              <w:jc w:val="both"/>
              <w:textAlignment w:val="baseline"/>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为了说明运营期对周围环境的影响程度，预测各产噪设施内设备全部运行状况下各场界的噪声值。本次选用《环境影响评价技术导则声环境》（HJ2.4-20</w:t>
            </w:r>
            <w:r>
              <w:rPr>
                <w:rFonts w:hint="eastAsia" w:ascii="Times New Roman" w:hAnsi="Times New Roman" w:cs="Times New Roman"/>
                <w:color w:val="auto"/>
                <w:sz w:val="24"/>
                <w:szCs w:val="24"/>
                <w:highlight w:val="none"/>
                <w:u w:val="none" w:color="auto"/>
                <w:lang w:val="en-US" w:eastAsia="zh-CN"/>
              </w:rPr>
              <w:t>21</w:t>
            </w:r>
            <w:r>
              <w:rPr>
                <w:rFonts w:hint="default" w:ascii="Times New Roman" w:hAnsi="Times New Roman" w:cs="Times New Roman"/>
                <w:color w:val="auto"/>
                <w:sz w:val="24"/>
                <w:szCs w:val="24"/>
                <w:highlight w:val="none"/>
                <w:u w:val="none" w:color="auto"/>
              </w:rPr>
              <w:t>）推荐的方法和模式进行预测。</w:t>
            </w:r>
          </w:p>
          <w:p>
            <w:pPr>
              <w:tabs>
                <w:tab w:val="left" w:pos="1280"/>
              </w:tabs>
              <w:adjustRightInd w:val="0"/>
              <w:snapToGrid w:val="0"/>
              <w:spacing w:line="360" w:lineRule="auto"/>
              <w:ind w:firstLine="480" w:firstLineChars="200"/>
              <w:jc w:val="both"/>
              <w:textAlignment w:val="baseline"/>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A、噪声传播衰减模式：</w:t>
            </w:r>
          </w:p>
          <w:p>
            <w:pPr>
              <w:keepNext w:val="0"/>
              <w:keepLines w:val="0"/>
              <w:pageBreakBefore w:val="0"/>
              <w:widowControl w:val="0"/>
              <w:kinsoku/>
              <w:wordWrap/>
              <w:overflowPunct/>
              <w:topLinePunct w:val="0"/>
              <w:bidi w:val="0"/>
              <w:adjustRightInd w:val="0"/>
              <w:snapToGrid w:val="0"/>
              <w:spacing w:line="360" w:lineRule="auto"/>
              <w:jc w:val="center"/>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L</w:t>
            </w:r>
            <w:r>
              <w:rPr>
                <w:rFonts w:hint="eastAsia" w:ascii="Times New Roman" w:hAnsi="Times New Roman" w:cs="Times New Roman"/>
                <w:color w:val="auto"/>
                <w:sz w:val="24"/>
                <w:szCs w:val="24"/>
                <w:highlight w:val="none"/>
                <w:u w:val="none" w:color="auto"/>
                <w:lang w:val="en-US" w:eastAsia="zh-CN"/>
              </w:rPr>
              <w:t>p</w:t>
            </w:r>
            <w:r>
              <w:rPr>
                <w:rFonts w:hint="default" w:ascii="Times New Roman" w:hAnsi="Times New Roman" w:cs="Times New Roman"/>
                <w:color w:val="auto"/>
                <w:sz w:val="24"/>
                <w:szCs w:val="24"/>
                <w:highlight w:val="none"/>
                <w:u w:val="none" w:color="auto"/>
              </w:rPr>
              <w:t>(r)=L</w:t>
            </w:r>
            <w:r>
              <w:rPr>
                <w:rFonts w:hint="eastAsia" w:ascii="Times New Roman" w:hAnsi="Times New Roman" w:cs="Times New Roman"/>
                <w:color w:val="auto"/>
                <w:sz w:val="24"/>
                <w:szCs w:val="24"/>
                <w:highlight w:val="none"/>
                <w:u w:val="none" w:color="auto"/>
                <w:lang w:val="en-US" w:eastAsia="zh-CN"/>
              </w:rPr>
              <w:t>p</w:t>
            </w:r>
            <w:r>
              <w:rPr>
                <w:rFonts w:hint="default" w:ascii="Times New Roman" w:hAnsi="Times New Roman" w:cs="Times New Roman"/>
                <w:color w:val="auto"/>
                <w:sz w:val="24"/>
                <w:szCs w:val="24"/>
                <w:highlight w:val="none"/>
                <w:u w:val="none" w:color="auto"/>
              </w:rPr>
              <w:t>(r0)-20Lg(r/r0)</w:t>
            </w:r>
          </w:p>
          <w:p>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式中：</w:t>
            </w:r>
            <w:r>
              <w:rPr>
                <w:rFonts w:hint="default" w:ascii="Times New Roman" w:hAnsi="Times New Roman" w:cs="Times New Roman"/>
                <w:color w:val="auto"/>
                <w:sz w:val="24"/>
                <w:szCs w:val="24"/>
                <w:highlight w:val="none"/>
                <w:u w:val="none" w:color="auto"/>
                <w:lang w:val="en-US" w:eastAsia="zh-CN"/>
              </w:rPr>
              <w:t>Lp(r) ——预测点处声压级，dB；</w:t>
            </w:r>
          </w:p>
          <w:p>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lang w:val="en-US" w:eastAsia="zh-CN"/>
              </w:rPr>
              <w:t>Lp(r0) ——参考位置r0处的声压级，dB；</w:t>
            </w:r>
          </w:p>
          <w:p>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lang w:val="en-US" w:eastAsia="zh-CN"/>
              </w:rPr>
              <w:t>r ——预测点距声源的距离；</w:t>
            </w:r>
          </w:p>
          <w:p>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lang w:val="en-US" w:eastAsia="zh-CN"/>
              </w:rPr>
              <w:t>r0——参考位置距声源的距离。</w:t>
            </w:r>
          </w:p>
          <w:p>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B、声压级合成模式：</w:t>
            </w:r>
          </w:p>
          <w:p>
            <w:pPr>
              <w:keepNext w:val="0"/>
              <w:keepLines w:val="0"/>
              <w:pageBreakBefore w:val="0"/>
              <w:widowControl w:val="0"/>
              <w:kinsoku/>
              <w:wordWrap/>
              <w:overflowPunct/>
              <w:topLinePunct w:val="0"/>
              <w:bidi w:val="0"/>
              <w:adjustRightInd w:val="0"/>
              <w:snapToGrid w:val="0"/>
              <w:spacing w:line="360" w:lineRule="auto"/>
              <w:jc w:val="center"/>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position w:val="-30"/>
                <w:sz w:val="24"/>
                <w:szCs w:val="24"/>
                <w:highlight w:val="none"/>
                <w:u w:val="none" w:color="auto"/>
              </w:rPr>
              <w:object>
                <v:shape id="_x0000_i1025" o:spt="75" type="#_x0000_t75" style="height:36.7pt;width:126.85pt;" o:ole="t" filled="f" o:preferrelative="t" stroked="f" coordsize="21600,21600">
                  <v:path/>
                  <v:fill on="f" focussize="0,0"/>
                  <v:stroke on="f"/>
                  <v:imagedata r:id="rId19" o:title=""/>
                  <o:lock v:ext="edit" aspectratio="t"/>
                  <w10:wrap type="none"/>
                  <w10:anchorlock/>
                </v:shape>
                <o:OLEObject Type="Embed" ProgID="Equation.3" ShapeID="_x0000_i1025" DrawAspect="Content" ObjectID="_1468075725" r:id="rId18">
                  <o:LockedField>false</o:LockedField>
                </o:OLEObject>
              </w:object>
            </w:r>
          </w:p>
          <w:p>
            <w:pPr>
              <w:tabs>
                <w:tab w:val="left" w:pos="1280"/>
              </w:tabs>
              <w:adjustRightInd w:val="0"/>
              <w:snapToGrid w:val="0"/>
              <w:spacing w:line="360" w:lineRule="auto"/>
              <w:ind w:firstLine="480" w:firstLineChars="200"/>
              <w:jc w:val="both"/>
              <w:textAlignment w:val="baseline"/>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式中：L</w:t>
            </w:r>
            <w:r>
              <w:rPr>
                <w:rFonts w:hint="eastAsia" w:ascii="Times New Roman" w:hAnsi="Times New Roman" w:cs="Times New Roman"/>
                <w:color w:val="auto"/>
                <w:sz w:val="24"/>
                <w:szCs w:val="24"/>
                <w:highlight w:val="none"/>
                <w:u w:val="none" w:color="auto"/>
                <w:lang w:val="en-US" w:eastAsia="zh-CN"/>
              </w:rPr>
              <w:t>eqg</w:t>
            </w:r>
            <w:r>
              <w:rPr>
                <w:rFonts w:hint="default" w:ascii="Times New Roman" w:hAnsi="Times New Roman" w:cs="Times New Roman"/>
                <w:color w:val="auto"/>
                <w:sz w:val="24"/>
                <w:szCs w:val="24"/>
                <w:highlight w:val="none"/>
                <w:u w:val="none" w:color="auto"/>
              </w:rPr>
              <w:t>――</w:t>
            </w:r>
            <w:r>
              <w:rPr>
                <w:rFonts w:hint="default" w:ascii="Times New Roman" w:hAnsi="Times New Roman" w:cs="Times New Roman"/>
                <w:color w:val="auto"/>
                <w:sz w:val="24"/>
                <w:szCs w:val="24"/>
                <w:highlight w:val="none"/>
                <w:u w:val="none" w:color="auto"/>
                <w:lang w:val="en-US" w:eastAsia="zh-CN"/>
              </w:rPr>
              <w:t>噪声贡献值</w:t>
            </w:r>
            <w:r>
              <w:rPr>
                <w:rFonts w:hint="default" w:ascii="Times New Roman" w:hAnsi="Times New Roman" w:cs="Times New Roman"/>
                <w:color w:val="auto"/>
                <w:sz w:val="24"/>
                <w:szCs w:val="24"/>
                <w:highlight w:val="none"/>
                <w:u w:val="none" w:color="auto"/>
              </w:rPr>
              <w:t>，dB(A)；</w:t>
            </w:r>
          </w:p>
          <w:p>
            <w:pPr>
              <w:tabs>
                <w:tab w:val="left" w:pos="1280"/>
              </w:tabs>
              <w:adjustRightInd w:val="0"/>
              <w:snapToGrid w:val="0"/>
              <w:spacing w:line="360" w:lineRule="auto"/>
              <w:ind w:firstLine="960" w:firstLineChars="400"/>
              <w:jc w:val="both"/>
              <w:textAlignment w:val="baseline"/>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lang w:val="en-US" w:eastAsia="zh-CN"/>
              </w:rPr>
              <w:t>T —— 预测计算的时间段，s；</w:t>
            </w:r>
          </w:p>
          <w:p>
            <w:pPr>
              <w:tabs>
                <w:tab w:val="left" w:pos="1280"/>
              </w:tabs>
              <w:adjustRightInd w:val="0"/>
              <w:snapToGrid w:val="0"/>
              <w:spacing w:line="360" w:lineRule="auto"/>
              <w:ind w:firstLine="960" w:firstLineChars="400"/>
              <w:jc w:val="both"/>
              <w:textAlignment w:val="baseline"/>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lang w:val="en-US" w:eastAsia="zh-CN"/>
              </w:rPr>
              <w:t>t i —— i 声源在 T 时段内的运行时间，s；</w:t>
            </w:r>
          </w:p>
          <w:p>
            <w:pPr>
              <w:tabs>
                <w:tab w:val="left" w:pos="1280"/>
              </w:tabs>
              <w:adjustRightInd w:val="0"/>
              <w:snapToGrid w:val="0"/>
              <w:spacing w:line="360" w:lineRule="auto"/>
              <w:ind w:firstLine="960" w:firstLineChars="400"/>
              <w:jc w:val="both"/>
              <w:textAlignment w:val="baseline"/>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lang w:val="en-US" w:eastAsia="zh-CN"/>
              </w:rPr>
              <w:t>LAi ——i 声源在预测点产生的等效连续 A 声级，dB。</w:t>
            </w:r>
          </w:p>
          <w:p>
            <w:pPr>
              <w:pStyle w:val="5"/>
              <w:widowControl w:val="0"/>
              <w:ind w:firstLine="480"/>
              <w:rPr>
                <w:iCs/>
                <w:color w:val="000000" w:themeColor="text1"/>
                <w:highlight w:val="none"/>
                <w:u w:val="none"/>
                <w14:textFill>
                  <w14:solidFill>
                    <w14:schemeClr w14:val="tx1"/>
                  </w14:solidFill>
                </w14:textFill>
              </w:rPr>
            </w:pPr>
            <w:r>
              <w:rPr>
                <w:rFonts w:hint="eastAsia" w:ascii="宋体" w:hAnsi="宋体" w:eastAsia="宋体" w:cs="宋体"/>
                <w:iCs/>
                <w:color w:val="000000" w:themeColor="text1"/>
                <w:highlight w:val="none"/>
                <w:u w:val="none"/>
                <w14:textFill>
                  <w14:solidFill>
                    <w14:schemeClr w14:val="tx1"/>
                  </w14:solidFill>
                </w14:textFill>
              </w:rPr>
              <w:t>②</w:t>
            </w:r>
            <w:r>
              <w:rPr>
                <w:rFonts w:hint="eastAsia"/>
                <w:iCs/>
                <w:color w:val="000000" w:themeColor="text1"/>
                <w:highlight w:val="none"/>
                <w:u w:val="none"/>
                <w14:textFill>
                  <w14:solidFill>
                    <w14:schemeClr w14:val="tx1"/>
                  </w14:solidFill>
                </w14:textFill>
              </w:rPr>
              <w:t>预测结果和分析</w:t>
            </w:r>
          </w:p>
          <w:p>
            <w:pPr>
              <w:pStyle w:val="5"/>
              <w:widowControl w:val="0"/>
              <w:ind w:firstLine="480"/>
              <w:rPr>
                <w:iCs/>
                <w:color w:val="000000" w:themeColor="text1"/>
                <w:highlight w:val="none"/>
                <w:u w:val="none"/>
                <w14:textFill>
                  <w14:solidFill>
                    <w14:schemeClr w14:val="tx1"/>
                  </w14:solidFill>
                </w14:textFill>
              </w:rPr>
            </w:pPr>
            <w:r>
              <w:rPr>
                <w:iCs/>
                <w:color w:val="000000" w:themeColor="text1"/>
                <w:highlight w:val="none"/>
                <w:u w:val="none"/>
                <w14:textFill>
                  <w14:solidFill>
                    <w14:schemeClr w14:val="tx1"/>
                  </w14:solidFill>
                </w14:textFill>
              </w:rPr>
              <w:t>利用主要噪声设备声源源强以及隔声措施等资料，通过上述噪声预测模式进行预测计算，得到建设项目建成后预计厂界四周噪声贡献值</w:t>
            </w:r>
            <w:r>
              <w:rPr>
                <w:rFonts w:hint="eastAsia"/>
                <w:iCs/>
                <w:color w:val="000000" w:themeColor="text1"/>
                <w:highlight w:val="none"/>
                <w:u w:val="none"/>
                <w14:textFill>
                  <w14:solidFill>
                    <w14:schemeClr w14:val="tx1"/>
                  </w14:solidFill>
                </w14:textFill>
              </w:rPr>
              <w:t>。本项目</w:t>
            </w:r>
            <w:r>
              <w:rPr>
                <w:rFonts w:hint="eastAsia"/>
                <w:iCs/>
                <w:color w:val="000000" w:themeColor="text1"/>
                <w:highlight w:val="none"/>
                <w:u w:val="none"/>
                <w:lang w:val="en-US" w:eastAsia="zh-CN"/>
                <w14:textFill>
                  <w14:solidFill>
                    <w14:schemeClr w14:val="tx1"/>
                  </w14:solidFill>
                </w14:textFill>
              </w:rPr>
              <w:t>水厂</w:t>
            </w:r>
            <w:r>
              <w:rPr>
                <w:rFonts w:hint="eastAsia"/>
                <w:iCs/>
                <w:color w:val="000000" w:themeColor="text1"/>
                <w:highlight w:val="none"/>
                <w:u w:val="none"/>
                <w14:textFill>
                  <w14:solidFill>
                    <w14:schemeClr w14:val="tx1"/>
                  </w14:solidFill>
                </w14:textFill>
              </w:rPr>
              <w:t>厂界四周噪声贡献值</w:t>
            </w:r>
            <w:r>
              <w:rPr>
                <w:iCs/>
                <w:color w:val="000000" w:themeColor="text1"/>
                <w:highlight w:val="none"/>
                <w:u w:val="none"/>
                <w14:textFill>
                  <w14:solidFill>
                    <w14:schemeClr w14:val="tx1"/>
                  </w14:solidFill>
                </w14:textFill>
              </w:rPr>
              <w:t>具体见下表</w:t>
            </w:r>
            <w:r>
              <w:rPr>
                <w:rFonts w:hint="eastAsia"/>
                <w:iCs/>
                <w:color w:val="000000" w:themeColor="text1"/>
                <w:highlight w:val="none"/>
                <w:u w:val="none"/>
                <w14:textFill>
                  <w14:solidFill>
                    <w14:schemeClr w14:val="tx1"/>
                  </w14:solidFill>
                </w14:textFill>
              </w:rPr>
              <w:t>：</w:t>
            </w:r>
          </w:p>
          <w:p>
            <w:pPr>
              <w:pStyle w:val="52"/>
              <w:ind w:firstLine="482"/>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t>表4-</w:t>
            </w:r>
            <w:r>
              <w:rPr>
                <w:rFonts w:hint="eastAsia"/>
                <w:color w:val="000000" w:themeColor="text1"/>
                <w:highlight w:val="none"/>
                <w:u w:val="none"/>
                <w:lang w:val="en-US" w:eastAsia="zh-CN"/>
                <w14:textFill>
                  <w14:solidFill>
                    <w14:schemeClr w14:val="tx1"/>
                  </w14:solidFill>
                </w14:textFill>
              </w:rPr>
              <w:t>9</w:t>
            </w:r>
            <w:r>
              <w:rPr>
                <w:color w:val="000000" w:themeColor="text1"/>
                <w:highlight w:val="none"/>
                <w:u w:val="none"/>
                <w14:textFill>
                  <w14:solidFill>
                    <w14:schemeClr w14:val="tx1"/>
                  </w14:solidFill>
                </w14:textFill>
              </w:rPr>
              <w:t xml:space="preserve">  建设项目厂界噪声预测值</w:t>
            </w:r>
            <w:r>
              <w:rPr>
                <w:rFonts w:hint="eastAsia"/>
                <w:color w:val="000000" w:themeColor="text1"/>
                <w:highlight w:val="none"/>
                <w:u w:val="none"/>
                <w14:textFill>
                  <w14:solidFill>
                    <w14:schemeClr w14:val="tx1"/>
                  </w14:solidFill>
                </w14:textFill>
              </w:rPr>
              <w:t xml:space="preserve"> </w:t>
            </w:r>
            <w:r>
              <w:rPr>
                <w:color w:val="000000" w:themeColor="text1"/>
                <w:highlight w:val="none"/>
                <w:u w:val="none"/>
                <w14:textFill>
                  <w14:solidFill>
                    <w14:schemeClr w14:val="tx1"/>
                  </w14:solidFill>
                </w14:textFill>
              </w:rPr>
              <w:t xml:space="preserve">  单位：dB(A)</w:t>
            </w:r>
          </w:p>
          <w:tbl>
            <w:tblPr>
              <w:tblStyle w:val="28"/>
              <w:tblW w:w="92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4"/>
              <w:gridCol w:w="1578"/>
              <w:gridCol w:w="1158"/>
              <w:gridCol w:w="1158"/>
              <w:gridCol w:w="1158"/>
              <w:gridCol w:w="1158"/>
              <w:gridCol w:w="1222"/>
              <w:gridCol w:w="10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restart"/>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序号</w:t>
                  </w:r>
                </w:p>
              </w:tc>
              <w:tc>
                <w:tcPr>
                  <w:tcW w:w="851" w:type="pct"/>
                  <w:vMerge w:val="restart"/>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bidi="zh-CN"/>
                      <w14:textFill>
                        <w14:solidFill>
                          <w14:schemeClr w14:val="tx1"/>
                        </w14:solidFill>
                      </w14:textFill>
                    </w:rPr>
                    <w:t>位置</w:t>
                  </w:r>
                </w:p>
              </w:tc>
              <w:tc>
                <w:tcPr>
                  <w:tcW w:w="1250" w:type="pct"/>
                  <w:gridSpan w:val="2"/>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噪声标准/</w:t>
                  </w:r>
                  <w:r>
                    <w:rPr>
                      <w:color w:val="000000" w:themeColor="text1"/>
                      <w:highlight w:val="none"/>
                      <w:u w:val="none"/>
                      <w:lang w:bidi="zh-CN"/>
                      <w14:textFill>
                        <w14:solidFill>
                          <w14:schemeClr w14:val="tx1"/>
                        </w14:solidFill>
                      </w14:textFill>
                    </w:rPr>
                    <w:t>dB（</w:t>
                  </w:r>
                  <w:r>
                    <w:rPr>
                      <w:rFonts w:hint="eastAsia"/>
                      <w:color w:val="000000" w:themeColor="text1"/>
                      <w:highlight w:val="none"/>
                      <w:u w:val="none"/>
                      <w:lang w:bidi="zh-CN"/>
                      <w14:textFill>
                        <w14:solidFill>
                          <w14:schemeClr w14:val="tx1"/>
                        </w14:solidFill>
                      </w14:textFill>
                    </w:rPr>
                    <w:t>A</w:t>
                  </w:r>
                  <w:r>
                    <w:rPr>
                      <w:color w:val="000000" w:themeColor="text1"/>
                      <w:highlight w:val="none"/>
                      <w:u w:val="none"/>
                      <w:lang w:bidi="zh-CN"/>
                      <w14:textFill>
                        <w14:solidFill>
                          <w14:schemeClr w14:val="tx1"/>
                        </w14:solidFill>
                      </w14:textFill>
                    </w:rPr>
                    <w:t>）</w:t>
                  </w:r>
                </w:p>
              </w:tc>
              <w:tc>
                <w:tcPr>
                  <w:tcW w:w="1250" w:type="pct"/>
                  <w:gridSpan w:val="2"/>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bidi="zh-CN"/>
                      <w14:textFill>
                        <w14:solidFill>
                          <w14:schemeClr w14:val="tx1"/>
                        </w14:solidFill>
                      </w14:textFill>
                    </w:rPr>
                    <w:t>噪声贡献值/</w:t>
                  </w:r>
                  <w:r>
                    <w:rPr>
                      <w:color w:val="000000" w:themeColor="text1"/>
                      <w:highlight w:val="none"/>
                      <w:u w:val="none"/>
                      <w:lang w:bidi="zh-CN"/>
                      <w14:textFill>
                        <w14:solidFill>
                          <w14:schemeClr w14:val="tx1"/>
                        </w14:solidFill>
                      </w14:textFill>
                    </w:rPr>
                    <w:t>dB（</w:t>
                  </w:r>
                  <w:r>
                    <w:rPr>
                      <w:rFonts w:hint="eastAsia"/>
                      <w:color w:val="000000" w:themeColor="text1"/>
                      <w:highlight w:val="none"/>
                      <w:u w:val="none"/>
                      <w:lang w:bidi="zh-CN"/>
                      <w14:textFill>
                        <w14:solidFill>
                          <w14:schemeClr w14:val="tx1"/>
                        </w14:solidFill>
                      </w14:textFill>
                    </w:rPr>
                    <w:t>A</w:t>
                  </w:r>
                  <w:r>
                    <w:rPr>
                      <w:color w:val="000000" w:themeColor="text1"/>
                      <w:highlight w:val="none"/>
                      <w:u w:val="none"/>
                      <w:lang w:bidi="zh-CN"/>
                      <w14:textFill>
                        <w14:solidFill>
                          <w14:schemeClr w14:val="tx1"/>
                        </w14:solidFill>
                      </w14:textFill>
                    </w:rPr>
                    <w:t>）</w:t>
                  </w:r>
                </w:p>
              </w:tc>
              <w:tc>
                <w:tcPr>
                  <w:tcW w:w="1250" w:type="pct"/>
                  <w:gridSpan w:val="2"/>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超标和达标情况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pStyle w:val="38"/>
                    <w:widowControl w:val="0"/>
                    <w:rPr>
                      <w:color w:val="000000" w:themeColor="text1"/>
                      <w:highlight w:val="none"/>
                      <w:u w:val="none"/>
                      <w14:textFill>
                        <w14:solidFill>
                          <w14:schemeClr w14:val="tx1"/>
                        </w14:solidFill>
                      </w14:textFill>
                    </w:rPr>
                  </w:pPr>
                </w:p>
              </w:tc>
              <w:tc>
                <w:tcPr>
                  <w:tcW w:w="851" w:type="pct"/>
                  <w:vMerge w:val="continue"/>
                  <w:vAlign w:val="center"/>
                </w:tcPr>
                <w:p>
                  <w:pPr>
                    <w:pStyle w:val="38"/>
                    <w:widowControl w:val="0"/>
                    <w:rPr>
                      <w:color w:val="000000" w:themeColor="text1"/>
                      <w:highlight w:val="none"/>
                      <w:u w:val="none"/>
                      <w14:textFill>
                        <w14:solidFill>
                          <w14:schemeClr w14:val="tx1"/>
                        </w14:solidFill>
                      </w14:textFill>
                    </w:rPr>
                  </w:pPr>
                </w:p>
              </w:tc>
              <w:tc>
                <w:tcPr>
                  <w:tcW w:w="625" w:type="pct"/>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昼间</w:t>
                  </w:r>
                </w:p>
              </w:tc>
              <w:tc>
                <w:tcPr>
                  <w:tcW w:w="625" w:type="pct"/>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夜间</w:t>
                  </w:r>
                </w:p>
              </w:tc>
              <w:tc>
                <w:tcPr>
                  <w:tcW w:w="625" w:type="pct"/>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昼间</w:t>
                  </w:r>
                </w:p>
              </w:tc>
              <w:tc>
                <w:tcPr>
                  <w:tcW w:w="625" w:type="pct"/>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夜间</w:t>
                  </w:r>
                </w:p>
              </w:tc>
              <w:tc>
                <w:tcPr>
                  <w:tcW w:w="659" w:type="pct"/>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昼间</w:t>
                  </w:r>
                </w:p>
              </w:tc>
              <w:tc>
                <w:tcPr>
                  <w:tcW w:w="591" w:type="pct"/>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pPr>
                    <w:pStyle w:val="38"/>
                    <w:widowControl w:val="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t>1</w:t>
                  </w:r>
                </w:p>
              </w:tc>
              <w:tc>
                <w:tcPr>
                  <w:tcW w:w="851" w:type="pct"/>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水厂</w:t>
                  </w:r>
                  <w:r>
                    <w:rPr>
                      <w:color w:val="000000" w:themeColor="text1"/>
                      <w:highlight w:val="none"/>
                      <w:u w:val="none"/>
                      <w14:textFill>
                        <w14:solidFill>
                          <w14:schemeClr w14:val="tx1"/>
                        </w14:solidFill>
                      </w14:textFill>
                    </w:rPr>
                    <w:t>东厂界</w:t>
                  </w:r>
                </w:p>
              </w:tc>
              <w:tc>
                <w:tcPr>
                  <w:tcW w:w="625" w:type="pct"/>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60</w:t>
                  </w:r>
                </w:p>
              </w:tc>
              <w:tc>
                <w:tcPr>
                  <w:tcW w:w="625" w:type="pct"/>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50</w:t>
                  </w:r>
                </w:p>
              </w:tc>
              <w:tc>
                <w:tcPr>
                  <w:tcW w:w="625" w:type="pct"/>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49.0</w:t>
                  </w:r>
                </w:p>
              </w:tc>
              <w:tc>
                <w:tcPr>
                  <w:tcW w:w="1158"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49.0</w:t>
                  </w:r>
                </w:p>
              </w:tc>
              <w:tc>
                <w:tcPr>
                  <w:tcW w:w="659" w:type="pct"/>
                  <w:vAlign w:val="center"/>
                </w:tcPr>
                <w:p>
                  <w:pPr>
                    <w:pStyle w:val="38"/>
                    <w:widowControl w:val="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t>达标</w:t>
                  </w:r>
                </w:p>
              </w:tc>
              <w:tc>
                <w:tcPr>
                  <w:tcW w:w="1095" w:type="dxa"/>
                  <w:vAlign w:val="center"/>
                </w:tcPr>
                <w:p>
                  <w:pPr>
                    <w:pStyle w:val="38"/>
                    <w:widowControl w:val="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pPr>
                    <w:pStyle w:val="38"/>
                    <w:widowControl w:val="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t>2</w:t>
                  </w:r>
                </w:p>
              </w:tc>
              <w:tc>
                <w:tcPr>
                  <w:tcW w:w="851" w:type="pct"/>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水厂</w:t>
                  </w:r>
                  <w:r>
                    <w:rPr>
                      <w:color w:val="000000" w:themeColor="text1"/>
                      <w:highlight w:val="none"/>
                      <w:u w:val="none"/>
                      <w14:textFill>
                        <w14:solidFill>
                          <w14:schemeClr w14:val="tx1"/>
                        </w14:solidFill>
                      </w14:textFill>
                    </w:rPr>
                    <w:t>南厂界</w:t>
                  </w:r>
                </w:p>
              </w:tc>
              <w:tc>
                <w:tcPr>
                  <w:tcW w:w="1158"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60</w:t>
                  </w:r>
                </w:p>
              </w:tc>
              <w:tc>
                <w:tcPr>
                  <w:tcW w:w="1158"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50</w:t>
                  </w:r>
                </w:p>
              </w:tc>
              <w:tc>
                <w:tcPr>
                  <w:tcW w:w="625" w:type="pct"/>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34.9</w:t>
                  </w:r>
                </w:p>
              </w:tc>
              <w:tc>
                <w:tcPr>
                  <w:tcW w:w="1158"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34.9</w:t>
                  </w:r>
                </w:p>
              </w:tc>
              <w:tc>
                <w:tcPr>
                  <w:tcW w:w="659" w:type="pct"/>
                  <w:vAlign w:val="center"/>
                </w:tcPr>
                <w:p>
                  <w:pPr>
                    <w:pStyle w:val="38"/>
                    <w:widowControl w:val="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t>达标</w:t>
                  </w:r>
                </w:p>
              </w:tc>
              <w:tc>
                <w:tcPr>
                  <w:tcW w:w="1095" w:type="dxa"/>
                  <w:vAlign w:val="center"/>
                </w:tcPr>
                <w:p>
                  <w:pPr>
                    <w:pStyle w:val="38"/>
                    <w:widowControl w:val="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pPr>
                    <w:pStyle w:val="38"/>
                    <w:widowControl w:val="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t>3</w:t>
                  </w:r>
                </w:p>
              </w:tc>
              <w:tc>
                <w:tcPr>
                  <w:tcW w:w="851" w:type="pct"/>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水厂</w:t>
                  </w:r>
                  <w:r>
                    <w:rPr>
                      <w:color w:val="000000" w:themeColor="text1"/>
                      <w:highlight w:val="none"/>
                      <w:u w:val="none"/>
                      <w14:textFill>
                        <w14:solidFill>
                          <w14:schemeClr w14:val="tx1"/>
                        </w14:solidFill>
                      </w14:textFill>
                    </w:rPr>
                    <w:t>西厂界</w:t>
                  </w:r>
                </w:p>
              </w:tc>
              <w:tc>
                <w:tcPr>
                  <w:tcW w:w="1158"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60</w:t>
                  </w:r>
                </w:p>
              </w:tc>
              <w:tc>
                <w:tcPr>
                  <w:tcW w:w="1158"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50</w:t>
                  </w:r>
                </w:p>
              </w:tc>
              <w:tc>
                <w:tcPr>
                  <w:tcW w:w="625" w:type="pct"/>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45.9</w:t>
                  </w:r>
                </w:p>
              </w:tc>
              <w:tc>
                <w:tcPr>
                  <w:tcW w:w="1158"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45.9</w:t>
                  </w:r>
                </w:p>
              </w:tc>
              <w:tc>
                <w:tcPr>
                  <w:tcW w:w="659" w:type="pct"/>
                  <w:vAlign w:val="center"/>
                </w:tcPr>
                <w:p>
                  <w:pPr>
                    <w:pStyle w:val="38"/>
                    <w:widowControl w:val="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t>达标</w:t>
                  </w:r>
                </w:p>
              </w:tc>
              <w:tc>
                <w:tcPr>
                  <w:tcW w:w="1095" w:type="dxa"/>
                  <w:vAlign w:val="center"/>
                </w:tcPr>
                <w:p>
                  <w:pPr>
                    <w:pStyle w:val="38"/>
                    <w:widowControl w:val="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pPr>
                    <w:pStyle w:val="38"/>
                    <w:widowControl w:val="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t>4</w:t>
                  </w:r>
                </w:p>
              </w:tc>
              <w:tc>
                <w:tcPr>
                  <w:tcW w:w="851" w:type="pct"/>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水厂</w:t>
                  </w:r>
                  <w:r>
                    <w:rPr>
                      <w:color w:val="000000" w:themeColor="text1"/>
                      <w:highlight w:val="none"/>
                      <w:u w:val="none"/>
                      <w14:textFill>
                        <w14:solidFill>
                          <w14:schemeClr w14:val="tx1"/>
                        </w14:solidFill>
                      </w14:textFill>
                    </w:rPr>
                    <w:t>北厂界</w:t>
                  </w:r>
                </w:p>
              </w:tc>
              <w:tc>
                <w:tcPr>
                  <w:tcW w:w="1158"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60</w:t>
                  </w:r>
                </w:p>
              </w:tc>
              <w:tc>
                <w:tcPr>
                  <w:tcW w:w="1158"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50</w:t>
                  </w:r>
                </w:p>
              </w:tc>
              <w:tc>
                <w:tcPr>
                  <w:tcW w:w="625" w:type="pct"/>
                  <w:vAlign w:val="center"/>
                </w:tcPr>
                <w:p>
                  <w:pPr>
                    <w:pStyle w:val="38"/>
                    <w:widowControl w:val="0"/>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48.8</w:t>
                  </w:r>
                </w:p>
              </w:tc>
              <w:tc>
                <w:tcPr>
                  <w:tcW w:w="1158" w:type="dxa"/>
                  <w:vAlign w:val="center"/>
                </w:tcPr>
                <w:p>
                  <w:pPr>
                    <w:pStyle w:val="38"/>
                    <w:widowControl w:val="0"/>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48.8</w:t>
                  </w:r>
                </w:p>
              </w:tc>
              <w:tc>
                <w:tcPr>
                  <w:tcW w:w="659" w:type="pct"/>
                  <w:vAlign w:val="center"/>
                </w:tcPr>
                <w:p>
                  <w:pPr>
                    <w:pStyle w:val="38"/>
                    <w:widowControl w:val="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t>达标</w:t>
                  </w:r>
                </w:p>
              </w:tc>
              <w:tc>
                <w:tcPr>
                  <w:tcW w:w="1095" w:type="dxa"/>
                  <w:vAlign w:val="center"/>
                </w:tcPr>
                <w:p>
                  <w:pPr>
                    <w:pStyle w:val="38"/>
                    <w:widowControl w:val="0"/>
                    <w:rPr>
                      <w:color w:val="000000" w:themeColor="text1"/>
                      <w:highlight w:val="none"/>
                      <w:u w:val="none"/>
                      <w14:textFill>
                        <w14:solidFill>
                          <w14:schemeClr w14:val="tx1"/>
                        </w14:solidFill>
                      </w14:textFill>
                    </w:rPr>
                  </w:pPr>
                  <w:r>
                    <w:rPr>
                      <w:color w:val="000000" w:themeColor="text1"/>
                      <w:highlight w:val="none"/>
                      <w:u w:val="none"/>
                      <w14:textFill>
                        <w14:solidFill>
                          <w14:schemeClr w14:val="tx1"/>
                        </w14:solidFill>
                      </w14:textFill>
                    </w:rPr>
                    <w:t>达标</w:t>
                  </w:r>
                </w:p>
              </w:tc>
            </w:tr>
          </w:tbl>
          <w:p>
            <w:pPr>
              <w:pStyle w:val="5"/>
              <w:widowControl w:val="0"/>
              <w:ind w:firstLine="482"/>
              <w:rPr>
                <w:b w:val="0"/>
                <w:bCs w:val="0"/>
                <w:color w:val="000000" w:themeColor="text1"/>
                <w:highlight w:val="none"/>
                <w:u w:val="none"/>
                <w14:textFill>
                  <w14:solidFill>
                    <w14:schemeClr w14:val="tx1"/>
                  </w14:solidFill>
                </w14:textFill>
              </w:rPr>
            </w:pPr>
            <w:r>
              <w:rPr>
                <w:rFonts w:hint="eastAsia" w:ascii="宋体" w:hAnsi="宋体" w:eastAsia="宋体" w:cs="宋体"/>
                <w:b w:val="0"/>
                <w:bCs w:val="0"/>
                <w:color w:val="000000" w:themeColor="text1"/>
                <w:highlight w:val="none"/>
                <w:u w:val="none"/>
                <w14:textFill>
                  <w14:solidFill>
                    <w14:schemeClr w14:val="tx1"/>
                  </w14:solidFill>
                </w14:textFill>
              </w:rPr>
              <w:t>③</w:t>
            </w:r>
            <w:r>
              <w:rPr>
                <w:rFonts w:hint="eastAsia"/>
                <w:b w:val="0"/>
                <w:bCs w:val="0"/>
                <w:color w:val="000000" w:themeColor="text1"/>
                <w:highlight w:val="none"/>
                <w:u w:val="none"/>
                <w14:textFill>
                  <w14:solidFill>
                    <w14:schemeClr w14:val="tx1"/>
                  </w14:solidFill>
                </w14:textFill>
              </w:rPr>
              <w:t>噪声达标性分析</w:t>
            </w:r>
          </w:p>
          <w:p>
            <w:pPr>
              <w:pStyle w:val="5"/>
              <w:widowControl w:val="0"/>
              <w:ind w:firstLine="480"/>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根据噪声预测分析，本项目各噪声源在加强采取相应的噪声污染治理措施后，经过几何发散衰减和距离衰减，</w:t>
            </w:r>
            <w:r>
              <w:rPr>
                <w:rFonts w:hint="eastAsia"/>
                <w:color w:val="000000" w:themeColor="text1"/>
                <w:highlight w:val="none"/>
                <w:u w:val="none"/>
                <w:lang w:val="en-US" w:eastAsia="zh-CN"/>
                <w14:textFill>
                  <w14:solidFill>
                    <w14:schemeClr w14:val="tx1"/>
                  </w14:solidFill>
                </w14:textFill>
              </w:rPr>
              <w:t>水厂</w:t>
            </w:r>
            <w:r>
              <w:rPr>
                <w:rFonts w:hint="eastAsia"/>
                <w:color w:val="000000" w:themeColor="text1"/>
                <w:highlight w:val="none"/>
                <w:u w:val="none"/>
                <w14:textFill>
                  <w14:solidFill>
                    <w14:schemeClr w14:val="tx1"/>
                  </w14:solidFill>
                </w14:textFill>
              </w:rPr>
              <w:t>厂界噪声贡献值</w:t>
            </w:r>
            <w:r>
              <w:rPr>
                <w:rFonts w:hint="eastAsia"/>
                <w:iCs/>
                <w:color w:val="000000" w:themeColor="text1"/>
                <w:highlight w:val="none"/>
                <w:u w:val="none"/>
                <w14:textFill>
                  <w14:solidFill>
                    <w14:schemeClr w14:val="tx1"/>
                  </w14:solidFill>
                </w14:textFill>
              </w:rPr>
              <w:t>均能</w:t>
            </w:r>
            <w:r>
              <w:rPr>
                <w:rFonts w:hint="eastAsia"/>
                <w:color w:val="000000" w:themeColor="text1"/>
                <w:highlight w:val="none"/>
                <w:u w:val="none"/>
                <w14:textFill>
                  <w14:solidFill>
                    <w14:schemeClr w14:val="tx1"/>
                  </w14:solidFill>
                </w14:textFill>
              </w:rPr>
              <w:t>均达到《工业企业厂界环境噪声排放标准》（</w:t>
            </w:r>
            <w:r>
              <w:rPr>
                <w:color w:val="000000" w:themeColor="text1"/>
                <w:highlight w:val="none"/>
                <w:u w:val="none"/>
                <w14:textFill>
                  <w14:solidFill>
                    <w14:schemeClr w14:val="tx1"/>
                  </w14:solidFill>
                </w14:textFill>
              </w:rPr>
              <w:t>GB12348-2008</w:t>
            </w:r>
            <w:r>
              <w:rPr>
                <w:rFonts w:hint="eastAsia"/>
                <w:color w:val="000000" w:themeColor="text1"/>
                <w:highlight w:val="none"/>
                <w:u w:val="none"/>
                <w14:textFill>
                  <w14:solidFill>
                    <w14:schemeClr w14:val="tx1"/>
                  </w14:solidFill>
                </w14:textFill>
              </w:rPr>
              <w:t>）</w:t>
            </w:r>
            <w:r>
              <w:rPr>
                <w:rFonts w:hint="eastAsia"/>
                <w:color w:val="000000" w:themeColor="text1"/>
                <w:highlight w:val="none"/>
                <w:u w:val="none"/>
                <w:lang w:val="en-US" w:eastAsia="zh-CN"/>
                <w14:textFill>
                  <w14:solidFill>
                    <w14:schemeClr w14:val="tx1"/>
                  </w14:solidFill>
                </w14:textFill>
              </w:rPr>
              <w:t>2</w:t>
            </w:r>
            <w:r>
              <w:rPr>
                <w:rFonts w:hint="eastAsia"/>
                <w:color w:val="000000" w:themeColor="text1"/>
                <w:highlight w:val="none"/>
                <w:u w:val="none"/>
                <w14:textFill>
                  <w14:solidFill>
                    <w14:schemeClr w14:val="tx1"/>
                  </w14:solidFill>
                </w14:textFill>
              </w:rPr>
              <w:t>类区标准要求。</w:t>
            </w:r>
          </w:p>
          <w:p>
            <w:pPr>
              <w:pStyle w:val="5"/>
              <w:widowControl w:val="0"/>
              <w:ind w:firstLine="482"/>
              <w:rPr>
                <w:b w:val="0"/>
                <w:bCs w:val="0"/>
                <w:color w:val="000000" w:themeColor="text1"/>
                <w:highlight w:val="none"/>
                <w:u w:val="none"/>
                <w14:textFill>
                  <w14:solidFill>
                    <w14:schemeClr w14:val="tx1"/>
                  </w14:solidFill>
                </w14:textFill>
              </w:rPr>
            </w:pPr>
            <w:r>
              <w:rPr>
                <w:rFonts w:hint="eastAsia"/>
                <w:b w:val="0"/>
                <w:bCs w:val="0"/>
                <w:color w:val="000000" w:themeColor="text1"/>
                <w:highlight w:val="none"/>
                <w:u w:val="none"/>
                <w:lang w:eastAsia="zh-CN"/>
                <w14:textFill>
                  <w14:solidFill>
                    <w14:schemeClr w14:val="tx1"/>
                  </w14:solidFill>
                </w14:textFill>
              </w:rPr>
              <w:t>（</w:t>
            </w:r>
            <w:r>
              <w:rPr>
                <w:rFonts w:hint="eastAsia"/>
                <w:b w:val="0"/>
                <w:bCs w:val="0"/>
                <w:color w:val="000000" w:themeColor="text1"/>
                <w:highlight w:val="none"/>
                <w:u w:val="none"/>
                <w:lang w:val="en-US" w:eastAsia="zh-CN"/>
                <w14:textFill>
                  <w14:solidFill>
                    <w14:schemeClr w14:val="tx1"/>
                  </w14:solidFill>
                </w14:textFill>
              </w:rPr>
              <w:t>3</w:t>
            </w:r>
            <w:r>
              <w:rPr>
                <w:rFonts w:hint="eastAsia"/>
                <w:b w:val="0"/>
                <w:bCs w:val="0"/>
                <w:color w:val="000000" w:themeColor="text1"/>
                <w:highlight w:val="none"/>
                <w:u w:val="none"/>
                <w:lang w:eastAsia="zh-CN"/>
                <w14:textFill>
                  <w14:solidFill>
                    <w14:schemeClr w14:val="tx1"/>
                  </w14:solidFill>
                </w14:textFill>
              </w:rPr>
              <w:t>）</w:t>
            </w:r>
            <w:r>
              <w:rPr>
                <w:rFonts w:hint="eastAsia"/>
                <w:b w:val="0"/>
                <w:bCs w:val="0"/>
                <w:color w:val="000000" w:themeColor="text1"/>
                <w:highlight w:val="none"/>
                <w:u w:val="none"/>
                <w14:textFill>
                  <w14:solidFill>
                    <w14:schemeClr w14:val="tx1"/>
                  </w14:solidFill>
                </w14:textFill>
              </w:rPr>
              <w:t>噪声环境影响分析</w:t>
            </w:r>
          </w:p>
          <w:p>
            <w:pPr>
              <w:pStyle w:val="5"/>
              <w:widowControl w:val="0"/>
              <w:ind w:firstLine="480"/>
              <w:rPr>
                <w:rFonts w:cs="???-18030"/>
                <w:color w:val="000000" w:themeColor="text1"/>
                <w:highlight w:val="none"/>
                <w:u w:val="none"/>
                <w14:textFill>
                  <w14:solidFill>
                    <w14:schemeClr w14:val="tx1"/>
                  </w14:solidFill>
                </w14:textFill>
              </w:rPr>
            </w:pPr>
            <w:r>
              <w:rPr>
                <w:rFonts w:hint="eastAsia" w:cs="???-18030"/>
                <w:color w:val="000000" w:themeColor="text1"/>
                <w:highlight w:val="none"/>
                <w:u w:val="none"/>
                <w14:textFill>
                  <w14:solidFill>
                    <w14:schemeClr w14:val="tx1"/>
                  </w14:solidFill>
                </w14:textFill>
              </w:rPr>
              <w:t>综上所述，本项目噪声处理措施可行，落实本评价要求的噪声处理措施后，厂界噪声贡献值可达标排放，对周围声环境影响较小。</w:t>
            </w:r>
          </w:p>
          <w:p>
            <w:pPr>
              <w:pStyle w:val="5"/>
              <w:widowControl w:val="0"/>
              <w:ind w:firstLine="482"/>
              <w:rPr>
                <w:b w:val="0"/>
                <w:bCs w:val="0"/>
                <w:iCs/>
                <w:color w:val="000000" w:themeColor="text1"/>
                <w:highlight w:val="none"/>
                <w:u w:val="none"/>
                <w14:textFill>
                  <w14:solidFill>
                    <w14:schemeClr w14:val="tx1"/>
                  </w14:solidFill>
                </w14:textFill>
              </w:rPr>
            </w:pPr>
            <w:r>
              <w:rPr>
                <w:rFonts w:hint="eastAsia"/>
                <w:b w:val="0"/>
                <w:bCs w:val="0"/>
                <w:iCs/>
                <w:color w:val="000000" w:themeColor="text1"/>
                <w:highlight w:val="none"/>
                <w:u w:val="none"/>
                <w:lang w:eastAsia="zh-CN"/>
                <w14:textFill>
                  <w14:solidFill>
                    <w14:schemeClr w14:val="tx1"/>
                  </w14:solidFill>
                </w14:textFill>
              </w:rPr>
              <w:t>（</w:t>
            </w:r>
            <w:r>
              <w:rPr>
                <w:rFonts w:hint="eastAsia"/>
                <w:b w:val="0"/>
                <w:bCs w:val="0"/>
                <w:iCs/>
                <w:color w:val="000000" w:themeColor="text1"/>
                <w:highlight w:val="none"/>
                <w:u w:val="none"/>
                <w:lang w:val="en-US" w:eastAsia="zh-CN"/>
                <w14:textFill>
                  <w14:solidFill>
                    <w14:schemeClr w14:val="tx1"/>
                  </w14:solidFill>
                </w14:textFill>
              </w:rPr>
              <w:t>4</w:t>
            </w:r>
            <w:r>
              <w:rPr>
                <w:rFonts w:hint="eastAsia"/>
                <w:b w:val="0"/>
                <w:bCs w:val="0"/>
                <w:iCs/>
                <w:color w:val="000000" w:themeColor="text1"/>
                <w:highlight w:val="none"/>
                <w:u w:val="none"/>
                <w:lang w:eastAsia="zh-CN"/>
                <w14:textFill>
                  <w14:solidFill>
                    <w14:schemeClr w14:val="tx1"/>
                  </w14:solidFill>
                </w14:textFill>
              </w:rPr>
              <w:t>）</w:t>
            </w:r>
            <w:r>
              <w:rPr>
                <w:rFonts w:hint="eastAsia"/>
                <w:b w:val="0"/>
                <w:bCs w:val="0"/>
                <w:iCs/>
                <w:color w:val="000000" w:themeColor="text1"/>
                <w:highlight w:val="none"/>
                <w:u w:val="none"/>
                <w14:textFill>
                  <w14:solidFill>
                    <w14:schemeClr w14:val="tx1"/>
                  </w14:solidFill>
                </w14:textFill>
              </w:rPr>
              <w:t>噪声环境监测计划</w:t>
            </w:r>
          </w:p>
          <w:p>
            <w:pPr>
              <w:ind w:firstLine="480" w:firstLineChars="200"/>
              <w:jc w:val="both"/>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项目运营期的噪声环境监测按《排污许可证申请与核发技术规范 工业噪声》（HJ1301-2023）</w:t>
            </w:r>
            <w:r>
              <w:rPr>
                <w:rFonts w:hint="eastAsia"/>
                <w:color w:val="000000" w:themeColor="text1"/>
                <w:highlight w:val="none"/>
                <w:u w:val="none"/>
                <w:lang w:val="en-US" w:eastAsia="zh-CN"/>
                <w14:textFill>
                  <w14:solidFill>
                    <w14:schemeClr w14:val="tx1"/>
                  </w14:solidFill>
                </w14:textFill>
              </w:rPr>
              <w:t>要求</w:t>
            </w:r>
            <w:r>
              <w:rPr>
                <w:rFonts w:hint="eastAsia"/>
                <w:color w:val="000000" w:themeColor="text1"/>
                <w:highlight w:val="none"/>
                <w:u w:val="none"/>
                <w14:textFill>
                  <w14:solidFill>
                    <w14:schemeClr w14:val="tx1"/>
                  </w14:solidFill>
                </w14:textFill>
              </w:rPr>
              <w:t>，具体监测工作可委托有资质单位进行，执行本项目环境影响评价中的标准，运营期噪声环境监测计划如下：</w:t>
            </w:r>
          </w:p>
          <w:p>
            <w:pPr>
              <w:pStyle w:val="5"/>
              <w:widowControl w:val="0"/>
              <w:ind w:firstLine="0" w:firstLineChars="0"/>
              <w:jc w:val="center"/>
              <w:rPr>
                <w:b/>
                <w:bCs/>
                <w:snapToGrid w:val="0"/>
                <w:color w:val="000000" w:themeColor="text1"/>
                <w:highlight w:val="none"/>
                <w:u w:val="none"/>
                <w14:textFill>
                  <w14:solidFill>
                    <w14:schemeClr w14:val="tx1"/>
                  </w14:solidFill>
                </w14:textFill>
              </w:rPr>
            </w:pPr>
            <w:r>
              <w:rPr>
                <w:rFonts w:hint="eastAsia"/>
                <w:b/>
                <w:bCs/>
                <w:snapToGrid w:val="0"/>
                <w:color w:val="000000" w:themeColor="text1"/>
                <w:highlight w:val="none"/>
                <w:u w:val="none"/>
                <w14:textFill>
                  <w14:solidFill>
                    <w14:schemeClr w14:val="tx1"/>
                  </w14:solidFill>
                </w14:textFill>
              </w:rPr>
              <w:t>表</w:t>
            </w:r>
            <w:r>
              <w:rPr>
                <w:b/>
                <w:bCs/>
                <w:snapToGrid w:val="0"/>
                <w:color w:val="000000" w:themeColor="text1"/>
                <w:highlight w:val="none"/>
                <w:u w:val="none"/>
                <w14:textFill>
                  <w14:solidFill>
                    <w14:schemeClr w14:val="tx1"/>
                  </w14:solidFill>
                </w14:textFill>
              </w:rPr>
              <w:t>4-</w:t>
            </w:r>
            <w:r>
              <w:rPr>
                <w:rFonts w:hint="eastAsia"/>
                <w:b/>
                <w:bCs/>
                <w:snapToGrid w:val="0"/>
                <w:color w:val="000000" w:themeColor="text1"/>
                <w:highlight w:val="none"/>
                <w:u w:val="none"/>
                <w:lang w:val="en-US" w:eastAsia="zh-CN"/>
                <w14:textFill>
                  <w14:solidFill>
                    <w14:schemeClr w14:val="tx1"/>
                  </w14:solidFill>
                </w14:textFill>
              </w:rPr>
              <w:t>10</w:t>
            </w:r>
            <w:r>
              <w:rPr>
                <w:b/>
                <w:bCs/>
                <w:snapToGrid w:val="0"/>
                <w:color w:val="000000" w:themeColor="text1"/>
                <w:highlight w:val="none"/>
                <w:u w:val="none"/>
                <w14:textFill>
                  <w14:solidFill>
                    <w14:schemeClr w14:val="tx1"/>
                  </w14:solidFill>
                </w14:textFill>
              </w:rPr>
              <w:t xml:space="preserve">  </w:t>
            </w:r>
            <w:r>
              <w:rPr>
                <w:rFonts w:hint="eastAsia"/>
                <w:b/>
                <w:bCs/>
                <w:snapToGrid w:val="0"/>
                <w:color w:val="000000" w:themeColor="text1"/>
                <w:highlight w:val="none"/>
                <w:u w:val="none"/>
                <w14:textFill>
                  <w14:solidFill>
                    <w14:schemeClr w14:val="tx1"/>
                  </w14:solidFill>
                </w14:textFill>
              </w:rPr>
              <w:t>项目营运期噪声环境监测计划一览表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6"/>
              <w:gridCol w:w="3516"/>
              <w:gridCol w:w="3370"/>
              <w:gridCol w:w="14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78" w:type="pct"/>
                  <w:tcBorders>
                    <w:top w:val="single" w:color="auto" w:sz="4" w:space="0"/>
                    <w:left w:val="single" w:color="auto" w:sz="4" w:space="0"/>
                    <w:bottom w:val="single" w:color="auto" w:sz="4" w:space="0"/>
                    <w:right w:val="single" w:color="auto" w:sz="4" w:space="0"/>
                  </w:tcBorders>
                  <w:vAlign w:val="center"/>
                </w:tcPr>
                <w:p>
                  <w:pPr>
                    <w:pStyle w:val="38"/>
                    <w:rPr>
                      <w:b/>
                      <w:bCs/>
                      <w:color w:val="000000" w:themeColor="text1"/>
                      <w:highlight w:val="none"/>
                      <w:u w:val="none"/>
                      <w14:textFill>
                        <w14:solidFill>
                          <w14:schemeClr w14:val="tx1"/>
                        </w14:solidFill>
                      </w14:textFill>
                    </w:rPr>
                  </w:pPr>
                  <w:r>
                    <w:rPr>
                      <w:rFonts w:hint="eastAsia"/>
                      <w:b/>
                      <w:bCs/>
                      <w:color w:val="000000" w:themeColor="text1"/>
                      <w:highlight w:val="none"/>
                      <w:u w:val="none"/>
                      <w14:textFill>
                        <w14:solidFill>
                          <w14:schemeClr w14:val="tx1"/>
                        </w14:solidFill>
                      </w14:textFill>
                    </w:rPr>
                    <w:t>项目</w:t>
                  </w:r>
                </w:p>
              </w:tc>
              <w:tc>
                <w:tcPr>
                  <w:tcW w:w="1899" w:type="pct"/>
                  <w:tcBorders>
                    <w:top w:val="single" w:color="auto" w:sz="4" w:space="0"/>
                    <w:left w:val="nil"/>
                    <w:bottom w:val="single" w:color="auto" w:sz="4" w:space="0"/>
                    <w:right w:val="single" w:color="auto" w:sz="4" w:space="0"/>
                  </w:tcBorders>
                  <w:vAlign w:val="center"/>
                </w:tcPr>
                <w:p>
                  <w:pPr>
                    <w:pStyle w:val="38"/>
                    <w:rPr>
                      <w:b/>
                      <w:bCs/>
                      <w:color w:val="000000" w:themeColor="text1"/>
                      <w:highlight w:val="none"/>
                      <w:u w:val="none"/>
                      <w14:textFill>
                        <w14:solidFill>
                          <w14:schemeClr w14:val="tx1"/>
                        </w14:solidFill>
                      </w14:textFill>
                    </w:rPr>
                  </w:pPr>
                  <w:r>
                    <w:rPr>
                      <w:rFonts w:hint="eastAsia"/>
                      <w:b/>
                      <w:bCs/>
                      <w:color w:val="000000" w:themeColor="text1"/>
                      <w:highlight w:val="none"/>
                      <w:u w:val="none"/>
                      <w14:textFill>
                        <w14:solidFill>
                          <w14:schemeClr w14:val="tx1"/>
                        </w14:solidFill>
                      </w14:textFill>
                    </w:rPr>
                    <w:t>监测位置</w:t>
                  </w:r>
                </w:p>
              </w:tc>
              <w:tc>
                <w:tcPr>
                  <w:tcW w:w="1820" w:type="pct"/>
                  <w:tcBorders>
                    <w:top w:val="single" w:color="auto" w:sz="4" w:space="0"/>
                    <w:left w:val="nil"/>
                    <w:bottom w:val="single" w:color="auto" w:sz="4" w:space="0"/>
                    <w:right w:val="single" w:color="auto" w:sz="4" w:space="0"/>
                  </w:tcBorders>
                  <w:vAlign w:val="center"/>
                </w:tcPr>
                <w:p>
                  <w:pPr>
                    <w:pStyle w:val="38"/>
                    <w:rPr>
                      <w:b/>
                      <w:bCs/>
                      <w:color w:val="000000" w:themeColor="text1"/>
                      <w:highlight w:val="none"/>
                      <w:u w:val="none"/>
                      <w14:textFill>
                        <w14:solidFill>
                          <w14:schemeClr w14:val="tx1"/>
                        </w14:solidFill>
                      </w14:textFill>
                    </w:rPr>
                  </w:pPr>
                  <w:r>
                    <w:rPr>
                      <w:rFonts w:hint="eastAsia"/>
                      <w:b/>
                      <w:bCs/>
                      <w:color w:val="000000" w:themeColor="text1"/>
                      <w:highlight w:val="none"/>
                      <w:u w:val="none"/>
                      <w14:textFill>
                        <w14:solidFill>
                          <w14:schemeClr w14:val="tx1"/>
                        </w14:solidFill>
                      </w14:textFill>
                    </w:rPr>
                    <w:t>监测项目</w:t>
                  </w:r>
                </w:p>
              </w:tc>
              <w:tc>
                <w:tcPr>
                  <w:tcW w:w="802" w:type="pct"/>
                  <w:tcBorders>
                    <w:top w:val="single" w:color="auto" w:sz="4" w:space="0"/>
                    <w:left w:val="nil"/>
                    <w:bottom w:val="single" w:color="auto" w:sz="4" w:space="0"/>
                    <w:right w:val="single" w:color="auto" w:sz="4" w:space="0"/>
                  </w:tcBorders>
                  <w:vAlign w:val="center"/>
                </w:tcPr>
                <w:p>
                  <w:pPr>
                    <w:pStyle w:val="38"/>
                    <w:rPr>
                      <w:b/>
                      <w:bCs/>
                      <w:color w:val="000000" w:themeColor="text1"/>
                      <w:highlight w:val="none"/>
                      <w:u w:val="none"/>
                      <w14:textFill>
                        <w14:solidFill>
                          <w14:schemeClr w14:val="tx1"/>
                        </w14:solidFill>
                      </w14:textFill>
                    </w:rPr>
                  </w:pPr>
                  <w:r>
                    <w:rPr>
                      <w:rFonts w:hint="eastAsia"/>
                      <w:b/>
                      <w:bCs/>
                      <w:color w:val="000000" w:themeColor="text1"/>
                      <w:highlight w:val="none"/>
                      <w:u w:val="none"/>
                      <w14:textFill>
                        <w14:solidFill>
                          <w14:schemeClr w14:val="tx1"/>
                        </w14:solidFill>
                      </w14:textFill>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8" w:type="pct"/>
                  <w:tcBorders>
                    <w:top w:val="single" w:color="auto" w:sz="4" w:space="0"/>
                    <w:left w:val="single" w:color="auto" w:sz="4" w:space="0"/>
                    <w:right w:val="single" w:color="auto" w:sz="4" w:space="0"/>
                  </w:tcBorders>
                  <w:vAlign w:val="center"/>
                </w:tcPr>
                <w:p>
                  <w:pPr>
                    <w:pStyle w:val="38"/>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噪声</w:t>
                  </w:r>
                </w:p>
              </w:tc>
              <w:tc>
                <w:tcPr>
                  <w:tcW w:w="1899" w:type="pct"/>
                  <w:tcBorders>
                    <w:top w:val="single" w:color="auto" w:sz="4" w:space="0"/>
                    <w:left w:val="nil"/>
                    <w:bottom w:val="single" w:color="auto" w:sz="4" w:space="0"/>
                    <w:right w:val="single" w:color="auto" w:sz="4" w:space="0"/>
                  </w:tcBorders>
                  <w:vAlign w:val="center"/>
                </w:tcPr>
                <w:p>
                  <w:pPr>
                    <w:pStyle w:val="38"/>
                    <w:rPr>
                      <w:color w:val="000000" w:themeColor="text1"/>
                      <w:highlight w:val="none"/>
                      <w:u w:val="none"/>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水厂</w:t>
                  </w:r>
                  <w:r>
                    <w:rPr>
                      <w:rFonts w:hint="eastAsia"/>
                      <w:color w:val="000000" w:themeColor="text1"/>
                      <w:highlight w:val="none"/>
                      <w:u w:val="none"/>
                      <w14:textFill>
                        <w14:solidFill>
                          <w14:schemeClr w14:val="tx1"/>
                        </w14:solidFill>
                      </w14:textFill>
                    </w:rPr>
                    <w:t>厂界四周</w:t>
                  </w:r>
                </w:p>
              </w:tc>
              <w:tc>
                <w:tcPr>
                  <w:tcW w:w="1820" w:type="pct"/>
                  <w:tcBorders>
                    <w:top w:val="single" w:color="auto" w:sz="4" w:space="0"/>
                    <w:left w:val="nil"/>
                    <w:bottom w:val="single" w:color="auto" w:sz="4" w:space="0"/>
                    <w:right w:val="single" w:color="auto" w:sz="4" w:space="0"/>
                  </w:tcBorders>
                  <w:vAlign w:val="center"/>
                </w:tcPr>
                <w:p>
                  <w:pPr>
                    <w:pStyle w:val="38"/>
                    <w:rPr>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等效连续</w:t>
                  </w:r>
                  <w:r>
                    <w:rPr>
                      <w:color w:val="000000" w:themeColor="text1"/>
                      <w:highlight w:val="none"/>
                      <w:u w:val="none"/>
                      <w14:textFill>
                        <w14:solidFill>
                          <w14:schemeClr w14:val="tx1"/>
                        </w14:solidFill>
                      </w14:textFill>
                    </w:rPr>
                    <w:t>A</w:t>
                  </w:r>
                  <w:r>
                    <w:rPr>
                      <w:rFonts w:hint="eastAsia"/>
                      <w:color w:val="000000" w:themeColor="text1"/>
                      <w:highlight w:val="none"/>
                      <w:u w:val="none"/>
                      <w14:textFill>
                        <w14:solidFill>
                          <w14:schemeClr w14:val="tx1"/>
                        </w14:solidFill>
                      </w14:textFill>
                    </w:rPr>
                    <w:t>声级</w:t>
                  </w:r>
                </w:p>
              </w:tc>
              <w:tc>
                <w:tcPr>
                  <w:tcW w:w="802" w:type="pct"/>
                  <w:tcBorders>
                    <w:top w:val="single" w:color="auto" w:sz="4" w:space="0"/>
                    <w:left w:val="nil"/>
                    <w:bottom w:val="single" w:color="auto" w:sz="4" w:space="0"/>
                    <w:right w:val="single" w:color="auto" w:sz="4" w:space="0"/>
                  </w:tcBorders>
                  <w:vAlign w:val="center"/>
                </w:tcPr>
                <w:p>
                  <w:pPr>
                    <w:pStyle w:val="38"/>
                    <w:rPr>
                      <w:rFonts w:hint="default" w:eastAsia="宋体"/>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1次/季度</w:t>
                  </w:r>
                </w:p>
              </w:tc>
            </w:tr>
          </w:tbl>
          <w:p>
            <w:pPr>
              <w:pStyle w:val="5"/>
              <w:widowControl w:val="0"/>
              <w:ind w:left="0" w:leftChars="0" w:firstLine="0" w:firstLineChars="0"/>
              <w:rPr>
                <w:rFonts w:cs="宋体"/>
                <w:bCs/>
                <w:color w:val="000000" w:themeColor="text1"/>
                <w:highlight w:val="none"/>
                <w:lang w:bidi="ar"/>
                <w14:textFill>
                  <w14:solidFill>
                    <w14:schemeClr w14:val="tx1"/>
                  </w14:solidFill>
                </w14:textFill>
              </w:rPr>
            </w:pPr>
            <w:r>
              <w:rPr>
                <w:rFonts w:hint="eastAsia" w:cs="宋体"/>
                <w:b/>
                <w:color w:val="000000" w:themeColor="text1"/>
                <w:highlight w:val="none"/>
                <w:lang w:val="en-US" w:eastAsia="zh-CN" w:bidi="ar"/>
                <w14:textFill>
                  <w14:solidFill>
                    <w14:schemeClr w14:val="tx1"/>
                  </w14:solidFill>
                </w14:textFill>
              </w:rPr>
              <w:t>4、</w:t>
            </w:r>
            <w:r>
              <w:rPr>
                <w:rFonts w:hint="eastAsia" w:cs="宋体"/>
                <w:b/>
                <w:color w:val="000000" w:themeColor="text1"/>
                <w:highlight w:val="none"/>
                <w:lang w:bidi="ar"/>
                <w14:textFill>
                  <w14:solidFill>
                    <w14:schemeClr w14:val="tx1"/>
                  </w14:solidFill>
                </w14:textFill>
              </w:rPr>
              <w:t>运营期固体废物</w:t>
            </w:r>
          </w:p>
          <w:p>
            <w:pPr>
              <w:pStyle w:val="5"/>
              <w:widowControl w:val="0"/>
              <w:ind w:firstLine="482"/>
              <w:rPr>
                <w:rFonts w:cs="宋体"/>
                <w:b w:val="0"/>
                <w:bCs/>
                <w:color w:val="000000" w:themeColor="text1"/>
                <w:highlight w:val="none"/>
                <w:lang w:bidi="ar"/>
                <w14:textFill>
                  <w14:solidFill>
                    <w14:schemeClr w14:val="tx1"/>
                  </w14:solidFill>
                </w14:textFill>
              </w:rPr>
            </w:pPr>
            <w:r>
              <w:rPr>
                <w:rFonts w:hint="eastAsia" w:cs="宋体"/>
                <w:b w:val="0"/>
                <w:bCs/>
                <w:color w:val="000000" w:themeColor="text1"/>
                <w:highlight w:val="none"/>
                <w:lang w:eastAsia="zh-CN" w:bidi="ar"/>
                <w14:textFill>
                  <w14:solidFill>
                    <w14:schemeClr w14:val="tx1"/>
                  </w14:solidFill>
                </w14:textFill>
              </w:rPr>
              <w:t>（</w:t>
            </w:r>
            <w:r>
              <w:rPr>
                <w:rFonts w:hint="eastAsia" w:cs="宋体"/>
                <w:b w:val="0"/>
                <w:bCs/>
                <w:color w:val="000000" w:themeColor="text1"/>
                <w:highlight w:val="none"/>
                <w:lang w:val="en-US" w:eastAsia="zh-CN" w:bidi="ar"/>
                <w14:textFill>
                  <w14:solidFill>
                    <w14:schemeClr w14:val="tx1"/>
                  </w14:solidFill>
                </w14:textFill>
              </w:rPr>
              <w:t>1</w:t>
            </w:r>
            <w:r>
              <w:rPr>
                <w:rFonts w:hint="eastAsia" w:cs="宋体"/>
                <w:b w:val="0"/>
                <w:bCs/>
                <w:color w:val="000000" w:themeColor="text1"/>
                <w:highlight w:val="none"/>
                <w:lang w:eastAsia="zh-CN" w:bidi="ar"/>
                <w14:textFill>
                  <w14:solidFill>
                    <w14:schemeClr w14:val="tx1"/>
                  </w14:solidFill>
                </w14:textFill>
              </w:rPr>
              <w:t>）</w:t>
            </w:r>
            <w:r>
              <w:rPr>
                <w:rFonts w:hint="eastAsia" w:cs="宋体"/>
                <w:b w:val="0"/>
                <w:bCs/>
                <w:color w:val="000000" w:themeColor="text1"/>
                <w:highlight w:val="none"/>
                <w:lang w:bidi="ar"/>
                <w14:textFill>
                  <w14:solidFill>
                    <w14:schemeClr w14:val="tx1"/>
                  </w14:solidFill>
                </w14:textFill>
              </w:rPr>
              <w:t>固体废物源强分析</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本项目固体废物主要为</w:t>
            </w:r>
            <w:r>
              <w:rPr>
                <w:rFonts w:hint="eastAsia"/>
                <w:color w:val="000000" w:themeColor="text1"/>
                <w:highlight w:val="none"/>
                <w:lang w:val="en-US" w:eastAsia="zh-CN"/>
                <w14:textFill>
                  <w14:solidFill>
                    <w14:schemeClr w14:val="tx1"/>
                  </w14:solidFill>
                </w14:textFill>
              </w:rPr>
              <w:t>水处理产生的污泥、药剂包装袋、废机油、废机油桶以及员工生活垃圾</w:t>
            </w:r>
            <w:r>
              <w:rPr>
                <w:rFonts w:hint="eastAsia"/>
                <w:color w:val="000000" w:themeColor="text1"/>
                <w:highlight w:val="none"/>
                <w14:textFill>
                  <w14:solidFill>
                    <w14:schemeClr w14:val="tx1"/>
                  </w14:solidFill>
                </w14:textFill>
              </w:rPr>
              <w:t>。</w:t>
            </w:r>
          </w:p>
          <w:p>
            <w:pPr>
              <w:pStyle w:val="5"/>
              <w:widowControl w:val="0"/>
              <w:ind w:firstLine="480"/>
              <w:rPr>
                <w:rFonts w:hint="default" w:ascii="Times New Roman" w:hAnsi="Times New Roman" w:cs="Times New Roman"/>
                <w:color w:val="000000" w:themeColor="text1"/>
                <w:highlight w:val="none"/>
                <w:lang w:bidi="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①</w:t>
            </w:r>
            <w:r>
              <w:rPr>
                <w:rFonts w:hint="default" w:ascii="Times New Roman" w:hAnsi="Times New Roman" w:cs="Times New Roman"/>
                <w:color w:val="000000" w:themeColor="text1"/>
                <w:highlight w:val="none"/>
                <w:lang w:val="en-US" w:eastAsia="zh-CN"/>
                <w14:textFill>
                  <w14:solidFill>
                    <w14:schemeClr w14:val="tx1"/>
                  </w14:solidFill>
                </w14:textFill>
              </w:rPr>
              <w:t>污泥</w:t>
            </w:r>
            <w:r>
              <w:rPr>
                <w:rFonts w:hint="default" w:ascii="Times New Roman" w:hAnsi="Times New Roman" w:cs="Times New Roman"/>
                <w:color w:val="000000" w:themeColor="text1"/>
                <w:highlight w:val="none"/>
                <w14:textFill>
                  <w14:solidFill>
                    <w14:schemeClr w14:val="tx1"/>
                  </w14:solidFill>
                </w14:textFill>
              </w:rPr>
              <w:t>：本</w:t>
            </w:r>
            <w:r>
              <w:rPr>
                <w:rFonts w:hint="default" w:ascii="Times New Roman" w:hAnsi="Times New Roman" w:cs="Times New Roman"/>
                <w:color w:val="000000" w:themeColor="text1"/>
                <w:highlight w:val="none"/>
                <w:lang w:val="en-US" w:eastAsia="zh-CN"/>
                <w14:textFill>
                  <w14:solidFill>
                    <w14:schemeClr w14:val="tx1"/>
                  </w14:solidFill>
                </w14:textFill>
              </w:rPr>
              <w:t>项目排泥水压滤脱水后会产生一定量的污泥</w:t>
            </w:r>
            <w:r>
              <w:rPr>
                <w:rFonts w:hint="eastAsia" w:cs="Times New Roman"/>
                <w:color w:val="000000" w:themeColor="text1"/>
                <w:highlight w:val="none"/>
                <w:lang w:val="en-US" w:eastAsia="zh-CN"/>
                <w14:textFill>
                  <w14:solidFill>
                    <w14:schemeClr w14:val="tx1"/>
                  </w14:solidFill>
                </w14:textFill>
              </w:rPr>
              <w:t>（含水率为40%）</w:t>
            </w:r>
            <w:r>
              <w:rPr>
                <w:rFonts w:hint="default" w:ascii="Times New Roman" w:hAnsi="Times New Roman" w:cs="Times New Roman"/>
                <w:color w:val="000000" w:themeColor="text1"/>
                <w:highlight w:val="none"/>
                <w:lang w:val="en-US" w:eastAsia="zh-CN"/>
                <w14:textFill>
                  <w14:solidFill>
                    <w14:schemeClr w14:val="tx1"/>
                  </w14:solidFill>
                </w14:textFill>
              </w:rPr>
              <w:t>，主要成分是悬浮物和药剂混合物，无毒无害，属于一般固废，根据上文计算，污泥产生量为</w:t>
            </w:r>
            <w:r>
              <w:rPr>
                <w:rFonts w:hint="eastAsia" w:cs="Times New Roman"/>
                <w:color w:val="000000" w:themeColor="text1"/>
                <w:highlight w:val="none"/>
                <w:lang w:val="en-US" w:eastAsia="zh-CN"/>
                <w14:textFill>
                  <w14:solidFill>
                    <w14:schemeClr w14:val="tx1"/>
                  </w14:solidFill>
                </w14:textFill>
              </w:rPr>
              <w:t>107.9</w:t>
            </w:r>
            <w:r>
              <w:rPr>
                <w:rFonts w:hint="default" w:ascii="Times New Roman" w:hAnsi="Times New Roman" w:cs="Times New Roman"/>
                <w:color w:val="000000" w:themeColor="text1"/>
                <w:highlight w:val="none"/>
                <w:lang w:val="en-US" w:eastAsia="zh-CN"/>
                <w14:textFill>
                  <w14:solidFill>
                    <w14:schemeClr w14:val="tx1"/>
                  </w14:solidFill>
                </w14:textFill>
              </w:rPr>
              <w:t>t/a</w:t>
            </w:r>
            <w:r>
              <w:rPr>
                <w:rFonts w:hint="default" w:ascii="Times New Roman" w:hAnsi="Times New Roman" w:cs="Times New Roman"/>
                <w:color w:val="000000" w:themeColor="text1"/>
                <w:highlight w:val="none"/>
                <w:lang w:val="en-US" w:eastAsia="zh-CN"/>
                <w14:textFill>
                  <w14:solidFill>
                    <w14:schemeClr w14:val="tx1"/>
                  </w14:solidFill>
                </w14:textFill>
              </w:rPr>
              <w:t>，收集后暂存于一般固废暂存间，</w:t>
            </w:r>
            <w:r>
              <w:rPr>
                <w:rFonts w:hint="eastAsia" w:cs="Times New Roman"/>
                <w:color w:val="000000" w:themeColor="text1"/>
                <w:highlight w:val="none"/>
                <w:lang w:val="en-US" w:eastAsia="zh-CN"/>
                <w14:textFill>
                  <w14:solidFill>
                    <w14:schemeClr w14:val="tx1"/>
                  </w14:solidFill>
                </w14:textFill>
              </w:rPr>
              <w:t>送与周边居民用于菜地作农肥</w:t>
            </w:r>
            <w:r>
              <w:rPr>
                <w:rFonts w:hint="default" w:ascii="Times New Roman" w:hAnsi="Times New Roman" w:cs="Times New Roman"/>
                <w:color w:val="000000" w:themeColor="text1"/>
                <w:highlight w:val="none"/>
                <w:lang w:bidi="zh-CN"/>
                <w14:textFill>
                  <w14:solidFill>
                    <w14:schemeClr w14:val="tx1"/>
                  </w14:solidFill>
                </w14:textFill>
              </w:rPr>
              <w:t>。</w:t>
            </w:r>
          </w:p>
          <w:p>
            <w:pPr>
              <w:pStyle w:val="5"/>
              <w:widowControl w:val="0"/>
              <w:ind w:firstLine="480"/>
              <w:rPr>
                <w:rFonts w:hint="default" w:ascii="Times New Roman" w:hAnsi="Times New Roman" w:cs="Times New Roman"/>
                <w:color w:val="000000" w:themeColor="text1"/>
                <w:highlight w:val="none"/>
                <w:lang w:val="en-US" w:bidi="zh-CN"/>
                <w14:textFill>
                  <w14:solidFill>
                    <w14:schemeClr w14:val="tx1"/>
                  </w14:solidFill>
                </w14:textFill>
              </w:rPr>
            </w:pPr>
            <w:r>
              <w:rPr>
                <w:rFonts w:hint="default" w:ascii="Times New Roman" w:hAnsi="Times New Roman" w:eastAsia="宋体" w:cs="Times New Roman"/>
                <w:color w:val="000000" w:themeColor="text1"/>
                <w:highlight w:val="none"/>
                <w:lang w:bidi="zh-CN"/>
                <w14:textFill>
                  <w14:solidFill>
                    <w14:schemeClr w14:val="tx1"/>
                  </w14:solidFill>
                </w14:textFill>
              </w:rPr>
              <w:t>②</w:t>
            </w:r>
            <w:r>
              <w:rPr>
                <w:rFonts w:hint="default" w:ascii="Times New Roman" w:hAnsi="Times New Roman" w:cs="Times New Roman"/>
                <w:color w:val="000000" w:themeColor="text1"/>
                <w:highlight w:val="none"/>
                <w:lang w:val="en-US" w:bidi="zh-CN"/>
                <w14:textFill>
                  <w14:solidFill>
                    <w14:schemeClr w14:val="tx1"/>
                  </w14:solidFill>
                </w14:textFill>
              </w:rPr>
              <w:t>废包装袋</w:t>
            </w:r>
            <w:r>
              <w:rPr>
                <w:rFonts w:hint="default" w:ascii="Times New Roman" w:hAnsi="Times New Roman" w:cs="Times New Roman"/>
                <w:color w:val="000000" w:themeColor="text1"/>
                <w:highlight w:val="none"/>
                <w:lang w:bidi="zh-CN"/>
                <w14:textFill>
                  <w14:solidFill>
                    <w14:schemeClr w14:val="tx1"/>
                  </w14:solidFill>
                </w14:textFill>
              </w:rPr>
              <w:t>：本项目</w:t>
            </w:r>
            <w:r>
              <w:rPr>
                <w:rFonts w:hint="default" w:ascii="Times New Roman" w:hAnsi="Times New Roman" w:cs="Times New Roman"/>
                <w:color w:val="000000" w:themeColor="text1"/>
                <w:highlight w:val="none"/>
                <w:lang w:val="en-US" w:bidi="zh-CN"/>
                <w14:textFill>
                  <w14:solidFill>
                    <w14:schemeClr w14:val="tx1"/>
                  </w14:solidFill>
                </w14:textFill>
              </w:rPr>
              <w:t>聚合氯化铝和食盐的年用量分别为10.5t/a、1t/a，包装规格为5kg/袋，废包装材料约为2300个/a，单个废包装材料重量约为0.05kg/个，计算得本项目废包装材料产生量约为0.115t/a，厂内收集后暂存于一般固废暂存间，定期交由环卫部门统一处理。</w:t>
            </w:r>
          </w:p>
          <w:p>
            <w:pPr>
              <w:numPr>
                <w:ilvl w:val="0"/>
                <w:numId w:val="0"/>
              </w:numPr>
              <w:snapToGrid w:val="0"/>
              <w:spacing w:line="360" w:lineRule="auto"/>
              <w:ind w:right="0" w:rightChars="0" w:firstLine="480" w:firstLineChars="200"/>
              <w:jc w:val="both"/>
              <w:rPr>
                <w:rFonts w:hint="default" w:ascii="Times New Roman" w:hAnsi="Times New Roman" w:eastAsia="宋体" w:cs="Times New Roman"/>
                <w:color w:val="000000" w:themeColor="text1"/>
                <w:highlight w:val="none"/>
                <w:lang w:bidi="zh-CN"/>
                <w14:textFill>
                  <w14:solidFill>
                    <w14:schemeClr w14:val="tx1"/>
                  </w14:solidFill>
                </w14:textFill>
              </w:rPr>
            </w:pPr>
            <w:r>
              <w:rPr>
                <w:rFonts w:hint="default" w:ascii="Times New Roman" w:hAnsi="Times New Roman" w:eastAsia="宋体" w:cs="Times New Roman"/>
                <w:color w:val="000000" w:themeColor="text1"/>
                <w:highlight w:val="none"/>
                <w:lang w:bidi="zh-CN"/>
                <w14:textFill>
                  <w14:solidFill>
                    <w14:schemeClr w14:val="tx1"/>
                  </w14:solidFill>
                </w14:textFill>
              </w:rPr>
              <w:t>③</w:t>
            </w:r>
            <w:r>
              <w:rPr>
                <w:rFonts w:hint="default" w:ascii="Times New Roman" w:hAnsi="Times New Roman" w:cs="Times New Roman"/>
                <w:color w:val="000000" w:themeColor="text1"/>
                <w:highlight w:val="none"/>
                <w:lang w:val="en-US" w:bidi="zh-CN"/>
                <w14:textFill>
                  <w14:solidFill>
                    <w14:schemeClr w14:val="tx1"/>
                  </w14:solidFill>
                </w14:textFill>
              </w:rPr>
              <w:t>废机油：</w:t>
            </w:r>
            <w:r>
              <w:rPr>
                <w:rFonts w:hint="default" w:ascii="Times New Roman" w:hAnsi="Times New Roman" w:eastAsia="宋体" w:cs="Times New Roman"/>
                <w:color w:val="000000" w:themeColor="text1"/>
                <w:highlight w:val="none"/>
                <w:lang w:bidi="zh-CN"/>
                <w14:textFill>
                  <w14:solidFill>
                    <w14:schemeClr w14:val="tx1"/>
                  </w14:solidFill>
                </w14:textFill>
              </w:rPr>
              <w:t>项目设备维护、检修等过程会产生少量的废机油，产生量约为 0.1t/a，废物类别为 HW08，代码 900-214-08。妥善收集后暂存在项目危废暂存间内，定期交由有资质的单位处理。</w:t>
            </w:r>
          </w:p>
          <w:p>
            <w:pPr>
              <w:numPr>
                <w:ilvl w:val="0"/>
                <w:numId w:val="0"/>
              </w:numPr>
              <w:snapToGrid w:val="0"/>
              <w:spacing w:line="360" w:lineRule="auto"/>
              <w:ind w:right="0" w:rightChars="0" w:firstLine="480" w:firstLineChars="200"/>
              <w:jc w:val="both"/>
              <w:rPr>
                <w:rFonts w:hint="default" w:ascii="Times New Roman" w:hAnsi="Times New Roman" w:eastAsia="宋体" w:cs="Times New Roman"/>
                <w:color w:val="000000" w:themeColor="text1"/>
                <w:highlight w:val="none"/>
                <w:lang w:val="en-US" w:bidi="zh-CN"/>
                <w14:textFill>
                  <w14:solidFill>
                    <w14:schemeClr w14:val="tx1"/>
                  </w14:solidFill>
                </w14:textFill>
              </w:rPr>
            </w:pPr>
            <w:r>
              <w:rPr>
                <w:rFonts w:hint="default" w:ascii="Times New Roman" w:hAnsi="Times New Roman" w:eastAsia="宋体" w:cs="Times New Roman"/>
                <w:color w:val="000000" w:themeColor="text1"/>
                <w:highlight w:val="none"/>
                <w:lang w:val="en-US" w:bidi="zh-CN"/>
                <w14:textFill>
                  <w14:solidFill>
                    <w14:schemeClr w14:val="tx1"/>
                  </w14:solidFill>
                </w14:textFill>
              </w:rPr>
              <w:t>④废机油桶：项目设备维护产生的废油桶量约为 0.01t/a（1 个）。根据《国家危险废物名录》（2021 年版），废油桶属于危险废物，废物类别 HW08，废物代码为 900-249-08，集中收集暂存至危废暂存间，定期交由有资质的单位处理。</w:t>
            </w:r>
          </w:p>
          <w:p>
            <w:pPr>
              <w:numPr>
                <w:ilvl w:val="0"/>
                <w:numId w:val="0"/>
              </w:numPr>
              <w:snapToGrid w:val="0"/>
              <w:spacing w:line="360" w:lineRule="auto"/>
              <w:ind w:right="0" w:rightChars="0" w:firstLine="480" w:firstLineChars="200"/>
              <w:jc w:val="both"/>
              <w:rPr>
                <w:rFonts w:hint="default" w:ascii="Times New Roman" w:hAnsi="Times New Roman" w:cs="Times New Roman"/>
                <w:color w:val="000000" w:themeColor="text1"/>
                <w:highlight w:val="none"/>
                <w14:textFill>
                  <w14:solidFill>
                    <w14:schemeClr w14:val="tx1"/>
                  </w14:solidFill>
                </w14:textFill>
              </w:rPr>
            </w:pPr>
            <w:r>
              <w:rPr>
                <w:rFonts w:hint="eastAsia" w:ascii="宋体" w:hAnsi="宋体" w:eastAsia="宋体" w:cs="宋体"/>
                <w:color w:val="000000" w:themeColor="text1"/>
                <w:highlight w:val="none"/>
                <w:lang w:val="en-US" w:bidi="zh-CN"/>
                <w14:textFill>
                  <w14:solidFill>
                    <w14:schemeClr w14:val="tx1"/>
                  </w14:solidFill>
                </w14:textFill>
              </w:rPr>
              <w:t>⑤</w:t>
            </w:r>
            <w:r>
              <w:rPr>
                <w:rFonts w:hint="default" w:ascii="Times New Roman" w:hAnsi="Times New Roman" w:cs="Times New Roman"/>
                <w:color w:val="000000" w:themeColor="text1"/>
                <w:highlight w:val="none"/>
                <w:lang w:val="en-US" w:bidi="zh-CN"/>
                <w14:textFill>
                  <w14:solidFill>
                    <w14:schemeClr w14:val="tx1"/>
                  </w14:solidFill>
                </w14:textFill>
              </w:rPr>
              <w:t>生活垃圾</w:t>
            </w:r>
            <w:r>
              <w:rPr>
                <w:rFonts w:hint="default" w:ascii="Times New Roman" w:hAnsi="Times New Roman" w:cs="Times New Roman"/>
                <w:color w:val="000000" w:themeColor="text1"/>
                <w:highlight w:val="none"/>
                <w:lang w:bidi="zh-CN"/>
                <w14:textFill>
                  <w14:solidFill>
                    <w14:schemeClr w14:val="tx1"/>
                  </w14:solidFill>
                </w14:textFill>
              </w:rPr>
              <w:t>：</w:t>
            </w:r>
            <w:r>
              <w:rPr>
                <w:rFonts w:hint="default" w:ascii="Times New Roman" w:hAnsi="Times New Roman" w:cs="Times New Roman"/>
                <w:sz w:val="24"/>
                <w:szCs w:val="24"/>
                <w:highlight w:val="none"/>
                <w:lang w:val="en-US"/>
              </w:rPr>
              <w:t>本项目</w:t>
            </w:r>
            <w:r>
              <w:rPr>
                <w:rFonts w:hint="default" w:ascii="Times New Roman" w:hAnsi="Times New Roman" w:cs="Times New Roman"/>
                <w:sz w:val="24"/>
                <w:szCs w:val="24"/>
                <w:highlight w:val="none"/>
                <w:lang w:val="en-US" w:eastAsia="zh-CN"/>
              </w:rPr>
              <w:t>劳动定员6</w:t>
            </w:r>
            <w:r>
              <w:rPr>
                <w:rFonts w:hint="default" w:ascii="Times New Roman" w:hAnsi="Times New Roman" w:cs="Times New Roman"/>
                <w:sz w:val="24"/>
                <w:szCs w:val="24"/>
                <w:highlight w:val="none"/>
                <w:lang w:val="en-US"/>
              </w:rPr>
              <w:t>人，年工作时间为</w:t>
            </w:r>
            <w:r>
              <w:rPr>
                <w:rFonts w:hint="default" w:ascii="Times New Roman" w:hAnsi="Times New Roman" w:cs="Times New Roman"/>
                <w:sz w:val="24"/>
                <w:szCs w:val="24"/>
                <w:highlight w:val="none"/>
                <w:lang w:val="en-US" w:eastAsia="zh-CN"/>
              </w:rPr>
              <w:t>365</w:t>
            </w:r>
            <w:r>
              <w:rPr>
                <w:rFonts w:hint="default" w:ascii="Times New Roman" w:hAnsi="Times New Roman" w:cs="Times New Roman"/>
                <w:sz w:val="24"/>
                <w:szCs w:val="24"/>
                <w:highlight w:val="none"/>
                <w:lang w:val="en-US"/>
              </w:rPr>
              <w:t>d，生活垃圾的产生量为</w:t>
            </w:r>
            <w:r>
              <w:rPr>
                <w:rFonts w:hint="default" w:ascii="Times New Roman" w:hAnsi="Times New Roman" w:cs="Times New Roman"/>
                <w:sz w:val="24"/>
                <w:szCs w:val="24"/>
                <w:highlight w:val="none"/>
                <w:lang w:val="en-US" w:eastAsia="zh-CN"/>
              </w:rPr>
              <w:t>1.095</w:t>
            </w:r>
            <w:r>
              <w:rPr>
                <w:rFonts w:hint="default" w:ascii="Times New Roman" w:hAnsi="Times New Roman" w:cs="Times New Roman"/>
                <w:sz w:val="24"/>
                <w:szCs w:val="24"/>
                <w:highlight w:val="none"/>
                <w:lang w:val="en-US"/>
              </w:rPr>
              <w:t>t/a。生活垃圾由厂内垃圾桶收集，再由环卫部门统一清运处置</w:t>
            </w:r>
            <w:r>
              <w:rPr>
                <w:rFonts w:hint="default" w:ascii="Times New Roman" w:hAnsi="Times New Roman" w:cs="Times New Roman"/>
                <w:color w:val="000000" w:themeColor="text1"/>
                <w:highlight w:val="none"/>
                <w:lang w:bidi="zh-CN"/>
                <w14:textFill>
                  <w14:solidFill>
                    <w14:schemeClr w14:val="tx1"/>
                  </w14:solidFill>
                </w14:textFill>
              </w:rPr>
              <w:t>。</w:t>
            </w:r>
          </w:p>
          <w:p>
            <w:pPr>
              <w:pStyle w:val="5"/>
              <w:widowControl w:val="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根据《固体废物鉴别标准通则》（GB34330-2017）、《一般固体废物分类与代码》（GB/T39198-2020）</w:t>
            </w:r>
            <w:r>
              <w:rPr>
                <w:rFonts w:hint="eastAsia"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bidi="zh-CN"/>
                <w14:textFill>
                  <w14:solidFill>
                    <w14:schemeClr w14:val="tx1"/>
                  </w14:solidFill>
                </w14:textFill>
              </w:rPr>
              <w:t>《国家危险废物名录》（2021 年版）</w:t>
            </w:r>
            <w:r>
              <w:rPr>
                <w:rFonts w:hint="default" w:ascii="Times New Roman" w:hAnsi="Times New Roman" w:cs="Times New Roman"/>
                <w:color w:val="000000" w:themeColor="text1"/>
                <w:highlight w:val="none"/>
                <w14:textFill>
                  <w14:solidFill>
                    <w14:schemeClr w14:val="tx1"/>
                  </w14:solidFill>
                </w14:textFill>
              </w:rPr>
              <w:t>等相关文件判定，本项目固体废物鉴别分析汇总见下表：</w:t>
            </w:r>
          </w:p>
          <w:p>
            <w:pPr>
              <w:pStyle w:val="5"/>
              <w:widowControl w:val="0"/>
              <w:ind w:firstLine="0" w:firstLineChars="0"/>
              <w:jc w:val="center"/>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表</w:t>
            </w:r>
            <w:r>
              <w:rPr>
                <w:b/>
                <w:bCs/>
                <w:color w:val="000000" w:themeColor="text1"/>
                <w:highlight w:val="none"/>
                <w14:textFill>
                  <w14:solidFill>
                    <w14:schemeClr w14:val="tx1"/>
                  </w14:solidFill>
                </w14:textFill>
              </w:rPr>
              <w:t>4-</w:t>
            </w:r>
            <w:r>
              <w:rPr>
                <w:rFonts w:hint="eastAsia"/>
                <w:b/>
                <w:bCs/>
                <w:color w:val="000000" w:themeColor="text1"/>
                <w:highlight w:val="none"/>
                <w:lang w:val="en-US" w:eastAsia="zh-CN"/>
                <w14:textFill>
                  <w14:solidFill>
                    <w14:schemeClr w14:val="tx1"/>
                  </w14:solidFill>
                </w14:textFill>
              </w:rPr>
              <w:t>11</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本项目固体废物产生情况一览表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282"/>
              <w:gridCol w:w="713"/>
              <w:gridCol w:w="1146"/>
              <w:gridCol w:w="717"/>
              <w:gridCol w:w="1146"/>
              <w:gridCol w:w="1288"/>
              <w:gridCol w:w="883"/>
              <w:gridCol w:w="1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序号</w:t>
                  </w:r>
                </w:p>
              </w:tc>
              <w:tc>
                <w:tcPr>
                  <w:tcW w:w="692"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固废名称</w:t>
                  </w:r>
                </w:p>
              </w:tc>
              <w:tc>
                <w:tcPr>
                  <w:tcW w:w="385"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属性</w:t>
                  </w:r>
                </w:p>
              </w:tc>
              <w:tc>
                <w:tcPr>
                  <w:tcW w:w="618"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产生工序</w:t>
                  </w:r>
                </w:p>
              </w:tc>
              <w:tc>
                <w:tcPr>
                  <w:tcW w:w="387"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形态</w:t>
                  </w:r>
                </w:p>
              </w:tc>
              <w:tc>
                <w:tcPr>
                  <w:tcW w:w="618"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主要成分</w:t>
                  </w:r>
                </w:p>
              </w:tc>
              <w:tc>
                <w:tcPr>
                  <w:tcW w:w="695"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类别</w:t>
                  </w:r>
                  <w:r>
                    <w:rPr>
                      <w:rFonts w:hint="eastAsia"/>
                      <w:b w:val="0"/>
                      <w:bCs w:val="0"/>
                      <w:color w:val="000000" w:themeColor="text1"/>
                      <w:highlight w:val="none"/>
                      <w14:textFill>
                        <w14:solidFill>
                          <w14:schemeClr w14:val="tx1"/>
                        </w14:solidFill>
                      </w14:textFill>
                    </w:rPr>
                    <w:t>代码</w:t>
                  </w:r>
                </w:p>
              </w:tc>
              <w:tc>
                <w:tcPr>
                  <w:tcW w:w="476"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产生量（</w:t>
                  </w:r>
                  <w:r>
                    <w:rPr>
                      <w:b w:val="0"/>
                      <w:bCs w:val="0"/>
                      <w:color w:val="000000" w:themeColor="text1"/>
                      <w:highlight w:val="none"/>
                      <w14:textFill>
                        <w14:solidFill>
                          <w14:schemeClr w14:val="tx1"/>
                        </w14:solidFill>
                      </w14:textFill>
                    </w:rPr>
                    <w:t>t/a</w:t>
                  </w:r>
                  <w:r>
                    <w:rPr>
                      <w:rFonts w:hint="eastAsia"/>
                      <w:b w:val="0"/>
                      <w:bCs w:val="0"/>
                      <w:color w:val="000000" w:themeColor="text1"/>
                      <w:highlight w:val="none"/>
                      <w14:textFill>
                        <w14:solidFill>
                          <w14:schemeClr w14:val="tx1"/>
                        </w14:solidFill>
                      </w14:textFill>
                    </w:rPr>
                    <w:t>）</w:t>
                  </w:r>
                </w:p>
              </w:tc>
              <w:tc>
                <w:tcPr>
                  <w:tcW w:w="894"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230" w:type="pct"/>
                  <w:shd w:val="clear" w:color="auto" w:fill="auto"/>
                  <w:vAlign w:val="center"/>
                </w:tcPr>
                <w:p>
                  <w:pPr>
                    <w:pStyle w:val="38"/>
                    <w:rPr>
                      <w:b w:val="0"/>
                      <w:bCs w:val="0"/>
                      <w:color w:val="000000" w:themeColor="text1"/>
                      <w:highlight w:val="none"/>
                      <w14:textFill>
                        <w14:solidFill>
                          <w14:schemeClr w14:val="tx1"/>
                        </w14:solidFill>
                      </w14:textFill>
                    </w:rPr>
                  </w:pPr>
                  <w:r>
                    <w:rPr>
                      <w:b w:val="0"/>
                      <w:bCs w:val="0"/>
                      <w:color w:val="000000" w:themeColor="text1"/>
                      <w:highlight w:val="none"/>
                      <w14:textFill>
                        <w14:solidFill>
                          <w14:schemeClr w14:val="tx1"/>
                        </w14:solidFill>
                      </w14:textFill>
                    </w:rPr>
                    <w:t>1</w:t>
                  </w:r>
                </w:p>
              </w:tc>
              <w:tc>
                <w:tcPr>
                  <w:tcW w:w="692"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cs="宋体"/>
                      <w:b w:val="0"/>
                      <w:bCs w:val="0"/>
                      <w:color w:val="000000" w:themeColor="text1"/>
                      <w:highlight w:val="none"/>
                      <w:lang w:val="en-US" w:bidi="zh-CN"/>
                      <w14:textFill>
                        <w14:solidFill>
                          <w14:schemeClr w14:val="tx1"/>
                        </w14:solidFill>
                      </w14:textFill>
                    </w:rPr>
                    <w:t>污泥</w:t>
                  </w:r>
                </w:p>
              </w:tc>
              <w:tc>
                <w:tcPr>
                  <w:tcW w:w="385" w:type="pct"/>
                  <w:vMerge w:val="restar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一般固废</w:t>
                  </w:r>
                </w:p>
              </w:tc>
              <w:tc>
                <w:tcPr>
                  <w:tcW w:w="618" w:type="pct"/>
                  <w:shd w:val="clear" w:color="auto" w:fill="auto"/>
                  <w:vAlign w:val="center"/>
                </w:tcPr>
                <w:p>
                  <w:pPr>
                    <w:pStyle w:val="38"/>
                    <w:rPr>
                      <w:rFonts w:hint="eastAsia"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水处理</w:t>
                  </w:r>
                </w:p>
              </w:tc>
              <w:tc>
                <w:tcPr>
                  <w:tcW w:w="387"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固态</w:t>
                  </w:r>
                </w:p>
              </w:tc>
              <w:tc>
                <w:tcPr>
                  <w:tcW w:w="618" w:type="pct"/>
                  <w:shd w:val="clear" w:color="auto" w:fill="auto"/>
                  <w:vAlign w:val="center"/>
                </w:tcPr>
                <w:p>
                  <w:pPr>
                    <w:pStyle w:val="38"/>
                    <w:rPr>
                      <w:rFonts w:hint="default"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SS</w:t>
                  </w:r>
                </w:p>
              </w:tc>
              <w:tc>
                <w:tcPr>
                  <w:tcW w:w="695" w:type="pct"/>
                  <w:shd w:val="clear" w:color="auto" w:fill="auto"/>
                  <w:vAlign w:val="center"/>
                </w:tcPr>
                <w:p>
                  <w:pPr>
                    <w:pStyle w:val="38"/>
                    <w:rPr>
                      <w:rFonts w:hint="default" w:eastAsia="宋体"/>
                      <w:b w:val="0"/>
                      <w:bCs w:val="0"/>
                      <w:color w:val="FF0000"/>
                      <w:highlight w:val="none"/>
                      <w:lang w:val="en-US" w:eastAsia="zh-CN"/>
                    </w:rPr>
                  </w:pPr>
                  <w:r>
                    <w:rPr>
                      <w:rFonts w:hint="eastAsia"/>
                      <w:b w:val="0"/>
                      <w:bCs w:val="0"/>
                      <w:color w:val="auto"/>
                      <w:highlight w:val="none"/>
                      <w:lang w:val="en-US" w:eastAsia="zh-CN"/>
                    </w:rPr>
                    <w:t>462-001-62</w:t>
                  </w:r>
                </w:p>
              </w:tc>
              <w:tc>
                <w:tcPr>
                  <w:tcW w:w="476" w:type="pct"/>
                  <w:shd w:val="clear" w:color="auto" w:fill="auto"/>
                  <w:vAlign w:val="center"/>
                </w:tcPr>
                <w:p>
                  <w:pPr>
                    <w:pStyle w:val="38"/>
                    <w:rPr>
                      <w:rFonts w:hint="default"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107.9</w:t>
                  </w:r>
                </w:p>
              </w:tc>
              <w:tc>
                <w:tcPr>
                  <w:tcW w:w="894" w:type="pct"/>
                  <w:shd w:val="clear" w:color="auto" w:fill="auto"/>
                  <w:vAlign w:val="center"/>
                </w:tcPr>
                <w:p>
                  <w:pPr>
                    <w:pStyle w:val="38"/>
                    <w:rPr>
                      <w:rFonts w:hint="default"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送与周边居民用于菜地农肥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230" w:type="pct"/>
                  <w:shd w:val="clear" w:color="auto" w:fill="auto"/>
                  <w:vAlign w:val="center"/>
                </w:tcPr>
                <w:p>
                  <w:pPr>
                    <w:pStyle w:val="38"/>
                    <w:rPr>
                      <w:rFonts w:hint="eastAsia" w:eastAsia="宋体"/>
                      <w:b w:val="0"/>
                      <w:bCs w:val="0"/>
                      <w:color w:val="000000" w:themeColor="text1"/>
                      <w:highlight w:val="none"/>
                      <w:lang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2</w:t>
                  </w:r>
                </w:p>
              </w:tc>
              <w:tc>
                <w:tcPr>
                  <w:tcW w:w="692"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废包装材料</w:t>
                  </w:r>
                </w:p>
              </w:tc>
              <w:tc>
                <w:tcPr>
                  <w:tcW w:w="385" w:type="pct"/>
                  <w:vMerge w:val="continue"/>
                  <w:shd w:val="clear" w:color="auto" w:fill="auto"/>
                  <w:vAlign w:val="center"/>
                </w:tcPr>
                <w:p>
                  <w:pPr>
                    <w:pStyle w:val="38"/>
                    <w:rPr>
                      <w:b w:val="0"/>
                      <w:bCs w:val="0"/>
                      <w:color w:val="000000" w:themeColor="text1"/>
                      <w:highlight w:val="none"/>
                      <w14:textFill>
                        <w14:solidFill>
                          <w14:schemeClr w14:val="tx1"/>
                        </w14:solidFill>
                      </w14:textFill>
                    </w:rPr>
                  </w:pPr>
                </w:p>
              </w:tc>
              <w:tc>
                <w:tcPr>
                  <w:tcW w:w="618" w:type="pct"/>
                  <w:shd w:val="clear" w:color="auto" w:fill="auto"/>
                  <w:vAlign w:val="center"/>
                </w:tcPr>
                <w:p>
                  <w:pPr>
                    <w:pStyle w:val="38"/>
                    <w:rPr>
                      <w:rFonts w:hint="default"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药剂包装</w:t>
                  </w:r>
                </w:p>
              </w:tc>
              <w:tc>
                <w:tcPr>
                  <w:tcW w:w="387"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固态</w:t>
                  </w:r>
                </w:p>
              </w:tc>
              <w:tc>
                <w:tcPr>
                  <w:tcW w:w="618"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废塑料</w:t>
                  </w:r>
                </w:p>
              </w:tc>
              <w:tc>
                <w:tcPr>
                  <w:tcW w:w="695" w:type="pct"/>
                  <w:shd w:val="clear" w:color="auto" w:fill="auto"/>
                  <w:vAlign w:val="center"/>
                </w:tcPr>
                <w:p>
                  <w:pPr>
                    <w:pStyle w:val="38"/>
                    <w:rPr>
                      <w:rFonts w:hint="default" w:eastAsia="宋体"/>
                      <w:b w:val="0"/>
                      <w:bCs w:val="0"/>
                      <w:color w:val="auto"/>
                      <w:highlight w:val="none"/>
                      <w:lang w:val="en-US" w:eastAsia="zh-CN"/>
                    </w:rPr>
                  </w:pPr>
                  <w:r>
                    <w:rPr>
                      <w:rFonts w:hint="eastAsia"/>
                      <w:b w:val="0"/>
                      <w:bCs w:val="0"/>
                      <w:color w:val="auto"/>
                      <w:highlight w:val="none"/>
                      <w:lang w:val="en-US" w:eastAsia="zh-CN"/>
                    </w:rPr>
                    <w:t>223-001-07</w:t>
                  </w:r>
                </w:p>
              </w:tc>
              <w:tc>
                <w:tcPr>
                  <w:tcW w:w="476" w:type="pct"/>
                  <w:shd w:val="clear" w:color="auto" w:fill="auto"/>
                  <w:vAlign w:val="center"/>
                </w:tcPr>
                <w:p>
                  <w:pPr>
                    <w:pStyle w:val="38"/>
                    <w:rPr>
                      <w:rFonts w:hint="default" w:eastAsia="宋体"/>
                      <w:b w:val="0"/>
                      <w:bCs w:val="0"/>
                      <w:color w:val="auto"/>
                      <w:highlight w:val="none"/>
                      <w:lang w:val="en-US" w:eastAsia="zh-CN"/>
                    </w:rPr>
                  </w:pPr>
                  <w:r>
                    <w:rPr>
                      <w:rFonts w:hint="eastAsia"/>
                      <w:b w:val="0"/>
                      <w:bCs w:val="0"/>
                      <w:color w:val="auto"/>
                      <w:highlight w:val="none"/>
                      <w:lang w:val="en-US" w:eastAsia="zh-CN"/>
                    </w:rPr>
                    <w:t>0.115</w:t>
                  </w:r>
                </w:p>
              </w:tc>
              <w:tc>
                <w:tcPr>
                  <w:tcW w:w="894" w:type="pct"/>
                  <w:vMerge w:val="restar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委托环卫部门统一处理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 w:type="pct"/>
                  <w:shd w:val="clear" w:color="auto" w:fill="auto"/>
                  <w:vAlign w:val="center"/>
                </w:tcPr>
                <w:p>
                  <w:pPr>
                    <w:pStyle w:val="38"/>
                    <w:rPr>
                      <w:rFonts w:hint="default"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3</w:t>
                  </w:r>
                </w:p>
              </w:tc>
              <w:tc>
                <w:tcPr>
                  <w:tcW w:w="692"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生活垃圾</w:t>
                  </w:r>
                </w:p>
              </w:tc>
              <w:tc>
                <w:tcPr>
                  <w:tcW w:w="385"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生活垃圾</w:t>
                  </w:r>
                </w:p>
              </w:tc>
              <w:tc>
                <w:tcPr>
                  <w:tcW w:w="618"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员工生活</w:t>
                  </w:r>
                </w:p>
              </w:tc>
              <w:tc>
                <w:tcPr>
                  <w:tcW w:w="387"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固态</w:t>
                  </w:r>
                </w:p>
              </w:tc>
              <w:tc>
                <w:tcPr>
                  <w:tcW w:w="618" w:type="pc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果皮纸屑</w:t>
                  </w:r>
                </w:p>
              </w:tc>
              <w:tc>
                <w:tcPr>
                  <w:tcW w:w="695" w:type="pct"/>
                  <w:shd w:val="clear" w:color="auto" w:fill="auto"/>
                  <w:vAlign w:val="center"/>
                </w:tcPr>
                <w:p>
                  <w:pPr>
                    <w:pStyle w:val="38"/>
                    <w:rPr>
                      <w:rFonts w:hint="default" w:eastAsia="宋体"/>
                      <w:b w:val="0"/>
                      <w:bCs w:val="0"/>
                      <w:color w:val="FF0000"/>
                      <w:highlight w:val="none"/>
                      <w:lang w:val="en-US" w:eastAsia="zh-CN"/>
                    </w:rPr>
                  </w:pPr>
                  <w:r>
                    <w:rPr>
                      <w:rFonts w:hint="eastAsia"/>
                      <w:b w:val="0"/>
                      <w:bCs w:val="0"/>
                      <w:color w:val="auto"/>
                      <w:highlight w:val="none"/>
                      <w:lang w:val="en-US" w:eastAsia="zh-CN"/>
                    </w:rPr>
                    <w:t>900-999-99</w:t>
                  </w:r>
                </w:p>
              </w:tc>
              <w:tc>
                <w:tcPr>
                  <w:tcW w:w="476" w:type="pct"/>
                  <w:shd w:val="clear" w:color="auto" w:fill="auto"/>
                  <w:vAlign w:val="center"/>
                </w:tcPr>
                <w:p>
                  <w:pPr>
                    <w:pStyle w:val="38"/>
                    <w:rPr>
                      <w:rFonts w:hint="default"/>
                      <w:b w:val="0"/>
                      <w:bCs w:val="0"/>
                      <w:color w:val="000000" w:themeColor="text1"/>
                      <w:highlight w:val="none"/>
                      <w:lang w:val="en-US"/>
                      <w14:textFill>
                        <w14:solidFill>
                          <w14:schemeClr w14:val="tx1"/>
                        </w14:solidFill>
                      </w14:textFill>
                    </w:rPr>
                  </w:pPr>
                  <w:r>
                    <w:rPr>
                      <w:rFonts w:hint="eastAsia"/>
                      <w:b w:val="0"/>
                      <w:bCs w:val="0"/>
                      <w:color w:val="000000" w:themeColor="text1"/>
                      <w:highlight w:val="none"/>
                      <w:lang w:val="en-US" w:bidi="zh-CN"/>
                      <w14:textFill>
                        <w14:solidFill>
                          <w14:schemeClr w14:val="tx1"/>
                        </w14:solidFill>
                      </w14:textFill>
                    </w:rPr>
                    <w:t>1.095</w:t>
                  </w:r>
                </w:p>
              </w:tc>
              <w:tc>
                <w:tcPr>
                  <w:tcW w:w="894" w:type="pct"/>
                  <w:vMerge w:val="continue"/>
                  <w:shd w:val="clear" w:color="auto" w:fill="auto"/>
                  <w:vAlign w:val="center"/>
                </w:tcPr>
                <w:p>
                  <w:pPr>
                    <w:pStyle w:val="38"/>
                    <w:rPr>
                      <w:b w:val="0"/>
                      <w:bCs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230" w:type="pct"/>
                  <w:shd w:val="clear" w:color="auto" w:fill="auto"/>
                  <w:vAlign w:val="center"/>
                </w:tcPr>
                <w:p>
                  <w:pPr>
                    <w:pStyle w:val="38"/>
                    <w:rPr>
                      <w:rFonts w:hint="default"/>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4</w:t>
                  </w:r>
                </w:p>
              </w:tc>
              <w:tc>
                <w:tcPr>
                  <w:tcW w:w="692" w:type="pct"/>
                  <w:shd w:val="clear" w:color="auto" w:fill="auto"/>
                  <w:vAlign w:val="center"/>
                </w:tcPr>
                <w:p>
                  <w:pPr>
                    <w:pStyle w:val="38"/>
                    <w:rPr>
                      <w:rFonts w:hint="eastAsia"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废机油</w:t>
                  </w:r>
                </w:p>
              </w:tc>
              <w:tc>
                <w:tcPr>
                  <w:tcW w:w="385" w:type="pct"/>
                  <w:vMerge w:val="restart"/>
                  <w:shd w:val="clear" w:color="auto" w:fill="auto"/>
                  <w:vAlign w:val="center"/>
                </w:tcPr>
                <w:p>
                  <w:pPr>
                    <w:pStyle w:val="38"/>
                    <w:rPr>
                      <w:rFonts w:hint="default"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危险废物</w:t>
                  </w:r>
                </w:p>
              </w:tc>
              <w:tc>
                <w:tcPr>
                  <w:tcW w:w="618" w:type="pct"/>
                  <w:shd w:val="clear" w:color="auto" w:fill="auto"/>
                  <w:vAlign w:val="center"/>
                </w:tcPr>
                <w:p>
                  <w:pPr>
                    <w:pStyle w:val="38"/>
                    <w:rPr>
                      <w:rFonts w:hint="default"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设备维护</w:t>
                  </w:r>
                </w:p>
              </w:tc>
              <w:tc>
                <w:tcPr>
                  <w:tcW w:w="387" w:type="pct"/>
                  <w:shd w:val="clear" w:color="auto" w:fill="auto"/>
                  <w:vAlign w:val="center"/>
                </w:tcPr>
                <w:p>
                  <w:pPr>
                    <w:pStyle w:val="38"/>
                    <w:rPr>
                      <w:rFonts w:hint="eastAsia"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液态</w:t>
                  </w:r>
                </w:p>
              </w:tc>
              <w:tc>
                <w:tcPr>
                  <w:tcW w:w="618" w:type="pct"/>
                  <w:shd w:val="clear" w:color="auto" w:fill="auto"/>
                  <w:vAlign w:val="center"/>
                </w:tcPr>
                <w:p>
                  <w:pPr>
                    <w:pStyle w:val="38"/>
                    <w:rPr>
                      <w:rFonts w:hint="eastAsia"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废机油</w:t>
                  </w:r>
                </w:p>
              </w:tc>
              <w:tc>
                <w:tcPr>
                  <w:tcW w:w="695" w:type="pct"/>
                  <w:shd w:val="clear" w:color="auto" w:fill="auto"/>
                  <w:vAlign w:val="center"/>
                </w:tcPr>
                <w:p>
                  <w:pPr>
                    <w:pStyle w:val="38"/>
                    <w:rPr>
                      <w:rFonts w:hint="eastAsia"/>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HW08</w:t>
                  </w:r>
                </w:p>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900-214-08</w:t>
                  </w:r>
                </w:p>
              </w:tc>
              <w:tc>
                <w:tcPr>
                  <w:tcW w:w="476" w:type="pct"/>
                  <w:shd w:val="clear" w:color="auto" w:fill="auto"/>
                  <w:vAlign w:val="center"/>
                </w:tcPr>
                <w:p>
                  <w:pPr>
                    <w:pStyle w:val="38"/>
                    <w:rPr>
                      <w:rFonts w:hint="default"/>
                      <w:b w:val="0"/>
                      <w:bCs w:val="0"/>
                      <w:color w:val="000000" w:themeColor="text1"/>
                      <w:highlight w:val="none"/>
                      <w:lang w:val="en-US" w:bidi="zh-CN"/>
                      <w14:textFill>
                        <w14:solidFill>
                          <w14:schemeClr w14:val="tx1"/>
                        </w14:solidFill>
                      </w14:textFill>
                    </w:rPr>
                  </w:pPr>
                  <w:r>
                    <w:rPr>
                      <w:rFonts w:hint="eastAsia"/>
                      <w:b w:val="0"/>
                      <w:bCs w:val="0"/>
                      <w:color w:val="000000" w:themeColor="text1"/>
                      <w:highlight w:val="none"/>
                      <w:lang w:val="en-US" w:bidi="zh-CN"/>
                      <w14:textFill>
                        <w14:solidFill>
                          <w14:schemeClr w14:val="tx1"/>
                        </w14:solidFill>
                      </w14:textFill>
                    </w:rPr>
                    <w:t>0.1</w:t>
                  </w:r>
                </w:p>
              </w:tc>
              <w:tc>
                <w:tcPr>
                  <w:tcW w:w="894" w:type="pct"/>
                  <w:vMerge w:val="restart"/>
                  <w:shd w:val="clear" w:color="auto" w:fill="auto"/>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分类暂存在项目危险废物暂存间内，定期交由有资质的单位处理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230" w:type="pct"/>
                  <w:shd w:val="clear" w:color="auto" w:fill="auto"/>
                  <w:vAlign w:val="center"/>
                </w:tcPr>
                <w:p>
                  <w:pPr>
                    <w:pStyle w:val="38"/>
                    <w:rPr>
                      <w:rFonts w:hint="default"/>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5</w:t>
                  </w:r>
                </w:p>
              </w:tc>
              <w:tc>
                <w:tcPr>
                  <w:tcW w:w="692" w:type="pct"/>
                  <w:shd w:val="clear" w:color="auto" w:fill="auto"/>
                  <w:vAlign w:val="center"/>
                </w:tcPr>
                <w:p>
                  <w:pPr>
                    <w:pStyle w:val="38"/>
                    <w:rPr>
                      <w:rFonts w:hint="eastAsia"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废机油桶</w:t>
                  </w:r>
                </w:p>
              </w:tc>
              <w:tc>
                <w:tcPr>
                  <w:tcW w:w="385" w:type="pct"/>
                  <w:vMerge w:val="continue"/>
                  <w:shd w:val="clear" w:color="auto" w:fill="auto"/>
                  <w:vAlign w:val="center"/>
                </w:tcPr>
                <w:p>
                  <w:pPr>
                    <w:pStyle w:val="38"/>
                    <w:rPr>
                      <w:rFonts w:hint="eastAsia"/>
                      <w:b w:val="0"/>
                      <w:bCs w:val="0"/>
                      <w:color w:val="000000" w:themeColor="text1"/>
                      <w:highlight w:val="none"/>
                      <w14:textFill>
                        <w14:solidFill>
                          <w14:schemeClr w14:val="tx1"/>
                        </w14:solidFill>
                      </w14:textFill>
                    </w:rPr>
                  </w:pPr>
                </w:p>
              </w:tc>
              <w:tc>
                <w:tcPr>
                  <w:tcW w:w="618" w:type="pct"/>
                  <w:shd w:val="clear" w:color="auto" w:fill="auto"/>
                  <w:vAlign w:val="center"/>
                </w:tcPr>
                <w:p>
                  <w:pPr>
                    <w:pStyle w:val="38"/>
                    <w:rPr>
                      <w:rFonts w:hint="default"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设备维护</w:t>
                  </w:r>
                </w:p>
              </w:tc>
              <w:tc>
                <w:tcPr>
                  <w:tcW w:w="387" w:type="pct"/>
                  <w:shd w:val="clear" w:color="auto" w:fill="auto"/>
                  <w:vAlign w:val="center"/>
                </w:tcPr>
                <w:p>
                  <w:pPr>
                    <w:pStyle w:val="38"/>
                    <w:rPr>
                      <w:rFonts w:hint="eastAsia"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固态</w:t>
                  </w:r>
                </w:p>
              </w:tc>
              <w:tc>
                <w:tcPr>
                  <w:tcW w:w="618" w:type="pct"/>
                  <w:shd w:val="clear" w:color="auto" w:fill="auto"/>
                  <w:vAlign w:val="center"/>
                </w:tcPr>
                <w:p>
                  <w:pPr>
                    <w:pStyle w:val="38"/>
                    <w:rPr>
                      <w:rFonts w:hint="eastAsia"/>
                      <w:b w:val="0"/>
                      <w:bCs w:val="0"/>
                      <w:color w:val="000000" w:themeColor="text1"/>
                      <w:highlight w:val="none"/>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废机油</w:t>
                  </w:r>
                </w:p>
              </w:tc>
              <w:tc>
                <w:tcPr>
                  <w:tcW w:w="695" w:type="pct"/>
                  <w:shd w:val="clear" w:color="auto" w:fill="auto"/>
                  <w:vAlign w:val="center"/>
                </w:tcPr>
                <w:p>
                  <w:pPr>
                    <w:pStyle w:val="38"/>
                    <w:rPr>
                      <w:rFonts w:hint="eastAsia"/>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HW08</w:t>
                  </w:r>
                </w:p>
                <w:p>
                  <w:pPr>
                    <w:pStyle w:val="38"/>
                    <w:rPr>
                      <w:rFonts w:hint="eastAsia"/>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900-249-08</w:t>
                  </w:r>
                </w:p>
              </w:tc>
              <w:tc>
                <w:tcPr>
                  <w:tcW w:w="476" w:type="pct"/>
                  <w:shd w:val="clear" w:color="auto" w:fill="auto"/>
                  <w:vAlign w:val="center"/>
                </w:tcPr>
                <w:p>
                  <w:pPr>
                    <w:pStyle w:val="38"/>
                    <w:rPr>
                      <w:rFonts w:hint="default"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0.01</w:t>
                  </w:r>
                </w:p>
              </w:tc>
              <w:tc>
                <w:tcPr>
                  <w:tcW w:w="894" w:type="pct"/>
                  <w:vMerge w:val="continue"/>
                  <w:shd w:val="clear" w:color="auto" w:fill="auto"/>
                  <w:vAlign w:val="center"/>
                </w:tcPr>
                <w:p>
                  <w:pPr>
                    <w:pStyle w:val="38"/>
                    <w:rPr>
                      <w:rFonts w:hint="eastAsia"/>
                      <w:b w:val="0"/>
                      <w:bCs w:val="0"/>
                      <w:color w:val="000000" w:themeColor="text1"/>
                      <w:highlight w:val="none"/>
                      <w14:textFill>
                        <w14:solidFill>
                          <w14:schemeClr w14:val="tx1"/>
                        </w14:solidFill>
                      </w14:textFill>
                    </w:rPr>
                  </w:pPr>
                </w:p>
              </w:tc>
            </w:tr>
          </w:tbl>
          <w:p>
            <w:pPr>
              <w:pStyle w:val="5"/>
              <w:widowControl w:val="0"/>
              <w:ind w:firstLine="482"/>
              <w:rPr>
                <w:rFonts w:cs="宋体"/>
                <w:b w:val="0"/>
                <w:bCs/>
                <w:color w:val="000000" w:themeColor="text1"/>
                <w:highlight w:val="none"/>
                <w:lang w:bidi="ar"/>
                <w14:textFill>
                  <w14:solidFill>
                    <w14:schemeClr w14:val="tx1"/>
                  </w14:solidFill>
                </w14:textFill>
              </w:rPr>
            </w:pPr>
            <w:r>
              <w:rPr>
                <w:rFonts w:hint="eastAsia" w:cs="宋体"/>
                <w:b w:val="0"/>
                <w:bCs/>
                <w:color w:val="000000" w:themeColor="text1"/>
                <w:highlight w:val="none"/>
                <w:lang w:eastAsia="zh-CN" w:bidi="ar"/>
                <w14:textFill>
                  <w14:solidFill>
                    <w14:schemeClr w14:val="tx1"/>
                  </w14:solidFill>
                </w14:textFill>
              </w:rPr>
              <w:t>（</w:t>
            </w:r>
            <w:r>
              <w:rPr>
                <w:rFonts w:hint="eastAsia" w:cs="宋体"/>
                <w:b w:val="0"/>
                <w:bCs/>
                <w:color w:val="000000" w:themeColor="text1"/>
                <w:highlight w:val="none"/>
                <w:lang w:val="en-US" w:eastAsia="zh-CN" w:bidi="ar"/>
                <w14:textFill>
                  <w14:solidFill>
                    <w14:schemeClr w14:val="tx1"/>
                  </w14:solidFill>
                </w14:textFill>
              </w:rPr>
              <w:t>2</w:t>
            </w:r>
            <w:r>
              <w:rPr>
                <w:rFonts w:hint="eastAsia" w:cs="宋体"/>
                <w:b w:val="0"/>
                <w:bCs/>
                <w:color w:val="000000" w:themeColor="text1"/>
                <w:highlight w:val="none"/>
                <w:lang w:eastAsia="zh-CN" w:bidi="ar"/>
                <w14:textFill>
                  <w14:solidFill>
                    <w14:schemeClr w14:val="tx1"/>
                  </w14:solidFill>
                </w14:textFill>
              </w:rPr>
              <w:t>）</w:t>
            </w:r>
            <w:r>
              <w:rPr>
                <w:rFonts w:hint="eastAsia" w:cs="宋体"/>
                <w:b w:val="0"/>
                <w:bCs/>
                <w:color w:val="000000" w:themeColor="text1"/>
                <w:highlight w:val="none"/>
                <w:lang w:bidi="ar"/>
                <w14:textFill>
                  <w14:solidFill>
                    <w14:schemeClr w14:val="tx1"/>
                  </w14:solidFill>
                </w14:textFill>
              </w:rPr>
              <w:t>固体废物防治措施</w:t>
            </w:r>
          </w:p>
          <w:p>
            <w:pPr>
              <w:pStyle w:val="5"/>
              <w:widowControl w:val="0"/>
              <w:ind w:firstLine="480"/>
              <w:rPr>
                <w:color w:val="000000" w:themeColor="text1"/>
                <w:highlight w:val="none"/>
                <w14:textFill>
                  <w14:solidFill>
                    <w14:schemeClr w14:val="tx1"/>
                  </w14:solidFill>
                </w14:textFill>
              </w:rPr>
            </w:pPr>
            <w:r>
              <w:rPr>
                <w:rFonts w:hint="eastAsia" w:cs="宋体"/>
                <w:bCs/>
                <w:color w:val="000000" w:themeColor="text1"/>
                <w:highlight w:val="none"/>
                <w:lang w:bidi="ar"/>
                <w14:textFill>
                  <w14:solidFill>
                    <w14:schemeClr w14:val="tx1"/>
                  </w14:solidFill>
                </w14:textFill>
              </w:rPr>
              <w:t>本项目产生的</w:t>
            </w:r>
            <w:r>
              <w:rPr>
                <w:rFonts w:hint="eastAsia" w:cs="宋体"/>
                <w:bCs/>
                <w:color w:val="000000" w:themeColor="text1"/>
                <w:highlight w:val="none"/>
                <w:lang w:val="en-US" w:bidi="zh-CN"/>
                <w14:textFill>
                  <w14:solidFill>
                    <w14:schemeClr w14:val="tx1"/>
                  </w14:solidFill>
                </w14:textFill>
              </w:rPr>
              <w:t>污泥、废包装材料</w:t>
            </w:r>
            <w:r>
              <w:rPr>
                <w:rFonts w:hint="eastAsia" w:cs="宋体"/>
                <w:bCs/>
                <w:color w:val="000000" w:themeColor="text1"/>
                <w:highlight w:val="none"/>
                <w:lang w:bidi="ar"/>
                <w14:textFill>
                  <w14:solidFill>
                    <w14:schemeClr w14:val="tx1"/>
                  </w14:solidFill>
                </w14:textFill>
              </w:rPr>
              <w:t>等一般固废，暂存于</w:t>
            </w:r>
            <w:r>
              <w:rPr>
                <w:rFonts w:hint="eastAsia" w:cs="宋体"/>
                <w:bCs/>
                <w:color w:val="000000" w:themeColor="text1"/>
                <w:highlight w:val="none"/>
                <w:lang w:val="en-US" w:eastAsia="zh-CN" w:bidi="ar"/>
                <w14:textFill>
                  <w14:solidFill>
                    <w14:schemeClr w14:val="tx1"/>
                  </w14:solidFill>
                </w14:textFill>
              </w:rPr>
              <w:t>一般</w:t>
            </w:r>
            <w:r>
              <w:rPr>
                <w:rFonts w:hint="eastAsia" w:cs="宋体"/>
                <w:bCs/>
                <w:color w:val="000000" w:themeColor="text1"/>
                <w:highlight w:val="none"/>
                <w:lang w:bidi="ar"/>
                <w14:textFill>
                  <w14:solidFill>
                    <w14:schemeClr w14:val="tx1"/>
                  </w14:solidFill>
                </w14:textFill>
              </w:rPr>
              <w:t>固废暂存间</w:t>
            </w:r>
            <w:r>
              <w:rPr>
                <w:rFonts w:hint="eastAsia" w:cs="宋体"/>
                <w:bCs/>
                <w:color w:val="000000" w:themeColor="text1"/>
                <w:highlight w:val="none"/>
                <w:lang w:eastAsia="zh-CN" w:bidi="ar"/>
                <w14:textFill>
                  <w14:solidFill>
                    <w14:schemeClr w14:val="tx1"/>
                  </w14:solidFill>
                </w14:textFill>
              </w:rPr>
              <w:t>（</w:t>
            </w:r>
            <w:r>
              <w:rPr>
                <w:rFonts w:hint="eastAsia" w:cs="宋体"/>
                <w:bCs/>
                <w:color w:val="000000" w:themeColor="text1"/>
                <w:highlight w:val="none"/>
                <w:lang w:val="en-US" w:eastAsia="zh-CN" w:bidi="ar"/>
                <w14:textFill>
                  <w14:solidFill>
                    <w14:schemeClr w14:val="tx1"/>
                  </w14:solidFill>
                </w14:textFill>
              </w:rPr>
              <w:t>20m</w:t>
            </w:r>
            <w:r>
              <w:rPr>
                <w:rFonts w:hint="eastAsia" w:cs="宋体"/>
                <w:bCs/>
                <w:color w:val="000000" w:themeColor="text1"/>
                <w:highlight w:val="none"/>
                <w:vertAlign w:val="superscript"/>
                <w:lang w:val="en-US" w:eastAsia="zh-CN" w:bidi="ar"/>
                <w14:textFill>
                  <w14:solidFill>
                    <w14:schemeClr w14:val="tx1"/>
                  </w14:solidFill>
                </w14:textFill>
              </w:rPr>
              <w:t>2</w:t>
            </w:r>
            <w:r>
              <w:rPr>
                <w:rFonts w:hint="eastAsia" w:cs="宋体"/>
                <w:bCs/>
                <w:color w:val="000000" w:themeColor="text1"/>
                <w:highlight w:val="none"/>
                <w:lang w:eastAsia="zh-CN" w:bidi="ar"/>
                <w14:textFill>
                  <w14:solidFill>
                    <w14:schemeClr w14:val="tx1"/>
                  </w14:solidFill>
                </w14:textFill>
              </w:rPr>
              <w:t>），</w:t>
            </w:r>
            <w:r>
              <w:rPr>
                <w:rFonts w:hint="eastAsia" w:cs="宋体"/>
                <w:bCs/>
                <w:color w:val="000000" w:themeColor="text1"/>
                <w:highlight w:val="none"/>
                <w:lang w:val="en-US" w:eastAsia="zh-CN" w:bidi="ar"/>
                <w14:textFill>
                  <w14:solidFill>
                    <w14:schemeClr w14:val="tx1"/>
                  </w14:solidFill>
                </w14:textFill>
              </w:rPr>
              <w:t>位于管理区一楼药剂仓库东侧，废包装材料与</w:t>
            </w:r>
            <w:r>
              <w:rPr>
                <w:rFonts w:hint="eastAsia" w:cs="宋体"/>
                <w:bCs/>
                <w:color w:val="000000" w:themeColor="text1"/>
                <w:highlight w:val="none"/>
                <w:lang w:bidi="ar"/>
                <w14:textFill>
                  <w14:solidFill>
                    <w14:schemeClr w14:val="tx1"/>
                  </w14:solidFill>
                </w14:textFill>
              </w:rPr>
              <w:t>生活垃圾</w:t>
            </w:r>
            <w:r>
              <w:rPr>
                <w:rFonts w:hint="eastAsia" w:cs="宋体"/>
                <w:bCs/>
                <w:color w:val="000000" w:themeColor="text1"/>
                <w:highlight w:val="none"/>
                <w:lang w:val="en-US" w:eastAsia="zh-CN" w:bidi="ar"/>
                <w14:textFill>
                  <w14:solidFill>
                    <w14:schemeClr w14:val="tx1"/>
                  </w14:solidFill>
                </w14:textFill>
              </w:rPr>
              <w:t>统一</w:t>
            </w:r>
            <w:r>
              <w:rPr>
                <w:rFonts w:hint="eastAsia" w:cs="宋体"/>
                <w:bCs/>
                <w:color w:val="000000" w:themeColor="text1"/>
                <w:highlight w:val="none"/>
                <w:lang w:bidi="ar"/>
                <w14:textFill>
                  <w14:solidFill>
                    <w14:schemeClr w14:val="tx1"/>
                  </w14:solidFill>
                </w14:textFill>
              </w:rPr>
              <w:t>委托环卫</w:t>
            </w:r>
            <w:r>
              <w:rPr>
                <w:rFonts w:hint="eastAsia"/>
                <w:color w:val="000000" w:themeColor="text1"/>
                <w:highlight w:val="none"/>
                <w14:textFill>
                  <w14:solidFill>
                    <w14:schemeClr w14:val="tx1"/>
                  </w14:solidFill>
                </w14:textFill>
              </w:rPr>
              <w:t>部门统一处理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污泥送与周边居民用于菜地农肥</w:t>
            </w:r>
            <w:r>
              <w:rPr>
                <w:rFonts w:hint="eastAsia"/>
                <w:color w:val="000000" w:themeColor="text1"/>
                <w:highlight w:val="none"/>
                <w14:textFill>
                  <w14:solidFill>
                    <w14:schemeClr w14:val="tx1"/>
                  </w14:solidFill>
                </w14:textFill>
              </w:rPr>
              <w:t>。</w:t>
            </w:r>
          </w:p>
          <w:p>
            <w:pPr>
              <w:pStyle w:val="5"/>
              <w:widowControl w:val="0"/>
              <w:ind w:firstLine="480"/>
              <w:rPr>
                <w:rFonts w:hint="default" w:cs="Times New Roman"/>
                <w:bCs/>
                <w:color w:val="000000" w:themeColor="text1"/>
                <w:highlight w:val="none"/>
                <w:lang w:val="en-US"/>
                <w14:textFill>
                  <w14:solidFill>
                    <w14:schemeClr w14:val="tx1"/>
                  </w14:solidFill>
                </w14:textFill>
              </w:rPr>
            </w:pPr>
            <w:r>
              <w:rPr>
                <w:rFonts w:hint="eastAsia"/>
                <w:color w:val="000000" w:themeColor="text1"/>
                <w:highlight w:val="none"/>
                <w14:textFill>
                  <w14:solidFill>
                    <w14:schemeClr w14:val="tx1"/>
                  </w14:solidFill>
                </w14:textFill>
              </w:rPr>
              <w:t>本项目</w:t>
            </w:r>
            <w:r>
              <w:rPr>
                <w:rFonts w:hint="eastAsia" w:cs="Times New Roman"/>
                <w:color w:val="000000" w:themeColor="text1"/>
                <w:highlight w:val="none"/>
                <w14:textFill>
                  <w14:solidFill>
                    <w14:schemeClr w14:val="tx1"/>
                  </w14:solidFill>
                </w14:textFill>
              </w:rPr>
              <w:t>一般工业固废应按照</w:t>
            </w:r>
            <w:r>
              <w:rPr>
                <w:rFonts w:hint="eastAsia" w:cs="Times New Roman"/>
                <w:bCs/>
                <w:color w:val="000000" w:themeColor="text1"/>
                <w:highlight w:val="none"/>
                <w14:textFill>
                  <w14:solidFill>
                    <w14:schemeClr w14:val="tx1"/>
                  </w14:solidFill>
                </w14:textFill>
              </w:rPr>
              <w:t>《一般工业固体废物贮存和填埋污染控制标准》（</w:t>
            </w:r>
            <w:r>
              <w:rPr>
                <w:rFonts w:cs="Times New Roman"/>
                <w:bCs/>
                <w:color w:val="000000" w:themeColor="text1"/>
                <w:highlight w:val="none"/>
                <w14:textFill>
                  <w14:solidFill>
                    <w14:schemeClr w14:val="tx1"/>
                  </w14:solidFill>
                </w14:textFill>
              </w:rPr>
              <w:t>GB18599-2020</w:t>
            </w:r>
            <w:r>
              <w:rPr>
                <w:rFonts w:hint="eastAsia" w:cs="Times New Roman"/>
                <w:bCs/>
                <w:color w:val="000000" w:themeColor="text1"/>
                <w:highlight w:val="none"/>
                <w14:textFill>
                  <w14:solidFill>
                    <w14:schemeClr w14:val="tx1"/>
                  </w14:solidFill>
                </w14:textFill>
              </w:rPr>
              <w:t>）进行管理</w:t>
            </w:r>
            <w:r>
              <w:rPr>
                <w:rFonts w:hint="eastAsia" w:cs="Times New Roman"/>
                <w:color w:val="000000" w:themeColor="text1"/>
                <w:highlight w:val="none"/>
                <w14:textFill>
                  <w14:solidFill>
                    <w14:schemeClr w14:val="tx1"/>
                  </w14:solidFill>
                </w14:textFill>
              </w:rPr>
              <w:t>；且一般工业固废贮存和处置均应满足</w:t>
            </w:r>
            <w:r>
              <w:rPr>
                <w:rFonts w:hint="eastAsia" w:cs="Times New Roman"/>
                <w:bCs/>
                <w:color w:val="000000" w:themeColor="text1"/>
                <w:highlight w:val="none"/>
                <w14:textFill>
                  <w14:solidFill>
                    <w14:schemeClr w14:val="tx1"/>
                  </w14:solidFill>
                </w14:textFill>
              </w:rPr>
              <w:t>《排污许可证申请与核发技术规范工业固体废物（试行）》（</w:t>
            </w:r>
            <w:r>
              <w:rPr>
                <w:rFonts w:cs="Times New Roman"/>
                <w:bCs/>
                <w:color w:val="000000" w:themeColor="text1"/>
                <w:highlight w:val="none"/>
                <w14:textFill>
                  <w14:solidFill>
                    <w14:schemeClr w14:val="tx1"/>
                  </w14:solidFill>
                </w14:textFill>
              </w:rPr>
              <w:t>HJ 1200-2021</w:t>
            </w:r>
            <w:r>
              <w:rPr>
                <w:rFonts w:hint="eastAsia" w:cs="Times New Roman"/>
                <w:bCs/>
                <w:color w:val="000000" w:themeColor="text1"/>
                <w:highlight w:val="none"/>
                <w14:textFill>
                  <w14:solidFill>
                    <w14:schemeClr w14:val="tx1"/>
                  </w14:solidFill>
                </w14:textFill>
              </w:rPr>
              <w:t>）中相应技术规范。</w:t>
            </w:r>
            <w:r>
              <w:rPr>
                <w:rFonts w:hint="eastAsia" w:cs="Times New Roman"/>
                <w:bCs/>
                <w:color w:val="000000" w:themeColor="text1"/>
                <w:highlight w:val="none"/>
                <w:lang w:val="en-US" w:bidi="zh-CN"/>
                <w14:textFill>
                  <w14:solidFill>
                    <w14:schemeClr w14:val="tx1"/>
                  </w14:solidFill>
                </w14:textFill>
              </w:rPr>
              <w:t>危险废物按照《危险废物贮存污染控制标准》（GB 18597-2023）的要求进行管理。</w:t>
            </w:r>
          </w:p>
          <w:p>
            <w:pPr>
              <w:tabs>
                <w:tab w:val="left" w:pos="4860"/>
              </w:tabs>
              <w:ind w:firstLine="480" w:firstLineChars="200"/>
              <w:jc w:val="both"/>
              <w:rPr>
                <w:rFonts w:cs="Times New Roman"/>
                <w:b w:val="0"/>
                <w:bCs w:val="0"/>
                <w:color w:val="000000" w:themeColor="text1"/>
                <w:highlight w:val="none"/>
                <w14:textFill>
                  <w14:solidFill>
                    <w14:schemeClr w14:val="tx1"/>
                  </w14:solidFill>
                </w14:textFill>
              </w:rPr>
            </w:pPr>
            <w:r>
              <w:rPr>
                <w:rFonts w:hint="eastAsia" w:ascii="宋体" w:hAnsi="宋体" w:eastAsia="宋体" w:cs="宋体"/>
                <w:b w:val="0"/>
                <w:bCs w:val="0"/>
                <w:color w:val="000000" w:themeColor="text1"/>
                <w:highlight w:val="none"/>
                <w14:textFill>
                  <w14:solidFill>
                    <w14:schemeClr w14:val="tx1"/>
                  </w14:solidFill>
                </w14:textFill>
              </w:rPr>
              <w:t>①</w:t>
            </w:r>
            <w:r>
              <w:rPr>
                <w:rFonts w:hint="eastAsia" w:cs="Times New Roman"/>
                <w:b w:val="0"/>
                <w:bCs w:val="0"/>
                <w:color w:val="000000" w:themeColor="text1"/>
                <w:highlight w:val="none"/>
                <w14:textFill>
                  <w14:solidFill>
                    <w14:schemeClr w14:val="tx1"/>
                  </w14:solidFill>
                </w14:textFill>
              </w:rPr>
              <w:t>生活垃圾管理要求</w:t>
            </w:r>
          </w:p>
          <w:p>
            <w:pPr>
              <w:tabs>
                <w:tab w:val="left" w:pos="4860"/>
              </w:tabs>
              <w:ind w:firstLine="480" w:firstLineChars="200"/>
              <w:jc w:val="both"/>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生活垃圾必须实现袋装或桶装集中，委托环卫部门统一清运，不得随处乱堆乱排现象；由于生活垃圾中含有易发酵（即腐烂）的有机类垃圾，也会产生析出水（垃圾堆场称渗滤液），同时散发恶臭气味；并易招引蚊蝇、鼠狗之类栖息、形成病菌类产生和传播的温床；这不仅直接损害了厂区内的环境卫生，而产生的臭气和诱发的蚊蝇滋生则会对附近居民生活区，甚至对院区造成很大的影响；为此，厂内应配备足够的垃圾桶和加强管理，对生活垃圾尽量做到日产日清，保证厂区范围内无腐烂垃圾堆放。</w:t>
            </w:r>
          </w:p>
          <w:p>
            <w:pPr>
              <w:pStyle w:val="5"/>
              <w:widowControl w:val="0"/>
              <w:ind w:firstLine="482"/>
              <w:rPr>
                <w:rFonts w:cs="宋体"/>
                <w:b w:val="0"/>
                <w:bCs/>
                <w:color w:val="000000" w:themeColor="text1"/>
                <w:highlight w:val="none"/>
                <w:lang w:bidi="ar"/>
                <w14:textFill>
                  <w14:solidFill>
                    <w14:schemeClr w14:val="tx1"/>
                  </w14:solidFill>
                </w14:textFill>
              </w:rPr>
            </w:pPr>
            <w:r>
              <w:rPr>
                <w:rFonts w:hint="eastAsia" w:ascii="宋体" w:hAnsi="宋体" w:eastAsia="宋体" w:cs="宋体"/>
                <w:b w:val="0"/>
                <w:bCs/>
                <w:color w:val="000000" w:themeColor="text1"/>
                <w:highlight w:val="none"/>
                <w:lang w:bidi="ar"/>
                <w14:textFill>
                  <w14:solidFill>
                    <w14:schemeClr w14:val="tx1"/>
                  </w14:solidFill>
                </w14:textFill>
              </w:rPr>
              <w:t>②</w:t>
            </w:r>
            <w:r>
              <w:rPr>
                <w:rFonts w:hint="eastAsia" w:cs="宋体"/>
                <w:b w:val="0"/>
                <w:bCs/>
                <w:color w:val="000000" w:themeColor="text1"/>
                <w:highlight w:val="none"/>
                <w:lang w:bidi="ar"/>
                <w14:textFill>
                  <w14:solidFill>
                    <w14:schemeClr w14:val="tx1"/>
                  </w14:solidFill>
                </w14:textFill>
              </w:rPr>
              <w:t>一般固体废物管理要求</w:t>
            </w:r>
          </w:p>
          <w:p>
            <w:pPr>
              <w:pStyle w:val="5"/>
              <w:widowControl w:val="0"/>
              <w:ind w:firstLine="480"/>
              <w:rPr>
                <w:rFonts w:cs="Times New Roman"/>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A、</w:t>
            </w:r>
            <w:r>
              <w:rPr>
                <w:rFonts w:hint="eastAsia" w:cs="Times New Roman"/>
                <w:color w:val="000000" w:themeColor="text1"/>
                <w:highlight w:val="none"/>
                <w14:textFill>
                  <w14:solidFill>
                    <w14:schemeClr w14:val="tx1"/>
                  </w14:solidFill>
                </w14:textFill>
              </w:rPr>
              <w:t>根据</w:t>
            </w:r>
            <w:r>
              <w:rPr>
                <w:rFonts w:hint="eastAsia" w:cs="Times New Roman"/>
                <w:bCs/>
                <w:color w:val="000000" w:themeColor="text1"/>
                <w:highlight w:val="none"/>
                <w14:textFill>
                  <w14:solidFill>
                    <w14:schemeClr w14:val="tx1"/>
                  </w14:solidFill>
                </w14:textFill>
              </w:rPr>
              <w:t>《一般工业固体废物贮存和填埋污染控制标准》（</w:t>
            </w:r>
            <w:r>
              <w:rPr>
                <w:rFonts w:cs="Times New Roman"/>
                <w:bCs/>
                <w:color w:val="000000" w:themeColor="text1"/>
                <w:highlight w:val="none"/>
                <w14:textFill>
                  <w14:solidFill>
                    <w14:schemeClr w14:val="tx1"/>
                  </w14:solidFill>
                </w14:textFill>
              </w:rPr>
              <w:t>GB18599-2020</w:t>
            </w:r>
            <w:r>
              <w:rPr>
                <w:rFonts w:hint="eastAsia" w:cs="Times New Roman"/>
                <w:bCs/>
                <w:color w:val="000000" w:themeColor="text1"/>
                <w:highlight w:val="none"/>
                <w14:textFill>
                  <w14:solidFill>
                    <w14:schemeClr w14:val="tx1"/>
                  </w14:solidFill>
                </w14:textFill>
              </w:rPr>
              <w:t>）和《排污许可证申请与核发技术规范工业固体废物（试行）》（</w:t>
            </w:r>
            <w:r>
              <w:rPr>
                <w:rFonts w:cs="Times New Roman"/>
                <w:bCs/>
                <w:color w:val="000000" w:themeColor="text1"/>
                <w:highlight w:val="none"/>
                <w14:textFill>
                  <w14:solidFill>
                    <w14:schemeClr w14:val="tx1"/>
                  </w14:solidFill>
                </w14:textFill>
              </w:rPr>
              <w:t>HJ 1200-2021</w:t>
            </w:r>
            <w:r>
              <w:rPr>
                <w:rFonts w:hint="eastAsia" w:cs="Times New Roman"/>
                <w:bCs/>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，固废暂存设施必须采取防扬散、防流失、防渗漏等三防处理，防渗层渗透系数≤10</w:t>
            </w:r>
            <w:r>
              <w:rPr>
                <w:rFonts w:cs="Times New Roman"/>
                <w:color w:val="000000" w:themeColor="text1"/>
                <w:highlight w:val="none"/>
                <w:vertAlign w:val="superscript"/>
                <w14:textFill>
                  <w14:solidFill>
                    <w14:schemeClr w14:val="tx1"/>
                  </w14:solidFill>
                </w14:textFill>
              </w:rPr>
              <w:t>-7</w:t>
            </w:r>
            <w:r>
              <w:rPr>
                <w:rFonts w:cs="Times New Roman"/>
                <w:color w:val="000000" w:themeColor="text1"/>
                <w:highlight w:val="none"/>
                <w14:textFill>
                  <w14:solidFill>
                    <w14:schemeClr w14:val="tx1"/>
                  </w14:solidFill>
                </w14:textFill>
              </w:rPr>
              <w:t>cm/s</w:t>
            </w:r>
            <w:r>
              <w:rPr>
                <w:rFonts w:hint="eastAsia" w:cs="Times New Roman"/>
                <w:color w:val="000000" w:themeColor="text1"/>
                <w:highlight w:val="none"/>
                <w14:textFill>
                  <w14:solidFill>
                    <w14:schemeClr w14:val="tx1"/>
                  </w14:solidFill>
                </w14:textFill>
              </w:rPr>
              <w:t>；</w:t>
            </w:r>
          </w:p>
          <w:p>
            <w:pPr>
              <w:adjustRightInd w:val="0"/>
              <w:snapToGrid w:val="0"/>
              <w:ind w:firstLine="480" w:firstLineChars="200"/>
              <w:jc w:val="left"/>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B、</w:t>
            </w:r>
            <w:r>
              <w:rPr>
                <w:rFonts w:hint="eastAsia"/>
                <w:color w:val="000000" w:themeColor="text1"/>
                <w:highlight w:val="none"/>
                <w:lang w:val="en-US"/>
                <w14:textFill>
                  <w14:solidFill>
                    <w14:schemeClr w14:val="tx1"/>
                  </w14:solidFill>
                </w14:textFill>
              </w:rPr>
              <w:t>按照“减量化、资源化、无害化”处理原则，指定专人加强固体废物的内部管理，各固废按照相关要求进行分类收集，并按要求设置标志标牌；</w:t>
            </w:r>
            <w:r>
              <w:rPr>
                <w:rFonts w:hint="eastAsia" w:cs="Times New Roman"/>
                <w:color w:val="000000" w:themeColor="text1"/>
                <w:highlight w:val="none"/>
                <w14:textFill>
                  <w14:solidFill>
                    <w14:schemeClr w14:val="tx1"/>
                  </w14:solidFill>
                </w14:textFill>
              </w:rPr>
              <w:t>不得擅自倾倒、堆放、丢弃、遗撒工业固体废物。</w:t>
            </w:r>
          </w:p>
          <w:p>
            <w:pPr>
              <w:pStyle w:val="5"/>
              <w:widowControl w:val="0"/>
              <w:ind w:firstLine="480"/>
              <w:rPr>
                <w:rFonts w:cs="宋体"/>
                <w:bCs/>
                <w:color w:val="000000" w:themeColor="text1"/>
                <w:highlight w:val="none"/>
                <w:lang w:bidi="ar"/>
                <w14:textFill>
                  <w14:solidFill>
                    <w14:schemeClr w14:val="tx1"/>
                  </w14:solidFill>
                </w14:textFill>
              </w:rPr>
            </w:pPr>
            <w:r>
              <w:rPr>
                <w:rFonts w:hint="eastAsia"/>
                <w:color w:val="000000" w:themeColor="text1"/>
                <w:highlight w:val="none"/>
                <w:lang w:val="en-US" w:eastAsia="zh-CN"/>
                <w14:textFill>
                  <w14:solidFill>
                    <w14:schemeClr w14:val="tx1"/>
                  </w14:solidFill>
                </w14:textFill>
              </w:rPr>
              <w:t>C、</w:t>
            </w:r>
            <w:r>
              <w:rPr>
                <w:rFonts w:hint="eastAsia"/>
                <w:color w:val="000000" w:themeColor="text1"/>
                <w:highlight w:val="none"/>
                <w14:textFill>
                  <w14:solidFill>
                    <w14:schemeClr w14:val="tx1"/>
                  </w14:solidFill>
                </w14:textFill>
              </w:rPr>
              <w:t>按要求设置固废管理制度、台账等。</w:t>
            </w:r>
          </w:p>
          <w:p>
            <w:pPr>
              <w:pStyle w:val="5"/>
              <w:widowControl w:val="0"/>
              <w:ind w:firstLine="482"/>
              <w:rPr>
                <w:rFonts w:cs="Times New Roman"/>
                <w:b w:val="0"/>
                <w:bCs w:val="0"/>
                <w:color w:val="000000" w:themeColor="text1"/>
                <w:highlight w:val="none"/>
                <w:u w:val="none"/>
                <w14:textFill>
                  <w14:solidFill>
                    <w14:schemeClr w14:val="tx1"/>
                  </w14:solidFill>
                </w14:textFill>
              </w:rPr>
            </w:pPr>
            <w:r>
              <w:rPr>
                <w:rFonts w:hint="eastAsia" w:ascii="宋体" w:hAnsi="宋体" w:eastAsia="宋体" w:cs="宋体"/>
                <w:b w:val="0"/>
                <w:bCs w:val="0"/>
                <w:color w:val="000000" w:themeColor="text1"/>
                <w:highlight w:val="none"/>
                <w:u w:val="none"/>
                <w14:textFill>
                  <w14:solidFill>
                    <w14:schemeClr w14:val="tx1"/>
                  </w14:solidFill>
                </w14:textFill>
              </w:rPr>
              <w:t>③</w:t>
            </w:r>
            <w:r>
              <w:rPr>
                <w:rFonts w:hint="eastAsia" w:cs="Times New Roman"/>
                <w:b w:val="0"/>
                <w:bCs w:val="0"/>
                <w:color w:val="000000" w:themeColor="text1"/>
                <w:highlight w:val="none"/>
                <w:u w:val="none"/>
                <w14:textFill>
                  <w14:solidFill>
                    <w14:schemeClr w14:val="tx1"/>
                  </w14:solidFill>
                </w14:textFill>
              </w:rPr>
              <w:t>固体废物影响分析</w:t>
            </w:r>
          </w:p>
          <w:p>
            <w:pPr>
              <w:ind w:firstLine="480" w:firstLineChars="200"/>
              <w:jc w:val="left"/>
              <w:rPr>
                <w:rFonts w:hint="eastAsia" w:cs="Times New Roman"/>
                <w:color w:val="000000" w:themeColor="text1"/>
                <w:highlight w:val="none"/>
                <w:u w:val="none"/>
                <w14:textFill>
                  <w14:solidFill>
                    <w14:schemeClr w14:val="tx1"/>
                  </w14:solidFill>
                </w14:textFill>
              </w:rPr>
            </w:pPr>
            <w:r>
              <w:rPr>
                <w:rFonts w:hint="eastAsia" w:cs="Times New Roman"/>
                <w:color w:val="000000" w:themeColor="text1"/>
                <w:highlight w:val="none"/>
                <w:u w:val="none"/>
                <w14:textFill>
                  <w14:solidFill>
                    <w14:schemeClr w14:val="tx1"/>
                  </w14:solidFill>
                </w14:textFill>
              </w:rPr>
              <w:t>综上所述，本项目固体废物处理措施可行，落实本评价要求的固体废物处理措施后，对周围环境的影响在可接受范围内，不会对周围环境造成二次污染。</w:t>
            </w:r>
          </w:p>
          <w:p>
            <w:pPr>
              <w:ind w:firstLine="480" w:firstLineChars="200"/>
              <w:jc w:val="left"/>
              <w:rPr>
                <w:rFonts w:hint="eastAsia" w:ascii="宋体" w:hAnsi="宋体" w:eastAsia="宋体" w:cs="宋体"/>
                <w:color w:val="000000" w:themeColor="text1"/>
                <w:highlight w:val="none"/>
                <w:u w:val="none"/>
                <w:lang w:val="en-US" w:eastAsia="zh-CN"/>
                <w14:textFill>
                  <w14:solidFill>
                    <w14:schemeClr w14:val="tx1"/>
                  </w14:solidFill>
                </w14:textFill>
              </w:rPr>
            </w:pPr>
            <w:r>
              <w:rPr>
                <w:rFonts w:hint="eastAsia" w:ascii="宋体" w:hAnsi="宋体" w:eastAsia="宋体" w:cs="宋体"/>
                <w:color w:val="000000" w:themeColor="text1"/>
                <w:highlight w:val="none"/>
                <w:u w:val="none"/>
                <w14:textFill>
                  <w14:solidFill>
                    <w14:schemeClr w14:val="tx1"/>
                  </w14:solidFill>
                </w14:textFill>
              </w:rPr>
              <w:t>③</w:t>
            </w:r>
            <w:r>
              <w:rPr>
                <w:rFonts w:hint="eastAsia" w:ascii="宋体" w:hAnsi="宋体" w:eastAsia="宋体" w:cs="宋体"/>
                <w:color w:val="000000" w:themeColor="text1"/>
                <w:highlight w:val="none"/>
                <w:u w:val="none"/>
                <w:lang w:val="en-US" w:eastAsia="zh-CN"/>
                <w14:textFill>
                  <w14:solidFill>
                    <w14:schemeClr w14:val="tx1"/>
                  </w14:solidFill>
                </w14:textFill>
              </w:rPr>
              <w:t>危险废物管理要求</w:t>
            </w:r>
          </w:p>
          <w:p>
            <w:pPr>
              <w:ind w:firstLine="480" w:firstLineChars="200"/>
              <w:jc w:val="left"/>
              <w:rPr>
                <w:rFonts w:hint="default" w:eastAsia="宋体" w:cs="Times New Roman"/>
                <w:color w:val="000000" w:themeColor="text1"/>
                <w:highlight w:val="none"/>
                <w:u w:val="none"/>
                <w:lang w:val="en-US" w:eastAsia="zh-CN"/>
                <w14:textFill>
                  <w14:solidFill>
                    <w14:schemeClr w14:val="tx1"/>
                  </w14:solidFill>
                </w14:textFill>
              </w:rPr>
            </w:pPr>
            <w:r>
              <w:rPr>
                <w:rFonts w:hint="default" w:eastAsia="宋体" w:cs="Times New Roman"/>
                <w:color w:val="000000" w:themeColor="text1"/>
                <w:highlight w:val="none"/>
                <w:u w:val="none"/>
                <w:lang w:val="en-US" w:eastAsia="zh-CN"/>
                <w14:textFill>
                  <w14:solidFill>
                    <w14:schemeClr w14:val="tx1"/>
                  </w14:solidFill>
                </w14:textFill>
              </w:rPr>
              <w:t>为减少废弃物的储运风险，防止危废流失污染环境，本项目在</w:t>
            </w:r>
            <w:r>
              <w:rPr>
                <w:rFonts w:hint="eastAsia" w:eastAsia="宋体" w:cs="Times New Roman"/>
                <w:color w:val="000000" w:themeColor="text1"/>
                <w:highlight w:val="none"/>
                <w:u w:val="none"/>
                <w:lang w:val="en-US" w:eastAsia="zh-CN"/>
                <w14:textFill>
                  <w14:solidFill>
                    <w14:schemeClr w14:val="tx1"/>
                  </w14:solidFill>
                </w14:textFill>
              </w:rPr>
              <w:t>管理区一楼</w:t>
            </w:r>
            <w:r>
              <w:rPr>
                <w:rFonts w:hint="eastAsia" w:cs="Times New Roman"/>
                <w:color w:val="000000" w:themeColor="text1"/>
                <w:highlight w:val="none"/>
                <w:u w:val="none"/>
                <w:lang w:val="en-US" w:eastAsia="zh-CN"/>
                <w14:textFill>
                  <w14:solidFill>
                    <w14:schemeClr w14:val="tx1"/>
                  </w14:solidFill>
                </w14:textFill>
              </w:rPr>
              <w:t>药剂仓库东侧</w:t>
            </w:r>
            <w:r>
              <w:rPr>
                <w:rFonts w:hint="default" w:eastAsia="宋体" w:cs="Times New Roman"/>
                <w:color w:val="000000" w:themeColor="text1"/>
                <w:highlight w:val="none"/>
                <w:u w:val="none"/>
                <w:lang w:val="en-US" w:eastAsia="zh-CN"/>
                <w14:textFill>
                  <w14:solidFill>
                    <w14:schemeClr w14:val="tx1"/>
                  </w14:solidFill>
                </w14:textFill>
              </w:rPr>
              <w:t>设置一个</w:t>
            </w:r>
            <w:r>
              <w:rPr>
                <w:rFonts w:hint="eastAsia" w:eastAsia="宋体" w:cs="Times New Roman"/>
                <w:color w:val="000000" w:themeColor="text1"/>
                <w:highlight w:val="none"/>
                <w:u w:val="none"/>
                <w:lang w:val="en-US" w:eastAsia="zh-CN"/>
                <w14:textFill>
                  <w14:solidFill>
                    <w14:schemeClr w14:val="tx1"/>
                  </w14:solidFill>
                </w14:textFill>
              </w:rPr>
              <w:t>1</w:t>
            </w:r>
            <w:r>
              <w:rPr>
                <w:rFonts w:hint="default" w:eastAsia="宋体" w:cs="Times New Roman"/>
                <w:color w:val="000000" w:themeColor="text1"/>
                <w:highlight w:val="none"/>
                <w:u w:val="none"/>
                <w:lang w:val="en-US" w:eastAsia="zh-CN"/>
                <w14:textFill>
                  <w14:solidFill>
                    <w14:schemeClr w14:val="tx1"/>
                  </w14:solidFill>
                </w14:textFill>
              </w:rPr>
              <w:t>0m</w:t>
            </w:r>
            <w:r>
              <w:rPr>
                <w:rFonts w:hint="default" w:eastAsia="宋体" w:cs="Times New Roman"/>
                <w:color w:val="000000" w:themeColor="text1"/>
                <w:highlight w:val="none"/>
                <w:u w:val="none"/>
                <w:vertAlign w:val="superscript"/>
                <w:lang w:val="en-US" w:eastAsia="zh-CN"/>
                <w14:textFill>
                  <w14:solidFill>
                    <w14:schemeClr w14:val="tx1"/>
                  </w14:solidFill>
                </w14:textFill>
              </w:rPr>
              <w:t>2</w:t>
            </w:r>
            <w:r>
              <w:rPr>
                <w:rFonts w:hint="default" w:eastAsia="宋体" w:cs="Times New Roman"/>
                <w:color w:val="000000" w:themeColor="text1"/>
                <w:highlight w:val="none"/>
                <w:u w:val="none"/>
                <w:lang w:val="en-US" w:eastAsia="zh-CN"/>
                <w14:textFill>
                  <w14:solidFill>
                    <w14:schemeClr w14:val="tx1"/>
                  </w14:solidFill>
                </w14:textFill>
              </w:rPr>
              <w:t>危险废物暂存间；危废暂存库将严格按照《危险废物贮存污染控制标准》（GB18597-2023）的要求设计，做好防雨、防渗、防腐，防止二次污染，并对危废暂存间的废气进行收集和净化，本项目危废暂存间设置整体通风换气设施，将危废暂存间废气收集后与车间生产废气一并处理达标后排放。危险废物需采用专用的容器贮存在指定的地方，定期运出至有资质的相应单位进行处置。危险废物储存场所需作防风、防雨、防晒、防渗、防腐处理，按国家相关规定设置，盛装危险废物的容器上应粘贴危险废物标签。危废暂存间必须为耐腐蚀的硬化地面，且表面无裂痕，基础防渗层为至少 1 米厚粘土层(渗透系数≤10</w:t>
            </w:r>
            <w:r>
              <w:rPr>
                <w:rFonts w:hint="default" w:eastAsia="宋体" w:cs="Times New Roman"/>
                <w:color w:val="000000" w:themeColor="text1"/>
                <w:highlight w:val="none"/>
                <w:u w:val="none"/>
                <w:vertAlign w:val="superscript"/>
                <w:lang w:val="en-US" w:eastAsia="zh-CN"/>
                <w14:textFill>
                  <w14:solidFill>
                    <w14:schemeClr w14:val="tx1"/>
                  </w14:solidFill>
                </w14:textFill>
              </w:rPr>
              <w:t>-7</w:t>
            </w:r>
            <w:r>
              <w:rPr>
                <w:rFonts w:hint="default" w:eastAsia="宋体" w:cs="Times New Roman"/>
                <w:color w:val="000000" w:themeColor="text1"/>
                <w:highlight w:val="none"/>
                <w:u w:val="none"/>
                <w:lang w:val="en-US" w:eastAsia="zh-CN"/>
                <w14:textFill>
                  <w14:solidFill>
                    <w14:schemeClr w14:val="tx1"/>
                  </w14:solidFill>
                </w14:textFill>
              </w:rPr>
              <w:t>厘米/秒)，或 2 毫米厚高密度聚乙烯，或至少 2 毫米厚的其它人工材料（如环氧树脂），渗透系数≤10</w:t>
            </w:r>
            <w:r>
              <w:rPr>
                <w:rFonts w:hint="default" w:eastAsia="宋体" w:cs="Times New Roman"/>
                <w:color w:val="000000" w:themeColor="text1"/>
                <w:highlight w:val="none"/>
                <w:u w:val="none"/>
                <w:vertAlign w:val="superscript"/>
                <w:lang w:val="en-US" w:eastAsia="zh-CN"/>
                <w14:textFill>
                  <w14:solidFill>
                    <w14:schemeClr w14:val="tx1"/>
                  </w14:solidFill>
                </w14:textFill>
              </w:rPr>
              <w:t>-10</w:t>
            </w:r>
            <w:r>
              <w:rPr>
                <w:rFonts w:hint="default" w:eastAsia="宋体" w:cs="Times New Roman"/>
                <w:color w:val="000000" w:themeColor="text1"/>
                <w:highlight w:val="none"/>
                <w:u w:val="none"/>
                <w:lang w:val="en-US" w:eastAsia="zh-CN"/>
                <w14:textFill>
                  <w14:solidFill>
                    <w14:schemeClr w14:val="tx1"/>
                  </w14:solidFill>
                </w14:textFill>
              </w:rPr>
              <w:t>厘米/秒。</w:t>
            </w:r>
          </w:p>
          <w:p>
            <w:pPr>
              <w:ind w:firstLine="480" w:firstLineChars="200"/>
              <w:jc w:val="left"/>
              <w:rPr>
                <w:rFonts w:hint="default" w:eastAsia="宋体" w:cs="Times New Roman"/>
                <w:color w:val="000000" w:themeColor="text1"/>
                <w:highlight w:val="none"/>
                <w:u w:val="none"/>
                <w:vertAlign w:val="baseline"/>
                <w:lang w:val="en-US" w:eastAsia="zh-CN"/>
                <w14:textFill>
                  <w14:solidFill>
                    <w14:schemeClr w14:val="tx1"/>
                  </w14:solidFill>
                </w14:textFill>
              </w:rPr>
            </w:pPr>
            <w:r>
              <w:rPr>
                <w:rFonts w:hint="default" w:eastAsia="宋体" w:cs="Times New Roman"/>
                <w:color w:val="000000" w:themeColor="text1"/>
                <w:highlight w:val="none"/>
                <w:u w:val="none"/>
                <w:lang w:val="en-US" w:eastAsia="zh-CN"/>
                <w14:textFill>
                  <w14:solidFill>
                    <w14:schemeClr w14:val="tx1"/>
                  </w14:solidFill>
                </w14:textFill>
              </w:rPr>
              <w:t>危险废物的收集、存放及转运应严格遵守《危险废物转移联单管理办法》执行。另外企业必须做好危险废物的申报登记，建立台帐管理制度，记录上须注明危险废物的名称、来源、数量、特征和包装容器的类别、入库时间、存放库位、废物出库日期及接受单位名称，并保存台账纪录不少于 5 年。同时在危险废物转运的时候必须报请</w:t>
            </w:r>
            <w:r>
              <w:rPr>
                <w:rFonts w:hint="eastAsia" w:eastAsia="宋体" w:cs="Times New Roman"/>
                <w:color w:val="000000" w:themeColor="text1"/>
                <w:highlight w:val="none"/>
                <w:u w:val="none"/>
                <w:lang w:val="en-US" w:eastAsia="zh-CN"/>
                <w14:textFill>
                  <w14:solidFill>
                    <w14:schemeClr w14:val="tx1"/>
                  </w14:solidFill>
                </w14:textFill>
              </w:rPr>
              <w:t>岳阳市</w:t>
            </w:r>
            <w:r>
              <w:rPr>
                <w:rFonts w:hint="default" w:eastAsia="宋体" w:cs="Times New Roman"/>
                <w:color w:val="000000" w:themeColor="text1"/>
                <w:highlight w:val="none"/>
                <w:u w:val="none"/>
                <w:lang w:val="en-US" w:eastAsia="zh-CN"/>
                <w14:textFill>
                  <w14:solidFill>
                    <w14:schemeClr w14:val="tx1"/>
                  </w14:solidFill>
                </w14:textFill>
              </w:rPr>
              <w:t>生态环境局</w:t>
            </w:r>
            <w:r>
              <w:rPr>
                <w:rFonts w:hint="eastAsia" w:eastAsia="宋体" w:cs="Times New Roman"/>
                <w:color w:val="000000" w:themeColor="text1"/>
                <w:highlight w:val="none"/>
                <w:u w:val="none"/>
                <w:lang w:val="en-US" w:eastAsia="zh-CN"/>
                <w14:textFill>
                  <w14:solidFill>
                    <w14:schemeClr w14:val="tx1"/>
                  </w14:solidFill>
                </w14:textFill>
              </w:rPr>
              <w:t>临湘分局</w:t>
            </w:r>
            <w:r>
              <w:rPr>
                <w:rFonts w:hint="default" w:eastAsia="宋体" w:cs="Times New Roman"/>
                <w:color w:val="000000" w:themeColor="text1"/>
                <w:highlight w:val="none"/>
                <w:u w:val="none"/>
                <w:lang w:val="en-US" w:eastAsia="zh-CN"/>
                <w14:textFill>
                  <w14:solidFill>
                    <w14:schemeClr w14:val="tx1"/>
                  </w14:solidFill>
                </w14:textFill>
              </w:rPr>
              <w:t>批准同时填写危险废物转运单</w:t>
            </w:r>
            <w:r>
              <w:rPr>
                <w:rFonts w:hint="eastAsia" w:eastAsia="宋体" w:cs="Times New Roman"/>
                <w:color w:val="000000" w:themeColor="text1"/>
                <w:highlight w:val="none"/>
                <w:u w:val="none"/>
                <w:lang w:val="en-US" w:eastAsia="zh-CN"/>
                <w14:textFill>
                  <w14:solidFill>
                    <w14:schemeClr w14:val="tx1"/>
                  </w14:solidFill>
                </w14:textFill>
              </w:rPr>
              <w:t>。</w:t>
            </w:r>
          </w:p>
          <w:p>
            <w:pPr>
              <w:pStyle w:val="5"/>
              <w:widowControl w:val="0"/>
              <w:ind w:left="0" w:leftChars="0" w:firstLine="0" w:firstLineChars="0"/>
              <w:rPr>
                <w:rFonts w:cs="宋体"/>
                <w:b/>
                <w:color w:val="000000" w:themeColor="text1"/>
                <w:highlight w:val="none"/>
                <w:u w:val="none"/>
                <w:lang w:bidi="ar"/>
                <w14:textFill>
                  <w14:solidFill>
                    <w14:schemeClr w14:val="tx1"/>
                  </w14:solidFill>
                </w14:textFill>
              </w:rPr>
            </w:pPr>
            <w:r>
              <w:rPr>
                <w:rFonts w:hint="eastAsia" w:cs="宋体"/>
                <w:b/>
                <w:color w:val="000000" w:themeColor="text1"/>
                <w:highlight w:val="none"/>
                <w:u w:val="none"/>
                <w:lang w:val="en-US" w:eastAsia="zh-CN" w:bidi="ar"/>
                <w14:textFill>
                  <w14:solidFill>
                    <w14:schemeClr w14:val="tx1"/>
                  </w14:solidFill>
                </w14:textFill>
              </w:rPr>
              <w:t>5、</w:t>
            </w:r>
            <w:r>
              <w:rPr>
                <w:rFonts w:hint="eastAsia" w:cs="宋体"/>
                <w:b/>
                <w:color w:val="000000" w:themeColor="text1"/>
                <w:highlight w:val="none"/>
                <w:u w:val="none"/>
                <w:lang w:bidi="ar"/>
                <w14:textFill>
                  <w14:solidFill>
                    <w14:schemeClr w14:val="tx1"/>
                  </w14:solidFill>
                </w14:textFill>
              </w:rPr>
              <w:t>地下水、土壤</w:t>
            </w:r>
          </w:p>
          <w:p>
            <w:pPr>
              <w:adjustRightInd w:val="0"/>
              <w:spacing w:line="360" w:lineRule="auto"/>
              <w:ind w:firstLine="480" w:firstLineChars="200"/>
              <w:jc w:val="both"/>
              <w:rPr>
                <w:rFonts w:hint="default" w:ascii="Times New Roman" w:hAnsi="Times New Roman" w:eastAsia="宋体" w:cs="Times New Roman"/>
                <w:sz w:val="24"/>
                <w:szCs w:val="24"/>
                <w:highlight w:val="none"/>
                <w:u w:val="none" w:color="auto"/>
                <w:lang w:val="en-US"/>
              </w:rPr>
            </w:pPr>
            <w:r>
              <w:rPr>
                <w:rFonts w:hint="default" w:ascii="Times New Roman" w:hAnsi="Times New Roman" w:eastAsia="宋体" w:cs="Times New Roman"/>
                <w:sz w:val="24"/>
                <w:szCs w:val="24"/>
                <w:highlight w:val="none"/>
                <w:u w:val="none" w:color="auto"/>
                <w:lang w:val="en-US"/>
              </w:rPr>
              <w:t>（1）污染源、污染类型和污染途径</w:t>
            </w:r>
          </w:p>
          <w:p>
            <w:pPr>
              <w:adjustRightInd w:val="0"/>
              <w:spacing w:line="360" w:lineRule="auto"/>
              <w:ind w:firstLine="480" w:firstLineChars="200"/>
              <w:jc w:val="both"/>
              <w:rPr>
                <w:rFonts w:hint="default" w:ascii="Times New Roman" w:hAnsi="Times New Roman" w:eastAsia="宋体" w:cs="Times New Roman"/>
                <w:sz w:val="24"/>
                <w:szCs w:val="24"/>
                <w:highlight w:val="none"/>
                <w:u w:val="none" w:color="auto"/>
                <w:lang w:val="en-US"/>
              </w:rPr>
            </w:pPr>
            <w:r>
              <w:rPr>
                <w:rFonts w:hint="default" w:ascii="Times New Roman" w:hAnsi="Times New Roman" w:eastAsia="宋体" w:cs="Times New Roman"/>
                <w:sz w:val="24"/>
                <w:szCs w:val="24"/>
                <w:highlight w:val="none"/>
                <w:u w:val="none" w:color="auto"/>
                <w:lang w:val="en-US"/>
              </w:rPr>
              <w:t>本项目对地下水造成影响的污染源、污染物类型和污染途径可能有厂内</w:t>
            </w:r>
            <w:r>
              <w:rPr>
                <w:rFonts w:hint="eastAsia" w:cs="Times New Roman"/>
                <w:sz w:val="24"/>
                <w:szCs w:val="24"/>
                <w:highlight w:val="none"/>
                <w:u w:val="none" w:color="auto"/>
                <w:lang w:val="en-US" w:eastAsia="zh-CN"/>
              </w:rPr>
              <w:t>次氯酸钠溶液、危险废物</w:t>
            </w:r>
            <w:r>
              <w:rPr>
                <w:rFonts w:hint="eastAsia" w:ascii="Times New Roman" w:hAnsi="Times New Roman" w:eastAsia="宋体" w:cs="Times New Roman"/>
                <w:sz w:val="24"/>
                <w:szCs w:val="24"/>
                <w:highlight w:val="none"/>
                <w:u w:val="none" w:color="auto"/>
                <w:lang w:val="en-US"/>
              </w:rPr>
              <w:t>等</w:t>
            </w:r>
            <w:r>
              <w:rPr>
                <w:rFonts w:hint="default" w:ascii="Times New Roman" w:hAnsi="Times New Roman" w:eastAsia="宋体" w:cs="Times New Roman"/>
                <w:sz w:val="24"/>
                <w:szCs w:val="24"/>
                <w:highlight w:val="none"/>
                <w:u w:val="none" w:color="auto"/>
                <w:lang w:val="en-US"/>
              </w:rPr>
              <w:t>泄漏至厂外且长时间未处理随地表水下渗，影响</w:t>
            </w:r>
            <w:r>
              <w:rPr>
                <w:rFonts w:hint="eastAsia" w:ascii="Times New Roman" w:hAnsi="Times New Roman" w:eastAsia="宋体" w:cs="Times New Roman"/>
                <w:sz w:val="24"/>
                <w:szCs w:val="24"/>
                <w:highlight w:val="none"/>
                <w:u w:val="none" w:color="auto"/>
                <w:lang w:val="en-US"/>
              </w:rPr>
              <w:t>周边</w:t>
            </w:r>
            <w:r>
              <w:rPr>
                <w:rFonts w:hint="eastAsia" w:cs="Times New Roman"/>
                <w:sz w:val="24"/>
                <w:szCs w:val="24"/>
                <w:highlight w:val="none"/>
                <w:u w:val="none" w:color="auto"/>
                <w:lang w:val="en-US" w:eastAsia="zh-CN"/>
              </w:rPr>
              <w:t>土壤及</w:t>
            </w:r>
            <w:r>
              <w:rPr>
                <w:rFonts w:hint="default" w:ascii="Times New Roman" w:hAnsi="Times New Roman" w:eastAsia="宋体" w:cs="Times New Roman"/>
                <w:sz w:val="24"/>
                <w:szCs w:val="24"/>
                <w:highlight w:val="none"/>
                <w:u w:val="none" w:color="auto"/>
                <w:lang w:val="en-US"/>
              </w:rPr>
              <w:t>地下水，但项目</w:t>
            </w:r>
            <w:r>
              <w:rPr>
                <w:rFonts w:hint="eastAsia" w:cs="Times New Roman"/>
                <w:sz w:val="24"/>
                <w:szCs w:val="24"/>
                <w:highlight w:val="none"/>
                <w:u w:val="none" w:color="auto"/>
                <w:lang w:val="en-US" w:eastAsia="zh-CN"/>
              </w:rPr>
              <w:t>厂区地面均要求地面</w:t>
            </w:r>
            <w:r>
              <w:rPr>
                <w:rFonts w:hint="default" w:ascii="Times New Roman" w:hAnsi="Times New Roman" w:eastAsia="宋体" w:cs="Times New Roman"/>
                <w:sz w:val="24"/>
                <w:szCs w:val="24"/>
                <w:highlight w:val="none"/>
                <w:u w:val="none" w:color="auto"/>
                <w:lang w:val="en-US"/>
              </w:rPr>
              <w:t>硬化处理，造成严重污染的可能性小。</w:t>
            </w:r>
          </w:p>
          <w:p>
            <w:pPr>
              <w:adjustRightInd w:val="0"/>
              <w:spacing w:line="360" w:lineRule="auto"/>
              <w:ind w:firstLine="480" w:firstLineChars="200"/>
              <w:jc w:val="both"/>
              <w:rPr>
                <w:rFonts w:hint="default" w:ascii="Times New Roman" w:hAnsi="Times New Roman" w:eastAsia="宋体" w:cs="Times New Roman"/>
                <w:sz w:val="24"/>
                <w:szCs w:val="24"/>
                <w:highlight w:val="none"/>
                <w:u w:val="none" w:color="auto"/>
                <w:lang w:val="en-US"/>
              </w:rPr>
            </w:pPr>
            <w:r>
              <w:rPr>
                <w:rFonts w:hint="default" w:ascii="Times New Roman" w:hAnsi="Times New Roman" w:eastAsia="宋体" w:cs="Times New Roman"/>
                <w:sz w:val="24"/>
                <w:szCs w:val="24"/>
                <w:highlight w:val="none"/>
                <w:u w:val="none" w:color="auto"/>
                <w:lang w:val="en-US"/>
              </w:rPr>
              <w:t>（2）分区防控措施</w:t>
            </w:r>
          </w:p>
          <w:p>
            <w:pPr>
              <w:adjustRightInd w:val="0"/>
              <w:spacing w:line="360" w:lineRule="auto"/>
              <w:ind w:firstLine="480" w:firstLineChars="200"/>
              <w:jc w:val="both"/>
              <w:rPr>
                <w:rFonts w:hint="default" w:ascii="Times New Roman" w:hAnsi="Times New Roman" w:eastAsia="宋体" w:cs="Times New Roman"/>
                <w:sz w:val="24"/>
                <w:szCs w:val="24"/>
                <w:highlight w:val="none"/>
                <w:u w:val="none" w:color="auto"/>
                <w:lang w:val="en-US"/>
              </w:rPr>
            </w:pPr>
            <w:r>
              <w:rPr>
                <w:rFonts w:hint="default" w:ascii="Times New Roman" w:hAnsi="Times New Roman" w:eastAsia="宋体" w:cs="Times New Roman"/>
                <w:sz w:val="24"/>
                <w:szCs w:val="24"/>
                <w:highlight w:val="none"/>
                <w:u w:val="none" w:color="auto"/>
                <w:lang w:val="en-US"/>
              </w:rPr>
              <w:t>根据项目各区域功能，将</w:t>
            </w:r>
            <w:r>
              <w:rPr>
                <w:rFonts w:hint="eastAsia" w:cs="Times New Roman"/>
                <w:sz w:val="24"/>
                <w:szCs w:val="24"/>
                <w:highlight w:val="none"/>
                <w:u w:val="none" w:color="auto"/>
                <w:lang w:val="en-US" w:eastAsia="zh-CN"/>
              </w:rPr>
              <w:t>药剂</w:t>
            </w:r>
            <w:r>
              <w:rPr>
                <w:rFonts w:hint="default" w:ascii="Times New Roman" w:hAnsi="Times New Roman" w:eastAsia="宋体" w:cs="Times New Roman"/>
                <w:sz w:val="24"/>
                <w:szCs w:val="24"/>
                <w:highlight w:val="none"/>
                <w:u w:val="none" w:color="auto"/>
                <w:lang w:val="en-US"/>
              </w:rPr>
              <w:t>仓库、</w:t>
            </w:r>
            <w:r>
              <w:rPr>
                <w:rFonts w:hint="eastAsia" w:cs="Times New Roman"/>
                <w:sz w:val="24"/>
                <w:szCs w:val="24"/>
                <w:highlight w:val="none"/>
                <w:u w:val="none" w:color="auto"/>
                <w:lang w:val="en-US" w:eastAsia="zh-CN"/>
              </w:rPr>
              <w:t>水处理间以及危废暂存间</w:t>
            </w:r>
            <w:r>
              <w:rPr>
                <w:rFonts w:hint="default" w:ascii="Times New Roman" w:hAnsi="Times New Roman" w:eastAsia="宋体" w:cs="Times New Roman"/>
                <w:sz w:val="24"/>
                <w:szCs w:val="24"/>
                <w:highlight w:val="none"/>
                <w:u w:val="none" w:color="auto"/>
                <w:lang w:val="en-US"/>
              </w:rPr>
              <w:t>划分为重点污染防治区，提出以下防控措施：</w:t>
            </w:r>
          </w:p>
          <w:p>
            <w:pPr>
              <w:adjustRightInd w:val="0"/>
              <w:spacing w:line="360" w:lineRule="auto"/>
              <w:ind w:firstLine="480" w:firstLineChars="200"/>
              <w:jc w:val="both"/>
              <w:rPr>
                <w:rFonts w:hint="default" w:ascii="Times New Roman" w:hAnsi="Times New Roman" w:eastAsia="宋体" w:cs="Times New Roman"/>
                <w:sz w:val="24"/>
                <w:szCs w:val="24"/>
                <w:highlight w:val="none"/>
                <w:u w:val="none" w:color="auto"/>
                <w:lang w:val="en-US"/>
              </w:rPr>
            </w:pPr>
            <w:r>
              <w:rPr>
                <w:rFonts w:hint="default" w:ascii="Times New Roman" w:hAnsi="Times New Roman" w:eastAsia="宋体" w:cs="Times New Roman"/>
                <w:sz w:val="24"/>
                <w:szCs w:val="24"/>
                <w:highlight w:val="none"/>
                <w:u w:val="none" w:color="auto"/>
                <w:lang w:val="en-US"/>
              </w:rPr>
              <w:t>项目</w:t>
            </w:r>
            <w:r>
              <w:rPr>
                <w:rFonts w:hint="eastAsia" w:cs="Times New Roman"/>
                <w:sz w:val="24"/>
                <w:szCs w:val="24"/>
                <w:highlight w:val="none"/>
                <w:u w:val="none" w:color="auto"/>
                <w:lang w:val="en-US" w:eastAsia="zh-CN"/>
              </w:rPr>
              <w:t>药剂</w:t>
            </w:r>
            <w:r>
              <w:rPr>
                <w:rFonts w:hint="default" w:ascii="Times New Roman" w:hAnsi="Times New Roman" w:eastAsia="宋体" w:cs="Times New Roman"/>
                <w:sz w:val="24"/>
                <w:szCs w:val="24"/>
                <w:highlight w:val="none"/>
                <w:u w:val="none" w:color="auto"/>
                <w:lang w:val="en-US"/>
              </w:rPr>
              <w:t>仓库、</w:t>
            </w:r>
            <w:r>
              <w:rPr>
                <w:rFonts w:hint="eastAsia" w:cs="Times New Roman"/>
                <w:sz w:val="24"/>
                <w:szCs w:val="24"/>
                <w:highlight w:val="none"/>
                <w:u w:val="none" w:color="auto"/>
                <w:lang w:val="en-US" w:eastAsia="zh-CN"/>
              </w:rPr>
              <w:t>水处理间以及危废暂存间</w:t>
            </w:r>
            <w:r>
              <w:rPr>
                <w:rFonts w:hint="default" w:ascii="Times New Roman" w:hAnsi="Times New Roman" w:eastAsia="宋体" w:cs="Times New Roman"/>
                <w:sz w:val="24"/>
                <w:szCs w:val="24"/>
                <w:highlight w:val="none"/>
                <w:u w:val="none" w:color="auto"/>
                <w:lang w:val="en-US"/>
              </w:rPr>
              <w:t>其地面防渗措施参照《危险废物贮存污染控制标准》（GB18597-2</w:t>
            </w:r>
            <w:r>
              <w:rPr>
                <w:rFonts w:hint="eastAsia" w:ascii="Times New Roman" w:hAnsi="Times New Roman" w:eastAsia="宋体" w:cs="Times New Roman"/>
                <w:sz w:val="24"/>
                <w:szCs w:val="24"/>
                <w:highlight w:val="none"/>
                <w:u w:val="none" w:color="auto"/>
                <w:lang w:val="en-US" w:eastAsia="zh-CN"/>
              </w:rPr>
              <w:t>023</w:t>
            </w:r>
            <w:r>
              <w:rPr>
                <w:rFonts w:hint="default" w:ascii="Times New Roman" w:hAnsi="Times New Roman" w:eastAsia="宋体" w:cs="Times New Roman"/>
                <w:sz w:val="24"/>
                <w:szCs w:val="24"/>
                <w:highlight w:val="none"/>
                <w:u w:val="none" w:color="auto"/>
                <w:lang w:val="en-US"/>
              </w:rPr>
              <w:t>）的相关要求设置，采取“粘土+混凝土防渗+人工材料”措施，防渗性能达到“至少1m厚粘土层（渗透系数≤10</w:t>
            </w:r>
            <w:r>
              <w:rPr>
                <w:rFonts w:hint="default" w:ascii="Times New Roman" w:hAnsi="Times New Roman" w:eastAsia="宋体" w:cs="Times New Roman"/>
                <w:sz w:val="24"/>
                <w:szCs w:val="24"/>
                <w:highlight w:val="none"/>
                <w:u w:val="none" w:color="auto"/>
                <w:vertAlign w:val="superscript"/>
                <w:lang w:val="en-US"/>
              </w:rPr>
              <w:t>-7</w:t>
            </w:r>
            <w:r>
              <w:rPr>
                <w:rFonts w:hint="default" w:ascii="Times New Roman" w:hAnsi="Times New Roman" w:eastAsia="宋体" w:cs="Times New Roman"/>
                <w:sz w:val="24"/>
                <w:szCs w:val="24"/>
                <w:highlight w:val="none"/>
                <w:u w:val="none" w:color="auto"/>
                <w:lang w:val="en-US"/>
              </w:rPr>
              <w:t>cm/s），或2mm厚高密度聚乙烯，或至少2mm厚的其它人工材料，渗透系数≤10</w:t>
            </w:r>
            <w:r>
              <w:rPr>
                <w:rFonts w:hint="default" w:ascii="Times New Roman" w:hAnsi="Times New Roman" w:eastAsia="宋体" w:cs="Times New Roman"/>
                <w:sz w:val="24"/>
                <w:szCs w:val="24"/>
                <w:highlight w:val="none"/>
                <w:u w:val="none" w:color="auto"/>
                <w:vertAlign w:val="superscript"/>
                <w:lang w:val="en-US"/>
              </w:rPr>
              <w:t>-10</w:t>
            </w:r>
            <w:r>
              <w:rPr>
                <w:rFonts w:hint="default" w:ascii="Times New Roman" w:hAnsi="Times New Roman" w:eastAsia="宋体" w:cs="Times New Roman"/>
                <w:sz w:val="24"/>
                <w:szCs w:val="24"/>
                <w:highlight w:val="none"/>
                <w:u w:val="none" w:color="auto"/>
                <w:lang w:val="en-US"/>
              </w:rPr>
              <w:t>cm/s”的要求。</w:t>
            </w:r>
          </w:p>
          <w:p>
            <w:pPr>
              <w:adjustRightInd w:val="0"/>
              <w:snapToGrid w:val="0"/>
              <w:spacing w:line="360" w:lineRule="auto"/>
              <w:ind w:firstLine="480" w:firstLineChars="200"/>
              <w:jc w:val="both"/>
              <w:rPr>
                <w:rFonts w:hint="default" w:ascii="Times New Roman" w:hAnsi="Times New Roman" w:eastAsia="宋体" w:cs="Times New Roman"/>
                <w:sz w:val="24"/>
                <w:szCs w:val="24"/>
                <w:highlight w:val="none"/>
                <w:u w:val="none" w:color="auto"/>
                <w:lang w:val="en-US" w:eastAsia="zh-CN"/>
              </w:rPr>
            </w:pPr>
            <w:r>
              <w:rPr>
                <w:rFonts w:hint="eastAsia" w:ascii="Times New Roman" w:hAnsi="Times New Roman" w:eastAsia="宋体" w:cs="Times New Roman"/>
                <w:sz w:val="24"/>
                <w:szCs w:val="24"/>
                <w:highlight w:val="none"/>
                <w:u w:val="none" w:color="auto"/>
                <w:lang w:val="en-US" w:eastAsia="zh-CN"/>
              </w:rPr>
              <w:t>（3）</w:t>
            </w:r>
            <w:r>
              <w:rPr>
                <w:rFonts w:hint="default" w:ascii="Times New Roman" w:hAnsi="Times New Roman" w:eastAsia="宋体" w:cs="Times New Roman"/>
                <w:sz w:val="24"/>
                <w:szCs w:val="24"/>
                <w:highlight w:val="none"/>
                <w:u w:val="none" w:color="auto"/>
                <w:lang w:val="en-US" w:eastAsia="zh-CN"/>
              </w:rPr>
              <w:t>跟踪要求</w:t>
            </w:r>
          </w:p>
          <w:p>
            <w:pPr>
              <w:widowControl/>
              <w:spacing w:line="360" w:lineRule="auto"/>
              <w:ind w:firstLine="480"/>
              <w:jc w:val="both"/>
              <w:rPr>
                <w:rFonts w:hint="eastAsia" w:ascii="Times New Roman" w:hAnsi="Times New Roman" w:eastAsia="宋体" w:cs="Times New Roman"/>
                <w:sz w:val="24"/>
                <w:szCs w:val="24"/>
                <w:highlight w:val="none"/>
                <w:u w:val="none" w:color="auto"/>
                <w:lang w:val="en-US" w:eastAsia="zh-CN"/>
              </w:rPr>
            </w:pPr>
            <w:r>
              <w:rPr>
                <w:rFonts w:hint="default" w:ascii="Times New Roman" w:hAnsi="Times New Roman" w:eastAsia="宋体" w:cs="Times New Roman"/>
                <w:sz w:val="24"/>
                <w:szCs w:val="24"/>
                <w:highlight w:val="none"/>
                <w:u w:val="none" w:color="auto"/>
                <w:lang w:val="en-US" w:eastAsia="zh-CN"/>
              </w:rPr>
              <w:t>根据《排污单位自行监测技术指南 总则》（HJI819-2017）、《排污许可申请与核发技术指南 总则》的要求，项目自行检测根据环评和批复确定，无强制要求。本项目在落实上述防控措施后，污染物一旦泄露会被及时发现并处理，基本不会通过渗透的途径进入地下水和土壤，对地下水和土壤环境影响可接受。因此，本评价不提出跟踪监测要求。</w:t>
            </w:r>
          </w:p>
          <w:p>
            <w:pPr>
              <w:pStyle w:val="5"/>
              <w:widowControl w:val="0"/>
              <w:ind w:left="0" w:leftChars="0" w:firstLine="0" w:firstLineChars="0"/>
              <w:rPr>
                <w:rFonts w:cs="宋体"/>
                <w:bCs/>
                <w:color w:val="000000" w:themeColor="text1"/>
                <w:highlight w:val="none"/>
                <w:lang w:bidi="ar"/>
                <w14:textFill>
                  <w14:solidFill>
                    <w14:schemeClr w14:val="tx1"/>
                  </w14:solidFill>
                </w14:textFill>
              </w:rPr>
            </w:pPr>
            <w:r>
              <w:rPr>
                <w:rFonts w:hint="eastAsia" w:cs="宋体"/>
                <w:b/>
                <w:color w:val="000000" w:themeColor="text1"/>
                <w:highlight w:val="none"/>
                <w:lang w:val="en-US" w:eastAsia="zh-CN" w:bidi="ar"/>
                <w14:textFill>
                  <w14:solidFill>
                    <w14:schemeClr w14:val="tx1"/>
                  </w14:solidFill>
                </w14:textFill>
              </w:rPr>
              <w:t>6、环境</w:t>
            </w:r>
            <w:r>
              <w:rPr>
                <w:rFonts w:hint="eastAsia" w:cs="宋体"/>
                <w:b/>
                <w:color w:val="000000" w:themeColor="text1"/>
                <w:highlight w:val="none"/>
                <w:lang w:bidi="ar"/>
                <w14:textFill>
                  <w14:solidFill>
                    <w14:schemeClr w14:val="tx1"/>
                  </w14:solidFill>
                </w14:textFill>
              </w:rPr>
              <w:t>风险</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根据本项目所用到的原辅材料及生产工艺，项目使用的原辅材料具有一定的风险性。本项目主要的风险物质为</w:t>
            </w:r>
            <w:r>
              <w:rPr>
                <w:rFonts w:hint="eastAsia"/>
                <w:color w:val="000000" w:themeColor="text1"/>
                <w:highlight w:val="none"/>
                <w:lang w:val="en-US" w:eastAsia="zh-CN"/>
                <w14:textFill>
                  <w14:solidFill>
                    <w14:schemeClr w14:val="tx1"/>
                  </w14:solidFill>
                </w14:textFill>
              </w:rPr>
              <w:t>次氯酸钠、备用柴油以及危险废物</w:t>
            </w: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本项目采用食盐加水电解制备次氯酸钠并使用，不在厂内设置储罐储存，仅为少量在线与加药管道内</w:t>
            </w:r>
            <w:r>
              <w:rPr>
                <w:rFonts w:hint="eastAsia"/>
                <w:color w:val="000000" w:themeColor="text1"/>
                <w:highlight w:val="none"/>
                <w14:textFill>
                  <w14:solidFill>
                    <w14:schemeClr w14:val="tx1"/>
                  </w14:solidFill>
                </w14:textFill>
              </w:rPr>
              <w:t>。</w:t>
            </w:r>
          </w:p>
          <w:p>
            <w:pPr>
              <w:pStyle w:val="5"/>
              <w:widowControl w:val="0"/>
              <w:ind w:firstLine="480"/>
              <w:rPr>
                <w:rFonts w:cs="Times New Roman"/>
                <w:bCs/>
                <w:color w:val="000000" w:themeColor="text1"/>
                <w:highlight w:val="none"/>
                <w14:textFill>
                  <w14:solidFill>
                    <w14:schemeClr w14:val="tx1"/>
                  </w14:solidFill>
                </w14:textFill>
              </w:rPr>
            </w:pPr>
            <w:r>
              <w:rPr>
                <w:rFonts w:hint="eastAsia" w:ascii="宋体" w:hAnsi="宋体" w:eastAsia="宋体" w:cs="宋体"/>
                <w:bCs/>
                <w:color w:val="000000" w:themeColor="text1"/>
                <w:highlight w:val="none"/>
                <w:lang w:eastAsia="zh-CN"/>
                <w14:textFill>
                  <w14:solidFill>
                    <w14:schemeClr w14:val="tx1"/>
                  </w14:solidFill>
                </w14:textFill>
              </w:rPr>
              <w:t>（</w:t>
            </w:r>
            <w:r>
              <w:rPr>
                <w:rFonts w:hint="eastAsia" w:ascii="宋体" w:hAnsi="宋体" w:eastAsia="宋体" w:cs="宋体"/>
                <w:bCs/>
                <w:color w:val="000000" w:themeColor="text1"/>
                <w:highlight w:val="none"/>
                <w:lang w:val="en-US" w:eastAsia="zh-CN"/>
                <w14:textFill>
                  <w14:solidFill>
                    <w14:schemeClr w14:val="tx1"/>
                  </w14:solidFill>
                </w14:textFill>
              </w:rPr>
              <w:t>1</w:t>
            </w:r>
            <w:r>
              <w:rPr>
                <w:rFonts w:hint="eastAsia" w:ascii="宋体" w:hAnsi="宋体" w:eastAsia="宋体" w:cs="宋体"/>
                <w:bCs/>
                <w:color w:val="000000" w:themeColor="text1"/>
                <w:highlight w:val="none"/>
                <w:lang w:eastAsia="zh-CN"/>
                <w14:textFill>
                  <w14:solidFill>
                    <w14:schemeClr w14:val="tx1"/>
                  </w14:solidFill>
                </w14:textFill>
              </w:rPr>
              <w:t>）</w:t>
            </w:r>
            <w:r>
              <w:rPr>
                <w:rFonts w:hint="eastAsia" w:cs="Times New Roman"/>
                <w:bCs/>
                <w:color w:val="000000" w:themeColor="text1"/>
                <w:highlight w:val="none"/>
                <w14:textFill>
                  <w14:solidFill>
                    <w14:schemeClr w14:val="tx1"/>
                  </w14:solidFill>
                </w14:textFill>
              </w:rPr>
              <w:t>危险物质数量及临界量比值（</w:t>
            </w:r>
            <w:r>
              <w:rPr>
                <w:rFonts w:cs="Times New Roman"/>
                <w:bCs/>
                <w:color w:val="000000" w:themeColor="text1"/>
                <w:highlight w:val="none"/>
                <w14:textFill>
                  <w14:solidFill>
                    <w14:schemeClr w14:val="tx1"/>
                  </w14:solidFill>
                </w14:textFill>
              </w:rPr>
              <w:t>Q</w:t>
            </w:r>
            <w:r>
              <w:rPr>
                <w:rFonts w:hint="eastAsia" w:cs="Times New Roman"/>
                <w:bCs/>
                <w:color w:val="000000" w:themeColor="text1"/>
                <w:highlight w:val="none"/>
                <w14:textFill>
                  <w14:solidFill>
                    <w14:schemeClr w14:val="tx1"/>
                  </w14:solidFill>
                </w14:textFill>
              </w:rPr>
              <w:t>）</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根据《建设项目环境风险评价技术导则》（</w:t>
            </w:r>
            <w:r>
              <w:rPr>
                <w:color w:val="000000" w:themeColor="text1"/>
                <w:highlight w:val="none"/>
                <w14:textFill>
                  <w14:solidFill>
                    <w14:schemeClr w14:val="tx1"/>
                  </w14:solidFill>
                </w14:textFill>
              </w:rPr>
              <w:t>HJ/T169-2018</w:t>
            </w:r>
            <w:r>
              <w:rPr>
                <w:rFonts w:hint="eastAsia"/>
                <w:color w:val="000000" w:themeColor="text1"/>
                <w:highlight w:val="none"/>
                <w14:textFill>
                  <w14:solidFill>
                    <w14:schemeClr w14:val="tx1"/>
                  </w14:solidFill>
                </w14:textFill>
              </w:rPr>
              <w:t>），计算所涉及的每种危险物质在厂界内的最大存在总量与其附录</w:t>
            </w:r>
            <w:r>
              <w:rPr>
                <w:color w:val="000000" w:themeColor="text1"/>
                <w:highlight w:val="none"/>
                <w14:textFill>
                  <w14:solidFill>
                    <w14:schemeClr w14:val="tx1"/>
                  </w14:solidFill>
                </w14:textFill>
              </w:rPr>
              <w:t>B</w:t>
            </w:r>
            <w:r>
              <w:rPr>
                <w:rFonts w:hint="eastAsia"/>
                <w:color w:val="000000" w:themeColor="text1"/>
                <w:highlight w:val="none"/>
                <w14:textFill>
                  <w14:solidFill>
                    <w14:schemeClr w14:val="tx1"/>
                  </w14:solidFill>
                </w14:textFill>
              </w:rPr>
              <w:t>中对应临界量的比值</w:t>
            </w:r>
            <w:r>
              <w:rPr>
                <w:color w:val="000000" w:themeColor="text1"/>
                <w:highlight w:val="none"/>
                <w14:textFill>
                  <w14:solidFill>
                    <w14:schemeClr w14:val="tx1"/>
                  </w14:solidFill>
                </w14:textFill>
              </w:rPr>
              <w:t>Q</w:t>
            </w:r>
            <w:r>
              <w:rPr>
                <w:rFonts w:hint="eastAsia"/>
                <w:color w:val="000000" w:themeColor="text1"/>
                <w:highlight w:val="none"/>
                <w14:textFill>
                  <w14:solidFill>
                    <w14:schemeClr w14:val="tx1"/>
                  </w14:solidFill>
                </w14:textFill>
              </w:rPr>
              <w:t>。在不同厂区的同一种物质，按其在厂界内的最大存在总量计算。</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当只涉及一种危险物质时，计算该物质的总量与其临界量比值，即为</w:t>
            </w:r>
            <w:r>
              <w:rPr>
                <w:color w:val="000000" w:themeColor="text1"/>
                <w:highlight w:val="none"/>
                <w14:textFill>
                  <w14:solidFill>
                    <w14:schemeClr w14:val="tx1"/>
                  </w14:solidFill>
                </w14:textFill>
              </w:rPr>
              <w:t>Q</w:t>
            </w:r>
            <w:r>
              <w:rPr>
                <w:rFonts w:hint="eastAsia"/>
                <w:color w:val="000000" w:themeColor="text1"/>
                <w:highlight w:val="none"/>
                <w14:textFill>
                  <w14:solidFill>
                    <w14:schemeClr w14:val="tx1"/>
                  </w14:solidFill>
                </w14:textFill>
              </w:rPr>
              <w:t>；</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当存在多种危险物质时，则按照（</w:t>
            </w:r>
            <w:r>
              <w:rPr>
                <w:color w:val="000000" w:themeColor="text1"/>
                <w:highlight w:val="none"/>
                <w14:textFill>
                  <w14:solidFill>
                    <w14:schemeClr w14:val="tx1"/>
                  </w14:solidFill>
                </w14:textFill>
              </w:rPr>
              <w:t>C.1</w:t>
            </w:r>
            <w:r>
              <w:rPr>
                <w:rFonts w:hint="eastAsia"/>
                <w:color w:val="000000" w:themeColor="text1"/>
                <w:highlight w:val="none"/>
                <w14:textFill>
                  <w14:solidFill>
                    <w14:schemeClr w14:val="tx1"/>
                  </w14:solidFill>
                </w14:textFill>
              </w:rPr>
              <w:t>）计算物质总量与其临界量比值</w:t>
            </w:r>
            <w:r>
              <w:rPr>
                <w:color w:val="000000" w:themeColor="text1"/>
                <w:highlight w:val="none"/>
                <w14:textFill>
                  <w14:solidFill>
                    <w14:schemeClr w14:val="tx1"/>
                  </w14:solidFill>
                </w14:textFill>
              </w:rPr>
              <w:t>Q</w:t>
            </w:r>
            <w:r>
              <w:rPr>
                <w:rFonts w:hint="eastAsia"/>
                <w:color w:val="000000" w:themeColor="text1"/>
                <w:highlight w:val="none"/>
                <w14:textFill>
                  <w14:solidFill>
                    <w14:schemeClr w14:val="tx1"/>
                  </w14:solidFill>
                </w14:textFill>
              </w:rPr>
              <w:t>：</w:t>
            </w:r>
          </w:p>
          <w:p>
            <w:pPr>
              <w:pStyle w:val="5"/>
              <w:widowControl w:val="0"/>
              <w:ind w:firstLine="0" w:firstLineChars="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Q=q</w:t>
            </w:r>
            <w:r>
              <w:rPr>
                <w:rFonts w:hint="default" w:ascii="Times New Roman" w:hAnsi="Times New Roman" w:cs="Times New Roman"/>
                <w:color w:val="000000" w:themeColor="text1"/>
                <w:highlight w:val="none"/>
                <w:vertAlign w:val="subscript"/>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vertAlign w:val="subscript"/>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vertAlign w:val="subscript"/>
                <w14:textFill>
                  <w14:solidFill>
                    <w14:schemeClr w14:val="tx1"/>
                  </w14:solidFill>
                </w14:textFill>
              </w:rPr>
              <w:t>n/</w:t>
            </w: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vertAlign w:val="subscript"/>
                <w14:textFill>
                  <w14:solidFill>
                    <w14:schemeClr w14:val="tx1"/>
                  </w14:solidFill>
                </w14:textFill>
              </w:rPr>
              <w:t>n</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式中：</w:t>
            </w:r>
          </w:p>
          <w:p>
            <w:pPr>
              <w:pStyle w:val="5"/>
              <w:widowControl w:val="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vertAlign w:val="subscript"/>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vertAlign w:val="subscript"/>
                <w14:textFill>
                  <w14:solidFill>
                    <w14:schemeClr w14:val="tx1"/>
                  </w14:solidFill>
                </w14:textFill>
              </w:rPr>
              <w:t>n</w:t>
            </w:r>
            <w:r>
              <w:rPr>
                <w:rFonts w:hint="default" w:ascii="Times New Roman" w:hAnsi="Times New Roman" w:cs="Times New Roman"/>
                <w:color w:val="000000" w:themeColor="text1"/>
                <w:highlight w:val="none"/>
                <w14:textFill>
                  <w14:solidFill>
                    <w14:schemeClr w14:val="tx1"/>
                  </w14:solidFill>
                </w14:textFill>
              </w:rPr>
              <w:t>---每种危险物质的最大存在总量，t；</w:t>
            </w:r>
          </w:p>
          <w:p>
            <w:pPr>
              <w:pStyle w:val="5"/>
              <w:widowControl w:val="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vertAlign w:val="subscript"/>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vertAlign w:val="subscript"/>
                <w14:textFill>
                  <w14:solidFill>
                    <w14:schemeClr w14:val="tx1"/>
                  </w14:solidFill>
                </w14:textFill>
              </w:rPr>
              <w:t>n</w:t>
            </w:r>
            <w:r>
              <w:rPr>
                <w:rFonts w:hint="default" w:ascii="Times New Roman" w:hAnsi="Times New Roman" w:cs="Times New Roman"/>
                <w:color w:val="000000" w:themeColor="text1"/>
                <w:highlight w:val="none"/>
                <w14:textFill>
                  <w14:solidFill>
                    <w14:schemeClr w14:val="tx1"/>
                  </w14:solidFill>
                </w14:textFill>
              </w:rPr>
              <w:t xml:space="preserve"> ---每种危险物质的临界量，t。</w:t>
            </w:r>
          </w:p>
          <w:p>
            <w:pPr>
              <w:pStyle w:val="5"/>
              <w:widowControl w:val="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当Q＜1时，该项目环境风险潜势为I。</w:t>
            </w:r>
          </w:p>
          <w:p>
            <w:pPr>
              <w:pStyle w:val="5"/>
              <w:widowControl w:val="0"/>
              <w:ind w:firstLine="480"/>
              <w:rPr>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当Q≥1时，将Q值划分为：（1）1≤Q&lt;10；（2）10≤Q&lt;100；（3）Q≥100。</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根据《建设项目环境风险评价技术导则》（</w:t>
            </w:r>
            <w:r>
              <w:rPr>
                <w:color w:val="000000" w:themeColor="text1"/>
                <w:highlight w:val="none"/>
                <w14:textFill>
                  <w14:solidFill>
                    <w14:schemeClr w14:val="tx1"/>
                  </w14:solidFill>
                </w14:textFill>
              </w:rPr>
              <w:t>HJ169-2018</w:t>
            </w:r>
            <w:r>
              <w:rPr>
                <w:rFonts w:hint="eastAsia"/>
                <w:color w:val="000000" w:themeColor="text1"/>
                <w:highlight w:val="none"/>
                <w14:textFill>
                  <w14:solidFill>
                    <w14:schemeClr w14:val="tx1"/>
                  </w14:solidFill>
                </w14:textFill>
              </w:rPr>
              <w:t>）附录</w:t>
            </w:r>
            <w:r>
              <w:rPr>
                <w:color w:val="000000" w:themeColor="text1"/>
                <w:highlight w:val="none"/>
                <w14:textFill>
                  <w14:solidFill>
                    <w14:schemeClr w14:val="tx1"/>
                  </w14:solidFill>
                </w14:textFill>
              </w:rPr>
              <w:t>B</w:t>
            </w:r>
            <w:r>
              <w:rPr>
                <w:rFonts w:hint="eastAsia"/>
                <w:color w:val="000000" w:themeColor="text1"/>
                <w:highlight w:val="none"/>
                <w14:textFill>
                  <w14:solidFill>
                    <w14:schemeClr w14:val="tx1"/>
                  </w14:solidFill>
                </w14:textFill>
              </w:rPr>
              <w:t>及附录</w:t>
            </w:r>
            <w:r>
              <w:rPr>
                <w:color w:val="000000" w:themeColor="text1"/>
                <w:highlight w:val="none"/>
                <w14:textFill>
                  <w14:solidFill>
                    <w14:schemeClr w14:val="tx1"/>
                  </w14:solidFill>
                </w14:textFill>
              </w:rPr>
              <w:t>C</w:t>
            </w:r>
            <w:r>
              <w:rPr>
                <w:rFonts w:hint="eastAsia"/>
                <w:color w:val="000000" w:themeColor="text1"/>
                <w:highlight w:val="none"/>
                <w14:textFill>
                  <w14:solidFill>
                    <w14:schemeClr w14:val="tx1"/>
                  </w14:solidFill>
                </w14:textFill>
              </w:rPr>
              <w:t>，本项目涉及的风险物质为</w:t>
            </w:r>
            <w:r>
              <w:rPr>
                <w:rFonts w:hint="eastAsia"/>
                <w:color w:val="000000" w:themeColor="text1"/>
                <w:highlight w:val="none"/>
                <w:lang w:val="en-US" w:bidi="zh-CN"/>
                <w14:textFill>
                  <w14:solidFill>
                    <w14:schemeClr w14:val="tx1"/>
                  </w14:solidFill>
                </w14:textFill>
              </w:rPr>
              <w:t>次氯酸钠</w:t>
            </w:r>
            <w:r>
              <w:rPr>
                <w:rFonts w:hint="eastAsia"/>
                <w:color w:val="000000" w:themeColor="text1"/>
                <w:highlight w:val="none"/>
                <w14:textFill>
                  <w14:solidFill>
                    <w14:schemeClr w14:val="tx1"/>
                  </w14:solidFill>
                </w14:textFill>
              </w:rPr>
              <w:t>，</w:t>
            </w:r>
            <w:r>
              <w:rPr>
                <w:rFonts w:hint="eastAsia" w:cs="???-18030"/>
                <w:color w:val="000000" w:themeColor="text1"/>
                <w:highlight w:val="none"/>
                <w14:textFill>
                  <w14:solidFill>
                    <w14:schemeClr w14:val="tx1"/>
                  </w14:solidFill>
                </w14:textFill>
              </w:rPr>
              <w:t>其相关参数详见下表：</w:t>
            </w:r>
          </w:p>
          <w:p>
            <w:pPr>
              <w:pStyle w:val="5"/>
              <w:widowControl w:val="0"/>
              <w:ind w:firstLine="0" w:firstLineChars="0"/>
              <w:jc w:val="center"/>
              <w:rPr>
                <w:b/>
                <w:bCs/>
                <w:color w:val="000000" w:themeColor="text1"/>
                <w:highlight w:val="none"/>
                <w14:textFill>
                  <w14:solidFill>
                    <w14:schemeClr w14:val="tx1"/>
                  </w14:solidFill>
                </w14:textFill>
              </w:rPr>
            </w:pPr>
            <w:bookmarkStart w:id="13" w:name="_Hlk81552311"/>
            <w:r>
              <w:rPr>
                <w:rFonts w:hint="eastAsia"/>
                <w:b/>
                <w:bCs/>
                <w:color w:val="000000" w:themeColor="text1"/>
                <w:highlight w:val="none"/>
                <w14:textFill>
                  <w14:solidFill>
                    <w14:schemeClr w14:val="tx1"/>
                  </w14:solidFill>
                </w14:textFill>
              </w:rPr>
              <w:t>表</w:t>
            </w:r>
            <w:r>
              <w:rPr>
                <w:b/>
                <w:bCs/>
                <w:color w:val="000000" w:themeColor="text1"/>
                <w:highlight w:val="none"/>
                <w14:textFill>
                  <w14:solidFill>
                    <w14:schemeClr w14:val="tx1"/>
                  </w14:solidFill>
                </w14:textFill>
              </w:rPr>
              <w:t>4-</w:t>
            </w:r>
            <w:r>
              <w:rPr>
                <w:rFonts w:hint="eastAsia"/>
                <w:b/>
                <w:bCs/>
                <w:color w:val="000000" w:themeColor="text1"/>
                <w:highlight w:val="none"/>
                <w:lang w:val="en-US" w:eastAsia="zh-CN"/>
                <w14:textFill>
                  <w14:solidFill>
                    <w14:schemeClr w14:val="tx1"/>
                  </w14:solidFill>
                </w14:textFill>
              </w:rPr>
              <w:t>1</w:t>
            </w:r>
            <w:r>
              <w:rPr>
                <w:b/>
                <w:bCs/>
                <w:color w:val="000000" w:themeColor="text1"/>
                <w:highlight w:val="none"/>
                <w14:textFill>
                  <w14:solidFill>
                    <w14:schemeClr w14:val="tx1"/>
                  </w14:solidFill>
                </w14:textFill>
              </w:rPr>
              <w:t xml:space="preserve">2  </w:t>
            </w:r>
            <w:r>
              <w:rPr>
                <w:rFonts w:hint="eastAsia"/>
                <w:b/>
                <w:bCs/>
                <w:color w:val="000000" w:themeColor="text1"/>
                <w:highlight w:val="none"/>
                <w14:textFill>
                  <w14:solidFill>
                    <w14:schemeClr w14:val="tx1"/>
                  </w14:solidFill>
                </w14:textFill>
              </w:rPr>
              <w:t>危险物质数量、临界量及其比值（</w:t>
            </w:r>
            <w:r>
              <w:rPr>
                <w:b/>
                <w:bCs/>
                <w:color w:val="000000" w:themeColor="text1"/>
                <w:highlight w:val="none"/>
                <w14:textFill>
                  <w14:solidFill>
                    <w14:schemeClr w14:val="tx1"/>
                  </w14:solidFill>
                </w14:textFill>
              </w:rPr>
              <w:t>Q</w:t>
            </w:r>
            <w:r>
              <w:rPr>
                <w:rFonts w:hint="eastAsia"/>
                <w:b/>
                <w:bCs/>
                <w:color w:val="000000" w:themeColor="text1"/>
                <w:highlight w:val="none"/>
                <w14:textFill>
                  <w14:solidFill>
                    <w14:schemeClr w14:val="tx1"/>
                  </w14:solidFill>
                </w14:textFill>
              </w:rPr>
              <w:t>）</w:t>
            </w:r>
          </w:p>
          <w:tbl>
            <w:tblPr>
              <w:tblStyle w:val="27"/>
              <w:tblW w:w="4964"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12" w:space="0"/>
              </w:tblBorders>
              <w:tblLayout w:type="fixed"/>
              <w:tblCellMar>
                <w:top w:w="0" w:type="dxa"/>
                <w:left w:w="108" w:type="dxa"/>
                <w:bottom w:w="0" w:type="dxa"/>
                <w:right w:w="108" w:type="dxa"/>
              </w:tblCellMar>
            </w:tblPr>
            <w:tblGrid>
              <w:gridCol w:w="748"/>
              <w:gridCol w:w="2005"/>
              <w:gridCol w:w="1194"/>
              <w:gridCol w:w="2137"/>
              <w:gridCol w:w="1119"/>
              <w:gridCol w:w="1084"/>
              <w:gridCol w:w="90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12" w:space="0"/>
                </w:tblBorders>
                <w:tblCellMar>
                  <w:top w:w="0" w:type="dxa"/>
                  <w:left w:w="108" w:type="dxa"/>
                  <w:bottom w:w="0" w:type="dxa"/>
                  <w:right w:w="108" w:type="dxa"/>
                </w:tblCellMar>
              </w:tblPrEx>
              <w:trPr>
                <w:trHeight w:val="296" w:hRule="atLeast"/>
                <w:jc w:val="center"/>
              </w:trPr>
              <w:tc>
                <w:tcPr>
                  <w:tcW w:w="407" w:type="pct"/>
                  <w:tcBorders>
                    <w:top w:val="single" w:color="auto" w:sz="2" w:space="0"/>
                    <w:left w:val="single" w:color="auto" w:sz="2" w:space="0"/>
                    <w:bottom w:val="single" w:color="auto" w:sz="2" w:space="0"/>
                    <w:right w:val="single" w:color="auto" w:sz="2" w:space="0"/>
                  </w:tcBorders>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序号</w:t>
                  </w:r>
                </w:p>
              </w:tc>
              <w:tc>
                <w:tcPr>
                  <w:tcW w:w="1091" w:type="pct"/>
                  <w:tcBorders>
                    <w:top w:val="single" w:color="auto" w:sz="2" w:space="0"/>
                    <w:left w:val="single" w:color="auto" w:sz="2" w:space="0"/>
                    <w:bottom w:val="single" w:color="auto" w:sz="2" w:space="0"/>
                    <w:right w:val="single" w:color="auto" w:sz="2" w:space="0"/>
                  </w:tcBorders>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危险、有害物质名称</w:t>
                  </w:r>
                </w:p>
              </w:tc>
              <w:tc>
                <w:tcPr>
                  <w:tcW w:w="649" w:type="pct"/>
                  <w:tcBorders>
                    <w:top w:val="single" w:color="auto" w:sz="2" w:space="0"/>
                    <w:left w:val="single" w:color="auto" w:sz="2" w:space="0"/>
                    <w:bottom w:val="single" w:color="auto" w:sz="2" w:space="0"/>
                    <w:right w:val="single" w:color="auto" w:sz="2" w:space="0"/>
                  </w:tcBorders>
                  <w:vAlign w:val="center"/>
                </w:tcPr>
                <w:p>
                  <w:pPr>
                    <w:pStyle w:val="38"/>
                    <w:rPr>
                      <w:b w:val="0"/>
                      <w:bCs w:val="0"/>
                      <w:color w:val="000000" w:themeColor="text1"/>
                      <w:highlight w:val="none"/>
                      <w14:textFill>
                        <w14:solidFill>
                          <w14:schemeClr w14:val="tx1"/>
                        </w14:solidFill>
                      </w14:textFill>
                    </w:rPr>
                  </w:pPr>
                  <w:r>
                    <w:rPr>
                      <w:b w:val="0"/>
                      <w:bCs w:val="0"/>
                      <w:color w:val="000000" w:themeColor="text1"/>
                      <w:highlight w:val="none"/>
                      <w14:textFill>
                        <w14:solidFill>
                          <w14:schemeClr w14:val="tx1"/>
                        </w14:solidFill>
                      </w14:textFill>
                    </w:rPr>
                    <w:t>CAS</w:t>
                  </w:r>
                  <w:r>
                    <w:rPr>
                      <w:rFonts w:hint="eastAsia"/>
                      <w:b w:val="0"/>
                      <w:bCs w:val="0"/>
                      <w:color w:val="000000" w:themeColor="text1"/>
                      <w:highlight w:val="none"/>
                      <w14:textFill>
                        <w14:solidFill>
                          <w14:schemeClr w14:val="tx1"/>
                        </w14:solidFill>
                      </w14:textFill>
                    </w:rPr>
                    <w:t>号</w:t>
                  </w:r>
                </w:p>
              </w:tc>
              <w:tc>
                <w:tcPr>
                  <w:tcW w:w="1162" w:type="pct"/>
                  <w:tcBorders>
                    <w:top w:val="single" w:color="auto" w:sz="2" w:space="0"/>
                    <w:left w:val="single" w:color="auto" w:sz="2" w:space="0"/>
                    <w:bottom w:val="single" w:color="auto" w:sz="2" w:space="0"/>
                    <w:right w:val="single" w:color="auto" w:sz="2" w:space="0"/>
                  </w:tcBorders>
                  <w:vAlign w:val="center"/>
                </w:tcPr>
                <w:p>
                  <w:pPr>
                    <w:pStyle w:val="38"/>
                    <w:rPr>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sz w:val="21"/>
                      <w:szCs w:val="21"/>
                      <w:highlight w:val="none"/>
                      <w:u w:val="none" w:color="auto"/>
                    </w:rPr>
                    <w:t>重大危险源判定</w:t>
                  </w:r>
                </w:p>
              </w:tc>
              <w:tc>
                <w:tcPr>
                  <w:tcW w:w="608" w:type="pct"/>
                  <w:tcBorders>
                    <w:top w:val="single" w:color="auto" w:sz="2" w:space="0"/>
                    <w:left w:val="single" w:color="auto" w:sz="2" w:space="0"/>
                    <w:bottom w:val="single" w:color="auto" w:sz="2" w:space="0"/>
                    <w:right w:val="single" w:color="auto" w:sz="2" w:space="0"/>
                  </w:tcBorders>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最大</w:t>
                  </w:r>
                  <w:r>
                    <w:rPr>
                      <w:rFonts w:hint="eastAsia"/>
                      <w:b w:val="0"/>
                      <w:bCs w:val="0"/>
                      <w:color w:val="000000" w:themeColor="text1"/>
                      <w:highlight w:val="none"/>
                      <w:lang w:val="en-US" w:eastAsia="zh-CN"/>
                      <w14:textFill>
                        <w14:solidFill>
                          <w14:schemeClr w14:val="tx1"/>
                        </w14:solidFill>
                      </w14:textFill>
                    </w:rPr>
                    <w:t>在线</w:t>
                  </w:r>
                  <w:r>
                    <w:rPr>
                      <w:rFonts w:hint="eastAsia"/>
                      <w:b w:val="0"/>
                      <w:bCs w:val="0"/>
                      <w:color w:val="000000" w:themeColor="text1"/>
                      <w:highlight w:val="none"/>
                      <w14:textFill>
                        <w14:solidFill>
                          <w14:schemeClr w14:val="tx1"/>
                        </w14:solidFill>
                      </w14:textFill>
                    </w:rPr>
                    <w:t>量（</w:t>
                  </w:r>
                  <w:r>
                    <w:rPr>
                      <w:b w:val="0"/>
                      <w:bCs w:val="0"/>
                      <w:color w:val="000000" w:themeColor="text1"/>
                      <w:highlight w:val="none"/>
                      <w14:textFill>
                        <w14:solidFill>
                          <w14:schemeClr w14:val="tx1"/>
                        </w14:solidFill>
                      </w14:textFill>
                    </w:rPr>
                    <w:t>t</w:t>
                  </w:r>
                  <w:r>
                    <w:rPr>
                      <w:rFonts w:hint="eastAsia"/>
                      <w:b w:val="0"/>
                      <w:bCs w:val="0"/>
                      <w:color w:val="000000" w:themeColor="text1"/>
                      <w:highlight w:val="none"/>
                      <w14:textFill>
                        <w14:solidFill>
                          <w14:schemeClr w14:val="tx1"/>
                        </w14:solidFill>
                      </w14:textFill>
                    </w:rPr>
                    <w:t>）</w:t>
                  </w:r>
                </w:p>
              </w:tc>
              <w:tc>
                <w:tcPr>
                  <w:tcW w:w="589" w:type="pct"/>
                  <w:tcBorders>
                    <w:top w:val="single" w:color="auto" w:sz="2" w:space="0"/>
                    <w:left w:val="single" w:color="auto" w:sz="2" w:space="0"/>
                    <w:bottom w:val="single" w:color="auto" w:sz="2" w:space="0"/>
                    <w:right w:val="single" w:color="auto" w:sz="2" w:space="0"/>
                  </w:tcBorders>
                  <w:vAlign w:val="center"/>
                </w:tcPr>
                <w:p>
                  <w:pPr>
                    <w:pStyle w:val="38"/>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临界量（</w:t>
                  </w:r>
                  <w:r>
                    <w:rPr>
                      <w:b w:val="0"/>
                      <w:bCs w:val="0"/>
                      <w:color w:val="000000" w:themeColor="text1"/>
                      <w:highlight w:val="none"/>
                      <w14:textFill>
                        <w14:solidFill>
                          <w14:schemeClr w14:val="tx1"/>
                        </w14:solidFill>
                      </w14:textFill>
                    </w:rPr>
                    <w:t>t</w:t>
                  </w:r>
                  <w:r>
                    <w:rPr>
                      <w:rFonts w:hint="eastAsia"/>
                      <w:b w:val="0"/>
                      <w:bCs w:val="0"/>
                      <w:color w:val="000000" w:themeColor="text1"/>
                      <w:highlight w:val="none"/>
                      <w14:textFill>
                        <w14:solidFill>
                          <w14:schemeClr w14:val="tx1"/>
                        </w14:solidFill>
                      </w14:textFill>
                    </w:rPr>
                    <w:t>）</w:t>
                  </w:r>
                </w:p>
              </w:tc>
              <w:tc>
                <w:tcPr>
                  <w:tcW w:w="490" w:type="pct"/>
                  <w:tcBorders>
                    <w:top w:val="single" w:color="auto" w:sz="2" w:space="0"/>
                    <w:left w:val="single" w:color="auto" w:sz="2" w:space="0"/>
                    <w:bottom w:val="single" w:color="auto" w:sz="2" w:space="0"/>
                    <w:right w:val="single" w:color="auto" w:sz="2" w:space="0"/>
                  </w:tcBorders>
                  <w:vAlign w:val="center"/>
                </w:tcPr>
                <w:p>
                  <w:pPr>
                    <w:pStyle w:val="38"/>
                    <w:jc w:val="center"/>
                    <w:rPr>
                      <w:b w:val="0"/>
                      <w:bCs w:val="0"/>
                      <w:color w:val="000000" w:themeColor="text1"/>
                      <w:highlight w:val="none"/>
                      <w14:textFill>
                        <w14:solidFill>
                          <w14:schemeClr w14:val="tx1"/>
                        </w14:solidFill>
                      </w14:textFill>
                    </w:rPr>
                  </w:pPr>
                  <w:r>
                    <w:rPr>
                      <w:b w:val="0"/>
                      <w:bCs w:val="0"/>
                      <w:color w:val="000000" w:themeColor="text1"/>
                      <w:highlight w:val="none"/>
                      <w14:textFill>
                        <w14:solidFill>
                          <w14:schemeClr w14:val="tx1"/>
                        </w14:solidFill>
                      </w14:textFill>
                    </w:rPr>
                    <w:t>Q</w:t>
                  </w:r>
                  <w:r>
                    <w:rPr>
                      <w:rFonts w:hint="eastAsia"/>
                      <w:b w:val="0"/>
                      <w:bCs w:val="0"/>
                      <w:color w:val="000000" w:themeColor="text1"/>
                      <w:highlight w:val="none"/>
                      <w14:textFill>
                        <w14:solidFill>
                          <w14:schemeClr w14:val="tx1"/>
                        </w14:solidFill>
                      </w14:textFill>
                    </w:rPr>
                    <w:t>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12" w:space="0"/>
                </w:tblBorders>
                <w:tblCellMar>
                  <w:top w:w="0" w:type="dxa"/>
                  <w:left w:w="108" w:type="dxa"/>
                  <w:bottom w:w="0" w:type="dxa"/>
                  <w:right w:w="108" w:type="dxa"/>
                </w:tblCellMar>
              </w:tblPrEx>
              <w:trPr>
                <w:trHeight w:val="296" w:hRule="atLeast"/>
                <w:jc w:val="center"/>
              </w:trPr>
              <w:tc>
                <w:tcPr>
                  <w:tcW w:w="407" w:type="pct"/>
                  <w:tcBorders>
                    <w:top w:val="single" w:color="auto" w:sz="2" w:space="0"/>
                    <w:left w:val="single" w:color="auto" w:sz="2" w:space="0"/>
                    <w:bottom w:val="single" w:color="auto" w:sz="2" w:space="0"/>
                    <w:right w:val="single" w:color="auto" w:sz="2" w:space="0"/>
                  </w:tcBorders>
                  <w:vAlign w:val="center"/>
                </w:tcPr>
                <w:p>
                  <w:pPr>
                    <w:pStyle w:val="38"/>
                    <w:rPr>
                      <w:bCs/>
                      <w:color w:val="000000" w:themeColor="text1"/>
                      <w:szCs w:val="20"/>
                      <w:highlight w:val="none"/>
                      <w14:textFill>
                        <w14:solidFill>
                          <w14:schemeClr w14:val="tx1"/>
                        </w14:solidFill>
                      </w14:textFill>
                    </w:rPr>
                  </w:pPr>
                  <w:r>
                    <w:rPr>
                      <w:rFonts w:hint="eastAsia"/>
                      <w:bCs/>
                      <w:color w:val="000000" w:themeColor="text1"/>
                      <w:szCs w:val="20"/>
                      <w:highlight w:val="none"/>
                      <w14:textFill>
                        <w14:solidFill>
                          <w14:schemeClr w14:val="tx1"/>
                        </w14:solidFill>
                      </w14:textFill>
                    </w:rPr>
                    <w:t>1</w:t>
                  </w:r>
                </w:p>
              </w:tc>
              <w:tc>
                <w:tcPr>
                  <w:tcW w:w="1091" w:type="pct"/>
                  <w:tcBorders>
                    <w:top w:val="single" w:color="auto" w:sz="2" w:space="0"/>
                    <w:left w:val="single" w:color="auto" w:sz="2" w:space="0"/>
                    <w:bottom w:val="single" w:color="auto" w:sz="2" w:space="0"/>
                    <w:right w:val="single" w:color="auto" w:sz="2" w:space="0"/>
                  </w:tcBorders>
                  <w:vAlign w:val="center"/>
                </w:tcPr>
                <w:p>
                  <w:pPr>
                    <w:pStyle w:val="3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次氯酸钠</w:t>
                  </w:r>
                </w:p>
              </w:tc>
              <w:tc>
                <w:tcPr>
                  <w:tcW w:w="649" w:type="pct"/>
                  <w:tcBorders>
                    <w:top w:val="single" w:color="auto" w:sz="2" w:space="0"/>
                    <w:left w:val="single" w:color="auto" w:sz="2" w:space="0"/>
                    <w:bottom w:val="single" w:color="auto" w:sz="2" w:space="0"/>
                    <w:right w:val="single" w:color="auto" w:sz="2" w:space="0"/>
                  </w:tcBorders>
                  <w:vAlign w:val="center"/>
                </w:tcPr>
                <w:p>
                  <w:pPr>
                    <w:pStyle w:val="3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7681-52-9</w:t>
                  </w:r>
                </w:p>
              </w:tc>
              <w:tc>
                <w:tcPr>
                  <w:tcW w:w="1162" w:type="pct"/>
                  <w:tcBorders>
                    <w:top w:val="single" w:color="auto" w:sz="2" w:space="0"/>
                    <w:left w:val="single" w:color="auto" w:sz="2" w:space="0"/>
                    <w:bottom w:val="single" w:color="auto" w:sz="2" w:space="0"/>
                    <w:right w:val="single" w:color="auto" w:sz="2" w:space="0"/>
                  </w:tcBorders>
                  <w:vAlign w:val="center"/>
                </w:tcPr>
                <w:p>
                  <w:pPr>
                    <w:pStyle w:val="3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是</w:t>
                  </w:r>
                </w:p>
              </w:tc>
              <w:tc>
                <w:tcPr>
                  <w:tcW w:w="608" w:type="pct"/>
                  <w:tcBorders>
                    <w:top w:val="single" w:color="auto" w:sz="2" w:space="0"/>
                    <w:left w:val="single" w:color="auto" w:sz="2" w:space="0"/>
                    <w:bottom w:val="single" w:color="auto" w:sz="2" w:space="0"/>
                    <w:right w:val="single" w:color="auto" w:sz="2" w:space="0"/>
                  </w:tcBorders>
                  <w:vAlign w:val="center"/>
                </w:tcPr>
                <w:p>
                  <w:pPr>
                    <w:pStyle w:val="38"/>
                    <w:rPr>
                      <w:rFonts w:hint="default" w:eastAsia="宋体"/>
                      <w:bCs/>
                      <w:color w:val="000000" w:themeColor="text1"/>
                      <w:szCs w:val="20"/>
                      <w:highlight w:val="none"/>
                      <w:lang w:val="en-US" w:eastAsia="zh-CN"/>
                      <w14:textFill>
                        <w14:solidFill>
                          <w14:schemeClr w14:val="tx1"/>
                        </w14:solidFill>
                      </w14:textFill>
                    </w:rPr>
                  </w:pPr>
                  <w:r>
                    <w:rPr>
                      <w:rFonts w:hint="eastAsia"/>
                      <w:bCs/>
                      <w:color w:val="000000" w:themeColor="text1"/>
                      <w:szCs w:val="20"/>
                      <w:highlight w:val="none"/>
                      <w:lang w:val="en-US" w:eastAsia="zh-CN"/>
                      <w14:textFill>
                        <w14:solidFill>
                          <w14:schemeClr w14:val="tx1"/>
                        </w14:solidFill>
                      </w14:textFill>
                    </w:rPr>
                    <w:t>0.1</w:t>
                  </w:r>
                </w:p>
              </w:tc>
              <w:tc>
                <w:tcPr>
                  <w:tcW w:w="589" w:type="pct"/>
                  <w:tcBorders>
                    <w:top w:val="single" w:color="auto" w:sz="2" w:space="0"/>
                    <w:left w:val="single" w:color="auto" w:sz="2" w:space="0"/>
                    <w:bottom w:val="single" w:color="auto" w:sz="2" w:space="0"/>
                    <w:right w:val="single" w:color="auto" w:sz="2" w:space="0"/>
                  </w:tcBorders>
                  <w:vAlign w:val="center"/>
                </w:tcPr>
                <w:p>
                  <w:pPr>
                    <w:pStyle w:val="38"/>
                    <w:rPr>
                      <w:rFonts w:hint="eastAsia" w:eastAsia="宋体"/>
                      <w:bCs/>
                      <w:color w:val="000000" w:themeColor="text1"/>
                      <w:szCs w:val="20"/>
                      <w:highlight w:val="none"/>
                      <w:lang w:eastAsia="zh-CN"/>
                      <w14:textFill>
                        <w14:solidFill>
                          <w14:schemeClr w14:val="tx1"/>
                        </w14:solidFill>
                      </w14:textFill>
                    </w:rPr>
                  </w:pPr>
                  <w:r>
                    <w:rPr>
                      <w:rFonts w:hint="eastAsia"/>
                      <w:bCs/>
                      <w:color w:val="000000" w:themeColor="text1"/>
                      <w:szCs w:val="20"/>
                      <w:highlight w:val="none"/>
                      <w:lang w:val="en-US" w:eastAsia="zh-CN"/>
                      <w14:textFill>
                        <w14:solidFill>
                          <w14:schemeClr w14:val="tx1"/>
                        </w14:solidFill>
                      </w14:textFill>
                    </w:rPr>
                    <w:t>5</w:t>
                  </w:r>
                </w:p>
              </w:tc>
              <w:tc>
                <w:tcPr>
                  <w:tcW w:w="490" w:type="pct"/>
                  <w:tcBorders>
                    <w:top w:val="single" w:color="auto" w:sz="2" w:space="0"/>
                    <w:left w:val="single" w:color="auto" w:sz="2" w:space="0"/>
                    <w:bottom w:val="single" w:color="auto" w:sz="2" w:space="0"/>
                    <w:right w:val="single" w:color="auto" w:sz="2" w:space="0"/>
                  </w:tcBorders>
                  <w:vAlign w:val="center"/>
                </w:tcPr>
                <w:p>
                  <w:pPr>
                    <w:pStyle w:val="38"/>
                    <w:jc w:val="center"/>
                    <w:rPr>
                      <w:rFonts w:hint="default" w:eastAsia="宋体"/>
                      <w:bCs/>
                      <w:color w:val="000000" w:themeColor="text1"/>
                      <w:szCs w:val="20"/>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12" w:space="0"/>
                </w:tblBorders>
                <w:tblCellMar>
                  <w:top w:w="0" w:type="dxa"/>
                  <w:left w:w="108" w:type="dxa"/>
                  <w:bottom w:w="0" w:type="dxa"/>
                  <w:right w:w="108" w:type="dxa"/>
                </w:tblCellMar>
              </w:tblPrEx>
              <w:trPr>
                <w:trHeight w:val="296" w:hRule="atLeast"/>
                <w:jc w:val="center"/>
              </w:trPr>
              <w:tc>
                <w:tcPr>
                  <w:tcW w:w="407" w:type="pct"/>
                  <w:tcBorders>
                    <w:top w:val="single" w:color="auto" w:sz="2" w:space="0"/>
                    <w:left w:val="single" w:color="auto" w:sz="2" w:space="0"/>
                    <w:bottom w:val="single" w:color="auto" w:sz="2" w:space="0"/>
                    <w:right w:val="single" w:color="auto" w:sz="2" w:space="0"/>
                  </w:tcBorders>
                  <w:vAlign w:val="center"/>
                </w:tcPr>
                <w:p>
                  <w:pPr>
                    <w:pStyle w:val="38"/>
                    <w:rPr>
                      <w:rFonts w:hint="eastAsia" w:eastAsia="宋体"/>
                      <w:bCs/>
                      <w:color w:val="000000" w:themeColor="text1"/>
                      <w:szCs w:val="20"/>
                      <w:highlight w:val="none"/>
                      <w:lang w:val="en-US" w:eastAsia="zh-CN"/>
                      <w14:textFill>
                        <w14:solidFill>
                          <w14:schemeClr w14:val="tx1"/>
                        </w14:solidFill>
                      </w14:textFill>
                    </w:rPr>
                  </w:pPr>
                  <w:r>
                    <w:rPr>
                      <w:rFonts w:hint="eastAsia"/>
                      <w:bCs/>
                      <w:color w:val="000000" w:themeColor="text1"/>
                      <w:szCs w:val="20"/>
                      <w:highlight w:val="none"/>
                      <w:lang w:val="en-US" w:eastAsia="zh-CN"/>
                      <w14:textFill>
                        <w14:solidFill>
                          <w14:schemeClr w14:val="tx1"/>
                        </w14:solidFill>
                      </w14:textFill>
                    </w:rPr>
                    <w:t>2</w:t>
                  </w:r>
                </w:p>
              </w:tc>
              <w:tc>
                <w:tcPr>
                  <w:tcW w:w="1091" w:type="pct"/>
                  <w:tcBorders>
                    <w:top w:val="single" w:color="auto" w:sz="2" w:space="0"/>
                    <w:left w:val="single" w:color="auto" w:sz="2" w:space="0"/>
                    <w:bottom w:val="single" w:color="auto" w:sz="2" w:space="0"/>
                    <w:right w:val="single" w:color="auto" w:sz="2" w:space="0"/>
                  </w:tcBorders>
                  <w:vAlign w:val="center"/>
                </w:tcPr>
                <w:p>
                  <w:pPr>
                    <w:pStyle w:val="3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备用柴油</w:t>
                  </w:r>
                </w:p>
              </w:tc>
              <w:tc>
                <w:tcPr>
                  <w:tcW w:w="649" w:type="pct"/>
                  <w:tcBorders>
                    <w:top w:val="single" w:color="auto" w:sz="2" w:space="0"/>
                    <w:left w:val="single" w:color="auto" w:sz="2" w:space="0"/>
                    <w:bottom w:val="single" w:color="auto" w:sz="2" w:space="0"/>
                    <w:right w:val="single" w:color="auto" w:sz="2" w:space="0"/>
                  </w:tcBorders>
                  <w:vAlign w:val="center"/>
                </w:tcPr>
                <w:p>
                  <w:pPr>
                    <w:pStyle w:val="3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162" w:type="pct"/>
                  <w:vMerge w:val="restart"/>
                  <w:tcBorders>
                    <w:top w:val="single" w:color="auto" w:sz="2" w:space="0"/>
                    <w:left w:val="single" w:color="auto" w:sz="2" w:space="0"/>
                    <w:right w:val="single" w:color="auto" w:sz="2" w:space="0"/>
                  </w:tcBorders>
                  <w:vAlign w:val="center"/>
                </w:tcPr>
                <w:p>
                  <w:pPr>
                    <w:pStyle w:val="3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油类物质（矿物油类、如石油、汽油、柴油等；生物柴油等）</w:t>
                  </w:r>
                </w:p>
              </w:tc>
              <w:tc>
                <w:tcPr>
                  <w:tcW w:w="608" w:type="pct"/>
                  <w:tcBorders>
                    <w:top w:val="single" w:color="auto" w:sz="2" w:space="0"/>
                    <w:left w:val="single" w:color="auto" w:sz="2" w:space="0"/>
                    <w:bottom w:val="single" w:color="auto" w:sz="2" w:space="0"/>
                    <w:right w:val="single" w:color="auto" w:sz="2" w:space="0"/>
                  </w:tcBorders>
                  <w:vAlign w:val="center"/>
                </w:tcPr>
                <w:p>
                  <w:pPr>
                    <w:pStyle w:val="38"/>
                    <w:rPr>
                      <w:rFonts w:hint="default"/>
                      <w:bCs/>
                      <w:color w:val="000000" w:themeColor="text1"/>
                      <w:szCs w:val="20"/>
                      <w:highlight w:val="none"/>
                      <w:lang w:val="en-US" w:eastAsia="zh-CN"/>
                      <w14:textFill>
                        <w14:solidFill>
                          <w14:schemeClr w14:val="tx1"/>
                        </w14:solidFill>
                      </w14:textFill>
                    </w:rPr>
                  </w:pPr>
                  <w:r>
                    <w:rPr>
                      <w:rFonts w:hint="eastAsia"/>
                      <w:bCs/>
                      <w:color w:val="000000" w:themeColor="text1"/>
                      <w:szCs w:val="20"/>
                      <w:highlight w:val="none"/>
                      <w:lang w:val="en-US" w:eastAsia="zh-CN"/>
                      <w14:textFill>
                        <w14:solidFill>
                          <w14:schemeClr w14:val="tx1"/>
                        </w14:solidFill>
                      </w14:textFill>
                    </w:rPr>
                    <w:t>0.5</w:t>
                  </w:r>
                </w:p>
              </w:tc>
              <w:tc>
                <w:tcPr>
                  <w:tcW w:w="589" w:type="pct"/>
                  <w:tcBorders>
                    <w:top w:val="single" w:color="auto" w:sz="2" w:space="0"/>
                    <w:left w:val="single" w:color="auto" w:sz="2" w:space="0"/>
                    <w:bottom w:val="single" w:color="auto" w:sz="2" w:space="0"/>
                    <w:right w:val="single" w:color="auto" w:sz="2" w:space="0"/>
                  </w:tcBorders>
                  <w:vAlign w:val="center"/>
                </w:tcPr>
                <w:p>
                  <w:pPr>
                    <w:pStyle w:val="38"/>
                    <w:rPr>
                      <w:rFonts w:hint="default"/>
                      <w:bCs/>
                      <w:color w:val="000000" w:themeColor="text1"/>
                      <w:szCs w:val="20"/>
                      <w:highlight w:val="none"/>
                      <w:lang w:val="en-US" w:eastAsia="zh-CN"/>
                      <w14:textFill>
                        <w14:solidFill>
                          <w14:schemeClr w14:val="tx1"/>
                        </w14:solidFill>
                      </w14:textFill>
                    </w:rPr>
                  </w:pPr>
                  <w:r>
                    <w:rPr>
                      <w:rFonts w:hint="eastAsia"/>
                      <w:bCs/>
                      <w:color w:val="000000" w:themeColor="text1"/>
                      <w:szCs w:val="20"/>
                      <w:highlight w:val="none"/>
                      <w:lang w:val="en-US" w:eastAsia="zh-CN"/>
                      <w14:textFill>
                        <w14:solidFill>
                          <w14:schemeClr w14:val="tx1"/>
                        </w14:solidFill>
                      </w14:textFill>
                    </w:rPr>
                    <w:t>2500</w:t>
                  </w:r>
                </w:p>
              </w:tc>
              <w:tc>
                <w:tcPr>
                  <w:tcW w:w="490" w:type="pct"/>
                  <w:tcBorders>
                    <w:top w:val="single" w:color="auto" w:sz="2" w:space="0"/>
                    <w:left w:val="single" w:color="auto" w:sz="2" w:space="0"/>
                    <w:bottom w:val="single" w:color="auto" w:sz="2" w:space="0"/>
                    <w:right w:val="single" w:color="auto" w:sz="2" w:space="0"/>
                  </w:tcBorders>
                  <w:vAlign w:val="center"/>
                </w:tcPr>
                <w:p>
                  <w:pPr>
                    <w:pStyle w:val="38"/>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12" w:space="0"/>
                </w:tblBorders>
                <w:tblCellMar>
                  <w:top w:w="0" w:type="dxa"/>
                  <w:left w:w="108" w:type="dxa"/>
                  <w:bottom w:w="0" w:type="dxa"/>
                  <w:right w:w="108" w:type="dxa"/>
                </w:tblCellMar>
              </w:tblPrEx>
              <w:trPr>
                <w:trHeight w:val="296" w:hRule="atLeast"/>
                <w:jc w:val="center"/>
              </w:trPr>
              <w:tc>
                <w:tcPr>
                  <w:tcW w:w="407" w:type="pct"/>
                  <w:tcBorders>
                    <w:top w:val="single" w:color="auto" w:sz="2" w:space="0"/>
                    <w:left w:val="single" w:color="auto" w:sz="2" w:space="0"/>
                    <w:bottom w:val="single" w:color="auto" w:sz="2" w:space="0"/>
                    <w:right w:val="single" w:color="auto" w:sz="2" w:space="0"/>
                  </w:tcBorders>
                  <w:vAlign w:val="center"/>
                </w:tcPr>
                <w:p>
                  <w:pPr>
                    <w:pStyle w:val="38"/>
                    <w:rPr>
                      <w:rFonts w:hint="eastAsia" w:eastAsia="宋体"/>
                      <w:bCs/>
                      <w:color w:val="000000" w:themeColor="text1"/>
                      <w:szCs w:val="20"/>
                      <w:highlight w:val="none"/>
                      <w:lang w:val="en-US" w:eastAsia="zh-CN"/>
                      <w14:textFill>
                        <w14:solidFill>
                          <w14:schemeClr w14:val="tx1"/>
                        </w14:solidFill>
                      </w14:textFill>
                    </w:rPr>
                  </w:pPr>
                  <w:r>
                    <w:rPr>
                      <w:rFonts w:hint="eastAsia"/>
                      <w:bCs/>
                      <w:color w:val="000000" w:themeColor="text1"/>
                      <w:szCs w:val="20"/>
                      <w:highlight w:val="none"/>
                      <w:lang w:val="en-US" w:eastAsia="zh-CN"/>
                      <w14:textFill>
                        <w14:solidFill>
                          <w14:schemeClr w14:val="tx1"/>
                        </w14:solidFill>
                      </w14:textFill>
                    </w:rPr>
                    <w:t>3</w:t>
                  </w:r>
                </w:p>
              </w:tc>
              <w:tc>
                <w:tcPr>
                  <w:tcW w:w="1091" w:type="pct"/>
                  <w:tcBorders>
                    <w:top w:val="single" w:color="auto" w:sz="2" w:space="0"/>
                    <w:left w:val="single" w:color="auto" w:sz="2" w:space="0"/>
                    <w:bottom w:val="single" w:color="auto" w:sz="2" w:space="0"/>
                    <w:right w:val="single" w:color="auto" w:sz="2" w:space="0"/>
                  </w:tcBorders>
                  <w:vAlign w:val="center"/>
                </w:tcPr>
                <w:p>
                  <w:pPr>
                    <w:pStyle w:val="3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废机油</w:t>
                  </w:r>
                </w:p>
              </w:tc>
              <w:tc>
                <w:tcPr>
                  <w:tcW w:w="649" w:type="pct"/>
                  <w:tcBorders>
                    <w:top w:val="single" w:color="auto" w:sz="2" w:space="0"/>
                    <w:left w:val="single" w:color="auto" w:sz="2" w:space="0"/>
                    <w:bottom w:val="single" w:color="auto" w:sz="2" w:space="0"/>
                    <w:right w:val="single" w:color="auto" w:sz="2" w:space="0"/>
                  </w:tcBorders>
                  <w:vAlign w:val="center"/>
                </w:tcPr>
                <w:p>
                  <w:pPr>
                    <w:pStyle w:val="3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162" w:type="pct"/>
                  <w:vMerge w:val="continue"/>
                  <w:tcBorders>
                    <w:left w:val="single" w:color="auto" w:sz="2" w:space="0"/>
                    <w:right w:val="single" w:color="auto" w:sz="2" w:space="0"/>
                  </w:tcBorders>
                  <w:vAlign w:val="center"/>
                </w:tcPr>
                <w:p>
                  <w:pPr>
                    <w:pStyle w:val="38"/>
                    <w:rPr>
                      <w:rFonts w:hint="default" w:eastAsia="宋体"/>
                      <w:color w:val="000000" w:themeColor="text1"/>
                      <w:highlight w:val="none"/>
                      <w:lang w:val="en-US" w:eastAsia="zh-CN"/>
                      <w14:textFill>
                        <w14:solidFill>
                          <w14:schemeClr w14:val="tx1"/>
                        </w14:solidFill>
                      </w14:textFill>
                    </w:rPr>
                  </w:pPr>
                </w:p>
              </w:tc>
              <w:tc>
                <w:tcPr>
                  <w:tcW w:w="608" w:type="pct"/>
                  <w:tcBorders>
                    <w:top w:val="single" w:color="auto" w:sz="2" w:space="0"/>
                    <w:left w:val="single" w:color="auto" w:sz="2" w:space="0"/>
                    <w:bottom w:val="single" w:color="auto" w:sz="2" w:space="0"/>
                    <w:right w:val="single" w:color="auto" w:sz="2" w:space="0"/>
                  </w:tcBorders>
                  <w:vAlign w:val="center"/>
                </w:tcPr>
                <w:p>
                  <w:pPr>
                    <w:pStyle w:val="38"/>
                    <w:rPr>
                      <w:rFonts w:hint="default"/>
                      <w:bCs/>
                      <w:color w:val="000000" w:themeColor="text1"/>
                      <w:szCs w:val="20"/>
                      <w:highlight w:val="none"/>
                      <w:lang w:val="en-US" w:eastAsia="zh-CN"/>
                      <w14:textFill>
                        <w14:solidFill>
                          <w14:schemeClr w14:val="tx1"/>
                        </w14:solidFill>
                      </w14:textFill>
                    </w:rPr>
                  </w:pPr>
                  <w:r>
                    <w:rPr>
                      <w:rFonts w:hint="eastAsia"/>
                      <w:bCs/>
                      <w:color w:val="000000" w:themeColor="text1"/>
                      <w:szCs w:val="20"/>
                      <w:highlight w:val="none"/>
                      <w:lang w:val="en-US" w:eastAsia="zh-CN"/>
                      <w14:textFill>
                        <w14:solidFill>
                          <w14:schemeClr w14:val="tx1"/>
                        </w14:solidFill>
                      </w14:textFill>
                    </w:rPr>
                    <w:t>0.1</w:t>
                  </w:r>
                </w:p>
              </w:tc>
              <w:tc>
                <w:tcPr>
                  <w:tcW w:w="589" w:type="pct"/>
                  <w:tcBorders>
                    <w:top w:val="single" w:color="auto" w:sz="2" w:space="0"/>
                    <w:left w:val="single" w:color="auto" w:sz="2" w:space="0"/>
                    <w:bottom w:val="single" w:color="auto" w:sz="2" w:space="0"/>
                    <w:right w:val="single" w:color="auto" w:sz="2" w:space="0"/>
                  </w:tcBorders>
                  <w:vAlign w:val="center"/>
                </w:tcPr>
                <w:p>
                  <w:pPr>
                    <w:pStyle w:val="38"/>
                    <w:rPr>
                      <w:rFonts w:hint="default"/>
                      <w:bCs/>
                      <w:color w:val="000000" w:themeColor="text1"/>
                      <w:szCs w:val="20"/>
                      <w:highlight w:val="none"/>
                      <w:lang w:val="en-US" w:eastAsia="zh-CN"/>
                      <w14:textFill>
                        <w14:solidFill>
                          <w14:schemeClr w14:val="tx1"/>
                        </w14:solidFill>
                      </w14:textFill>
                    </w:rPr>
                  </w:pPr>
                  <w:r>
                    <w:rPr>
                      <w:rFonts w:hint="eastAsia"/>
                      <w:bCs/>
                      <w:color w:val="000000" w:themeColor="text1"/>
                      <w:szCs w:val="20"/>
                      <w:highlight w:val="none"/>
                      <w:lang w:val="en-US" w:eastAsia="zh-CN"/>
                      <w14:textFill>
                        <w14:solidFill>
                          <w14:schemeClr w14:val="tx1"/>
                        </w14:solidFill>
                      </w14:textFill>
                    </w:rPr>
                    <w:t>2500</w:t>
                  </w:r>
                </w:p>
              </w:tc>
              <w:tc>
                <w:tcPr>
                  <w:tcW w:w="490" w:type="pct"/>
                  <w:tcBorders>
                    <w:top w:val="single" w:color="auto" w:sz="2" w:space="0"/>
                    <w:left w:val="single" w:color="auto" w:sz="2" w:space="0"/>
                    <w:bottom w:val="single" w:color="auto" w:sz="2" w:space="0"/>
                    <w:right w:val="single" w:color="auto" w:sz="2" w:space="0"/>
                  </w:tcBorders>
                  <w:vAlign w:val="center"/>
                </w:tcPr>
                <w:p>
                  <w:pPr>
                    <w:pStyle w:val="38"/>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0.00004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12" w:space="0"/>
                </w:tblBorders>
                <w:tblCellMar>
                  <w:top w:w="0" w:type="dxa"/>
                  <w:left w:w="108" w:type="dxa"/>
                  <w:bottom w:w="0" w:type="dxa"/>
                  <w:right w:w="108" w:type="dxa"/>
                </w:tblCellMar>
              </w:tblPrEx>
              <w:trPr>
                <w:trHeight w:val="233" w:hRule="atLeast"/>
                <w:jc w:val="center"/>
              </w:trPr>
              <w:tc>
                <w:tcPr>
                  <w:tcW w:w="407" w:type="pct"/>
                  <w:tcBorders>
                    <w:top w:val="single" w:color="auto" w:sz="2" w:space="0"/>
                    <w:left w:val="single" w:color="auto" w:sz="2" w:space="0"/>
                    <w:bottom w:val="single" w:color="auto" w:sz="2" w:space="0"/>
                    <w:right w:val="single" w:color="auto" w:sz="2" w:space="0"/>
                  </w:tcBorders>
                  <w:vAlign w:val="center"/>
                </w:tcPr>
                <w:p>
                  <w:pPr>
                    <w:pStyle w:val="38"/>
                    <w:rPr>
                      <w:rFonts w:hint="default"/>
                      <w:bCs/>
                      <w:color w:val="000000" w:themeColor="text1"/>
                      <w:szCs w:val="20"/>
                      <w:highlight w:val="none"/>
                      <w:lang w:val="en-US" w:eastAsia="zh-CN"/>
                      <w14:textFill>
                        <w14:solidFill>
                          <w14:schemeClr w14:val="tx1"/>
                        </w14:solidFill>
                      </w14:textFill>
                    </w:rPr>
                  </w:pPr>
                  <w:r>
                    <w:rPr>
                      <w:rFonts w:hint="eastAsia"/>
                      <w:bCs/>
                      <w:color w:val="000000" w:themeColor="text1"/>
                      <w:szCs w:val="20"/>
                      <w:highlight w:val="none"/>
                      <w:lang w:val="en-US" w:eastAsia="zh-CN"/>
                      <w14:textFill>
                        <w14:solidFill>
                          <w14:schemeClr w14:val="tx1"/>
                        </w14:solidFill>
                      </w14:textFill>
                    </w:rPr>
                    <w:t>4</w:t>
                  </w:r>
                </w:p>
              </w:tc>
              <w:tc>
                <w:tcPr>
                  <w:tcW w:w="1091" w:type="pct"/>
                  <w:tcBorders>
                    <w:top w:val="single" w:color="auto" w:sz="2" w:space="0"/>
                    <w:left w:val="single" w:color="auto" w:sz="2" w:space="0"/>
                    <w:bottom w:val="single" w:color="auto" w:sz="2" w:space="0"/>
                    <w:right w:val="single" w:color="auto" w:sz="2" w:space="0"/>
                  </w:tcBorders>
                  <w:vAlign w:val="center"/>
                </w:tcPr>
                <w:p>
                  <w:pPr>
                    <w:pStyle w:val="3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废机油桶</w:t>
                  </w:r>
                </w:p>
              </w:tc>
              <w:tc>
                <w:tcPr>
                  <w:tcW w:w="649" w:type="pct"/>
                  <w:tcBorders>
                    <w:top w:val="single" w:color="auto" w:sz="2" w:space="0"/>
                    <w:left w:val="single" w:color="auto" w:sz="2" w:space="0"/>
                    <w:bottom w:val="single" w:color="auto" w:sz="2" w:space="0"/>
                    <w:right w:val="single" w:color="auto" w:sz="2" w:space="0"/>
                  </w:tcBorders>
                  <w:vAlign w:val="center"/>
                </w:tcPr>
                <w:p>
                  <w:pPr>
                    <w:pStyle w:val="3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162" w:type="pct"/>
                  <w:tcBorders>
                    <w:left w:val="single" w:color="auto" w:sz="2" w:space="0"/>
                    <w:bottom w:val="single" w:color="auto" w:sz="2" w:space="0"/>
                    <w:right w:val="single" w:color="auto" w:sz="2" w:space="0"/>
                  </w:tcBorders>
                  <w:vAlign w:val="center"/>
                </w:tcPr>
                <w:p>
                  <w:pPr>
                    <w:pStyle w:val="3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健康危害急性毒性物质（类别2、类别3）</w:t>
                  </w:r>
                </w:p>
              </w:tc>
              <w:tc>
                <w:tcPr>
                  <w:tcW w:w="608" w:type="pct"/>
                  <w:tcBorders>
                    <w:top w:val="single" w:color="auto" w:sz="2" w:space="0"/>
                    <w:left w:val="single" w:color="auto" w:sz="2" w:space="0"/>
                    <w:bottom w:val="single" w:color="auto" w:sz="2" w:space="0"/>
                    <w:right w:val="single" w:color="auto" w:sz="2" w:space="0"/>
                  </w:tcBorders>
                  <w:vAlign w:val="center"/>
                </w:tcPr>
                <w:p>
                  <w:pPr>
                    <w:pStyle w:val="38"/>
                    <w:rPr>
                      <w:rFonts w:hint="default"/>
                      <w:bCs/>
                      <w:color w:val="000000" w:themeColor="text1"/>
                      <w:szCs w:val="20"/>
                      <w:highlight w:val="none"/>
                      <w:lang w:val="en-US" w:eastAsia="zh-CN"/>
                      <w14:textFill>
                        <w14:solidFill>
                          <w14:schemeClr w14:val="tx1"/>
                        </w14:solidFill>
                      </w14:textFill>
                    </w:rPr>
                  </w:pPr>
                  <w:r>
                    <w:rPr>
                      <w:rFonts w:hint="eastAsia"/>
                      <w:bCs/>
                      <w:color w:val="000000" w:themeColor="text1"/>
                      <w:szCs w:val="20"/>
                      <w:highlight w:val="none"/>
                      <w:lang w:val="en-US" w:eastAsia="zh-CN"/>
                      <w14:textFill>
                        <w14:solidFill>
                          <w14:schemeClr w14:val="tx1"/>
                        </w14:solidFill>
                      </w14:textFill>
                    </w:rPr>
                    <w:t>0.01</w:t>
                  </w:r>
                </w:p>
              </w:tc>
              <w:tc>
                <w:tcPr>
                  <w:tcW w:w="589" w:type="pct"/>
                  <w:tcBorders>
                    <w:top w:val="single" w:color="auto" w:sz="2" w:space="0"/>
                    <w:left w:val="single" w:color="auto" w:sz="2" w:space="0"/>
                    <w:bottom w:val="single" w:color="auto" w:sz="2" w:space="0"/>
                    <w:right w:val="single" w:color="auto" w:sz="2" w:space="0"/>
                  </w:tcBorders>
                  <w:vAlign w:val="center"/>
                </w:tcPr>
                <w:p>
                  <w:pPr>
                    <w:pStyle w:val="38"/>
                    <w:rPr>
                      <w:rFonts w:hint="default"/>
                      <w:bCs/>
                      <w:color w:val="000000" w:themeColor="text1"/>
                      <w:szCs w:val="20"/>
                      <w:highlight w:val="none"/>
                      <w:lang w:val="en-US" w:eastAsia="zh-CN"/>
                      <w14:textFill>
                        <w14:solidFill>
                          <w14:schemeClr w14:val="tx1"/>
                        </w14:solidFill>
                      </w14:textFill>
                    </w:rPr>
                  </w:pPr>
                  <w:r>
                    <w:rPr>
                      <w:rFonts w:hint="eastAsia"/>
                      <w:bCs/>
                      <w:color w:val="000000" w:themeColor="text1"/>
                      <w:szCs w:val="20"/>
                      <w:highlight w:val="none"/>
                      <w:lang w:val="en-US" w:eastAsia="zh-CN"/>
                      <w14:textFill>
                        <w14:solidFill>
                          <w14:schemeClr w14:val="tx1"/>
                        </w14:solidFill>
                      </w14:textFill>
                    </w:rPr>
                    <w:t>50</w:t>
                  </w:r>
                </w:p>
              </w:tc>
              <w:tc>
                <w:tcPr>
                  <w:tcW w:w="490" w:type="pct"/>
                  <w:tcBorders>
                    <w:top w:val="single" w:color="auto" w:sz="2" w:space="0"/>
                    <w:left w:val="single" w:color="auto" w:sz="2" w:space="0"/>
                    <w:bottom w:val="single" w:color="auto" w:sz="2" w:space="0"/>
                    <w:right w:val="single" w:color="auto" w:sz="2" w:space="0"/>
                  </w:tcBorders>
                  <w:vAlign w:val="center"/>
                </w:tcPr>
                <w:p>
                  <w:pPr>
                    <w:pStyle w:val="38"/>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12" w:space="0"/>
                </w:tblBorders>
                <w:tblCellMar>
                  <w:top w:w="0" w:type="dxa"/>
                  <w:left w:w="108" w:type="dxa"/>
                  <w:bottom w:w="0" w:type="dxa"/>
                  <w:right w:w="108" w:type="dxa"/>
                </w:tblCellMar>
              </w:tblPrEx>
              <w:trPr>
                <w:trHeight w:val="296" w:hRule="atLeast"/>
                <w:jc w:val="center"/>
              </w:trPr>
              <w:tc>
                <w:tcPr>
                  <w:tcW w:w="4509" w:type="pct"/>
                  <w:gridSpan w:val="6"/>
                  <w:tcBorders>
                    <w:top w:val="single" w:color="auto" w:sz="2" w:space="0"/>
                    <w:left w:val="single" w:color="auto" w:sz="2" w:space="0"/>
                    <w:bottom w:val="single" w:color="auto" w:sz="2" w:space="0"/>
                    <w:right w:val="single" w:color="auto" w:sz="2" w:space="0"/>
                  </w:tcBorders>
                  <w:vAlign w:val="center"/>
                </w:tcPr>
                <w:p>
                  <w:pPr>
                    <w:pStyle w:val="3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合计</w:t>
                  </w:r>
                </w:p>
              </w:tc>
              <w:tc>
                <w:tcPr>
                  <w:tcW w:w="490" w:type="pct"/>
                  <w:tcBorders>
                    <w:top w:val="single" w:color="auto" w:sz="2" w:space="0"/>
                    <w:left w:val="single" w:color="auto" w:sz="2" w:space="0"/>
                    <w:bottom w:val="single" w:color="auto" w:sz="2" w:space="0"/>
                    <w:right w:val="single" w:color="auto" w:sz="2" w:space="0"/>
                  </w:tcBorders>
                  <w:vAlign w:val="center"/>
                </w:tcPr>
                <w:p>
                  <w:pPr>
                    <w:pStyle w:val="38"/>
                    <w:rPr>
                      <w:rFonts w:hint="default" w:eastAsia="宋体"/>
                      <w:color w:val="000000" w:themeColor="text1"/>
                      <w:highlight w:val="none"/>
                      <w:lang w:val="en-US" w:eastAsia="zh-CN"/>
                      <w14:textFill>
                        <w14:solidFill>
                          <w14:schemeClr w14:val="tx1"/>
                        </w14:solidFill>
                      </w14:textFill>
                    </w:rPr>
                  </w:pPr>
                  <w:r>
                    <w:rPr>
                      <w:rFonts w:hint="eastAsia"/>
                      <w:bCs/>
                      <w:color w:val="000000" w:themeColor="text1"/>
                      <w:szCs w:val="20"/>
                      <w:highlight w:val="none"/>
                      <w:lang w:val="en-US" w:eastAsia="zh-CN"/>
                      <w14:textFill>
                        <w14:solidFill>
                          <w14:schemeClr w14:val="tx1"/>
                        </w14:solidFill>
                      </w14:textFill>
                    </w:rPr>
                    <w:t>0.02044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12" w:space="0"/>
                </w:tblBorders>
                <w:tblCellMar>
                  <w:top w:w="0" w:type="dxa"/>
                  <w:left w:w="108" w:type="dxa"/>
                  <w:bottom w:w="0" w:type="dxa"/>
                  <w:right w:w="108" w:type="dxa"/>
                </w:tblCellMar>
              </w:tblPrEx>
              <w:trPr>
                <w:trHeight w:val="236" w:hRule="atLeast"/>
                <w:jc w:val="center"/>
              </w:trPr>
              <w:tc>
                <w:tcPr>
                  <w:tcW w:w="407" w:type="pct"/>
                  <w:tcBorders>
                    <w:top w:val="single" w:color="auto" w:sz="2" w:space="0"/>
                    <w:left w:val="single" w:color="auto" w:sz="2" w:space="0"/>
                    <w:bottom w:val="single" w:color="auto" w:sz="2" w:space="0"/>
                    <w:right w:val="single" w:color="auto" w:sz="2" w:space="0"/>
                  </w:tcBorders>
                  <w:vAlign w:val="center"/>
                </w:tcPr>
                <w:p>
                  <w:pPr>
                    <w:pStyle w:val="3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注</w:t>
                  </w:r>
                </w:p>
              </w:tc>
              <w:tc>
                <w:tcPr>
                  <w:tcW w:w="4592" w:type="pct"/>
                  <w:gridSpan w:val="6"/>
                  <w:tcBorders>
                    <w:top w:val="single" w:color="auto" w:sz="2" w:space="0"/>
                    <w:left w:val="single" w:color="auto" w:sz="2" w:space="0"/>
                    <w:bottom w:val="single" w:color="auto" w:sz="2" w:space="0"/>
                    <w:right w:val="single" w:color="auto" w:sz="2" w:space="0"/>
                  </w:tcBorders>
                  <w:vAlign w:val="center"/>
                </w:tcPr>
                <w:p>
                  <w:pPr>
                    <w:pStyle w:val="3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当</w:t>
                  </w:r>
                  <w:r>
                    <w:rPr>
                      <w:color w:val="000000" w:themeColor="text1"/>
                      <w:highlight w:val="none"/>
                      <w14:textFill>
                        <w14:solidFill>
                          <w14:schemeClr w14:val="tx1"/>
                        </w14:solidFill>
                      </w14:textFill>
                    </w:rPr>
                    <w:t>Q</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，该项目环境风险潜势为Ⅰ。</w:t>
                  </w:r>
                </w:p>
                <w:p>
                  <w:pPr>
                    <w:pStyle w:val="3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当</w:t>
                  </w:r>
                  <w:r>
                    <w:rPr>
                      <w:color w:val="000000" w:themeColor="text1"/>
                      <w:highlight w:val="none"/>
                      <w14:textFill>
                        <w14:solidFill>
                          <w14:schemeClr w14:val="tx1"/>
                        </w14:solidFill>
                      </w14:textFill>
                    </w:rPr>
                    <w:t>Q</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时，将</w:t>
                  </w:r>
                  <w:r>
                    <w:rPr>
                      <w:color w:val="000000" w:themeColor="text1"/>
                      <w:highlight w:val="none"/>
                      <w14:textFill>
                        <w14:solidFill>
                          <w14:schemeClr w14:val="tx1"/>
                        </w14:solidFill>
                      </w14:textFill>
                    </w:rPr>
                    <w:t>Q</w:t>
                  </w:r>
                  <w:r>
                    <w:rPr>
                      <w:rFonts w:hint="eastAsia"/>
                      <w:color w:val="000000" w:themeColor="text1"/>
                      <w:highlight w:val="none"/>
                      <w14:textFill>
                        <w14:solidFill>
                          <w14:schemeClr w14:val="tx1"/>
                        </w14:solidFill>
                      </w14:textFill>
                    </w:rPr>
                    <w:t>值划分为：（</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）1≤Q＜</w:t>
                  </w:r>
                  <w:r>
                    <w:rPr>
                      <w:color w:val="000000" w:themeColor="text1"/>
                      <w:highlight w:val="none"/>
                      <w14:textFill>
                        <w14:solidFill>
                          <w14:schemeClr w14:val="tx1"/>
                        </w14:solidFill>
                      </w14:textFill>
                    </w:rPr>
                    <w:t>10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）10≤Q＜</w:t>
                  </w:r>
                  <w:r>
                    <w:rPr>
                      <w:color w:val="000000" w:themeColor="text1"/>
                      <w:highlight w:val="none"/>
                      <w14:textFill>
                        <w14:solidFill>
                          <w14:schemeClr w14:val="tx1"/>
                        </w14:solidFill>
                      </w14:textFill>
                    </w:rPr>
                    <w:t>100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）Q≥100。</w:t>
                  </w:r>
                </w:p>
              </w:tc>
            </w:tr>
            <w:bookmarkEnd w:id="13"/>
          </w:tbl>
          <w:p>
            <w:pPr>
              <w:pStyle w:val="5"/>
              <w:widowControl w:val="0"/>
              <w:ind w:firstLine="480"/>
              <w:rPr>
                <w:rFonts w:hint="eastAsia"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项目</w:t>
            </w:r>
            <w:r>
              <w:rPr>
                <w:rFonts w:cs="Times New Roman"/>
                <w:bCs/>
                <w:color w:val="000000" w:themeColor="text1"/>
                <w:highlight w:val="none"/>
                <w14:textFill>
                  <w14:solidFill>
                    <w14:schemeClr w14:val="tx1"/>
                  </w14:solidFill>
                </w14:textFill>
              </w:rPr>
              <w:t>Q=0.</w:t>
            </w:r>
            <w:r>
              <w:rPr>
                <w:rFonts w:hint="eastAsia" w:cs="Times New Roman"/>
                <w:bCs/>
                <w:color w:val="000000" w:themeColor="text1"/>
                <w:highlight w:val="none"/>
                <w:lang w:val="en-US" w:eastAsia="zh-CN"/>
                <w14:textFill>
                  <w14:solidFill>
                    <w14:schemeClr w14:val="tx1"/>
                  </w14:solidFill>
                </w14:textFill>
              </w:rPr>
              <w:t>1</w:t>
            </w:r>
            <w:r>
              <w:rPr>
                <w:rFonts w:cs="Times New Roman"/>
                <w:bCs/>
                <w:color w:val="000000" w:themeColor="text1"/>
                <w:highlight w:val="none"/>
                <w14:textFill>
                  <w14:solidFill>
                    <w14:schemeClr w14:val="tx1"/>
                  </w14:solidFill>
                </w14:textFill>
              </w:rPr>
              <w:t>&lt;1</w:t>
            </w:r>
            <w:r>
              <w:rPr>
                <w:rFonts w:hint="eastAsia" w:cs="Times New Roman"/>
                <w:bCs/>
                <w:color w:val="000000" w:themeColor="text1"/>
                <w:highlight w:val="none"/>
                <w14:textFill>
                  <w14:solidFill>
                    <w14:schemeClr w14:val="tx1"/>
                  </w14:solidFill>
                </w14:textFill>
              </w:rPr>
              <w:t>，该环节风险潜势为</w:t>
            </w:r>
            <w:r>
              <w:rPr>
                <w:rFonts w:cs="Times New Roman"/>
                <w:bCs/>
                <w:color w:val="000000" w:themeColor="text1"/>
                <w:highlight w:val="none"/>
                <w14:textFill>
                  <w14:solidFill>
                    <w14:schemeClr w14:val="tx1"/>
                  </w14:solidFill>
                </w14:textFill>
              </w:rPr>
              <w:t>I</w:t>
            </w:r>
            <w:r>
              <w:rPr>
                <w:rFonts w:hint="eastAsia" w:cs="Times New Roman"/>
                <w:bCs/>
                <w:color w:val="000000" w:themeColor="text1"/>
                <w:highlight w:val="none"/>
                <w14:textFill>
                  <w14:solidFill>
                    <w14:schemeClr w14:val="tx1"/>
                  </w14:solidFill>
                </w14:textFill>
              </w:rPr>
              <w:t>，仅对环境风险进行简单分析。</w:t>
            </w:r>
          </w:p>
          <w:p>
            <w:pPr>
              <w:keepNext w:val="0"/>
              <w:keepLines w:val="0"/>
              <w:widowControl/>
              <w:suppressLineNumbers w:val="0"/>
              <w:jc w:val="center"/>
              <w:rPr>
                <w:rFonts w:hint="default" w:ascii="Times New Roman" w:hAnsi="Times New Roman" w:eastAsia="宋体" w:cs="Times New Roman"/>
                <w:b/>
                <w:bCs/>
                <w:color w:val="000000"/>
                <w:kern w:val="0"/>
                <w:sz w:val="21"/>
                <w:szCs w:val="21"/>
                <w:highlight w:val="none"/>
                <w:u w:val="none" w:color="auto"/>
                <w:lang w:val="en-US" w:eastAsia="zh-CN" w:bidi="ar"/>
              </w:rPr>
            </w:pPr>
            <w:r>
              <w:rPr>
                <w:rFonts w:hint="default" w:ascii="Times New Roman" w:hAnsi="Times New Roman" w:eastAsia="宋体" w:cs="Times New Roman"/>
                <w:b/>
                <w:bCs/>
                <w:color w:val="000000"/>
                <w:kern w:val="0"/>
                <w:sz w:val="21"/>
                <w:szCs w:val="21"/>
                <w:highlight w:val="none"/>
                <w:u w:val="none" w:color="auto"/>
                <w:lang w:val="en-US" w:eastAsia="zh-CN" w:bidi="ar"/>
              </w:rPr>
              <w:t>表 4-1</w:t>
            </w:r>
            <w:r>
              <w:rPr>
                <w:rFonts w:hint="eastAsia" w:ascii="Times New Roman" w:hAnsi="Times New Roman" w:cs="Times New Roman"/>
                <w:b/>
                <w:bCs/>
                <w:color w:val="000000"/>
                <w:kern w:val="0"/>
                <w:sz w:val="21"/>
                <w:szCs w:val="21"/>
                <w:highlight w:val="none"/>
                <w:u w:val="none" w:color="auto"/>
                <w:lang w:val="en-US" w:eastAsia="zh-CN" w:bidi="ar"/>
              </w:rPr>
              <w:t>5</w:t>
            </w:r>
            <w:r>
              <w:rPr>
                <w:rFonts w:hint="default" w:ascii="Times New Roman" w:hAnsi="Times New Roman" w:eastAsia="宋体" w:cs="Times New Roman"/>
                <w:b/>
                <w:bCs/>
                <w:color w:val="000000"/>
                <w:kern w:val="0"/>
                <w:sz w:val="21"/>
                <w:szCs w:val="21"/>
                <w:highlight w:val="none"/>
                <w:u w:val="none" w:color="auto"/>
                <w:lang w:val="en-US" w:eastAsia="zh-CN" w:bidi="ar"/>
              </w:rPr>
              <w:t xml:space="preserve"> 建设项目环境风险简单分析内容表</w:t>
            </w:r>
          </w:p>
          <w:tbl>
            <w:tblPr>
              <w:tblStyle w:val="28"/>
              <w:tblW w:w="88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5"/>
              <w:gridCol w:w="6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5" w:type="dxa"/>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建设项目名称</w:t>
                  </w:r>
                </w:p>
              </w:tc>
              <w:tc>
                <w:tcPr>
                  <w:tcW w:w="6852" w:type="dxa"/>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sz w:val="21"/>
                      <w:szCs w:val="21"/>
                      <w:highlight w:val="none"/>
                      <w:u w:val="none" w:color="auto"/>
                      <w:lang w:val="en-US" w:eastAsia="zh-CN"/>
                    </w:rPr>
                    <w:t>临湘市忠防镇木形片区集中供水工程（一期）项目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5" w:type="dxa"/>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建设地点</w:t>
                  </w:r>
                </w:p>
              </w:tc>
              <w:tc>
                <w:tcPr>
                  <w:tcW w:w="6852" w:type="dxa"/>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sz w:val="21"/>
                      <w:szCs w:val="21"/>
                      <w:highlight w:val="none"/>
                      <w:u w:val="none" w:color="auto"/>
                      <w:lang w:eastAsia="zh-CN"/>
                    </w:rPr>
                    <w:t>临湘市忠防镇木形村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5" w:type="dxa"/>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地理坐标</w:t>
                  </w:r>
                </w:p>
              </w:tc>
              <w:tc>
                <w:tcPr>
                  <w:tcW w:w="6852" w:type="dxa"/>
                  <w:tcBorders>
                    <w:tl2br w:val="nil"/>
                    <w:tr2bl w:val="nil"/>
                  </w:tcBorders>
                  <w:noWrap w:val="0"/>
                  <w:vAlign w:val="center"/>
                </w:tcPr>
                <w:p>
                  <w:pPr>
                    <w:pStyle w:val="37"/>
                    <w:widowControl w:val="0"/>
                    <w:spacing w:line="36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水厂：</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东经</w:t>
                  </w:r>
                  <w:r>
                    <w:rPr>
                      <w:rFonts w:hint="default" w:ascii="Times New Roman" w:hAnsi="Times New Roman" w:cs="Times New Roman"/>
                      <w:color w:val="000000" w:themeColor="text1"/>
                      <w:sz w:val="21"/>
                      <w:szCs w:val="21"/>
                      <w:highlight w:val="none"/>
                      <w14:textFill>
                        <w14:solidFill>
                          <w14:schemeClr w14:val="tx1"/>
                        </w14:solidFill>
                      </w14:textFill>
                    </w:rPr>
                    <w:t xml:space="preserve">： 113 度 </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31</w:t>
                  </w:r>
                  <w:r>
                    <w:rPr>
                      <w:rFonts w:hint="default" w:ascii="Times New Roman" w:hAnsi="Times New Roman" w:cs="Times New Roman"/>
                      <w:color w:val="000000" w:themeColor="text1"/>
                      <w:sz w:val="21"/>
                      <w:szCs w:val="21"/>
                      <w:highlight w:val="none"/>
                      <w14:textFill>
                        <w14:solidFill>
                          <w14:schemeClr w14:val="tx1"/>
                        </w14:solidFill>
                      </w14:textFill>
                    </w:rPr>
                    <w:t xml:space="preserve"> 分 </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49.624</w:t>
                  </w:r>
                  <w:r>
                    <w:rPr>
                      <w:rFonts w:hint="default" w:ascii="Times New Roman" w:hAnsi="Times New Roman" w:cs="Times New Roman"/>
                      <w:color w:val="000000" w:themeColor="text1"/>
                      <w:sz w:val="21"/>
                      <w:szCs w:val="21"/>
                      <w:highlight w:val="none"/>
                      <w14:textFill>
                        <w14:solidFill>
                          <w14:schemeClr w14:val="tx1"/>
                        </w14:solidFill>
                      </w14:textFill>
                    </w:rPr>
                    <w:t xml:space="preserve"> 秒，</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北纬</w:t>
                  </w:r>
                  <w:r>
                    <w:rPr>
                      <w:rFonts w:hint="default" w:ascii="Times New Roman" w:hAnsi="Times New Roman" w:cs="Times New Roman"/>
                      <w:color w:val="000000" w:themeColor="text1"/>
                      <w:sz w:val="21"/>
                      <w:szCs w:val="21"/>
                      <w:highlight w:val="none"/>
                      <w14:textFill>
                        <w14:solidFill>
                          <w14:schemeClr w14:val="tx1"/>
                        </w14:solidFill>
                      </w14:textFill>
                    </w:rPr>
                    <w:t xml:space="preserve">： </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29</w:t>
                  </w:r>
                  <w:r>
                    <w:rPr>
                      <w:rFonts w:hint="default" w:ascii="Times New Roman" w:hAnsi="Times New Roman" w:cs="Times New Roman"/>
                      <w:color w:val="000000" w:themeColor="text1"/>
                      <w:sz w:val="21"/>
                      <w:szCs w:val="21"/>
                      <w:highlight w:val="none"/>
                      <w14:textFill>
                        <w14:solidFill>
                          <w14:schemeClr w14:val="tx1"/>
                        </w14:solidFill>
                      </w14:textFill>
                    </w:rPr>
                    <w:t xml:space="preserve"> 度 </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22</w:t>
                  </w:r>
                  <w:r>
                    <w:rPr>
                      <w:rFonts w:hint="default" w:ascii="Times New Roman" w:hAnsi="Times New Roman" w:cs="Times New Roman"/>
                      <w:color w:val="000000" w:themeColor="text1"/>
                      <w:sz w:val="21"/>
                      <w:szCs w:val="21"/>
                      <w:highlight w:val="none"/>
                      <w14:textFill>
                        <w14:solidFill>
                          <w14:schemeClr w14:val="tx1"/>
                        </w14:solidFill>
                      </w14:textFill>
                    </w:rPr>
                    <w:t xml:space="preserve"> 分 </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50.518</w:t>
                  </w:r>
                  <w:r>
                    <w:rPr>
                      <w:rFonts w:hint="default" w:ascii="Times New Roman" w:hAnsi="Times New Roman" w:cs="Times New Roman"/>
                      <w:color w:val="000000" w:themeColor="text1"/>
                      <w:sz w:val="21"/>
                      <w:szCs w:val="21"/>
                      <w:highlight w:val="none"/>
                      <w14:textFill>
                        <w14:solidFill>
                          <w14:schemeClr w14:val="tx1"/>
                        </w14:solidFill>
                      </w14:textFill>
                    </w:rPr>
                    <w:t xml:space="preserve"> 秒</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000000" w:themeColor="text1"/>
                      <w:sz w:val="21"/>
                      <w:szCs w:val="21"/>
                      <w:highlight w:val="none"/>
                      <w:lang w:val="en-US" w:eastAsia="zh-CN"/>
                      <w14:textFill>
                        <w14:solidFill>
                          <w14:schemeClr w14:val="tx1"/>
                        </w14:solidFill>
                      </w14:textFill>
                    </w:rPr>
                    <w:t>管理区：</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东经</w:t>
                  </w:r>
                  <w:r>
                    <w:rPr>
                      <w:rFonts w:hint="default" w:ascii="Times New Roman" w:hAnsi="Times New Roman" w:cs="Times New Roman"/>
                      <w:color w:val="000000" w:themeColor="text1"/>
                      <w:sz w:val="21"/>
                      <w:szCs w:val="21"/>
                      <w:highlight w:val="none"/>
                      <w14:textFill>
                        <w14:solidFill>
                          <w14:schemeClr w14:val="tx1"/>
                        </w14:solidFill>
                      </w14:textFill>
                    </w:rPr>
                    <w:t xml:space="preserve">： 113 度 </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31</w:t>
                  </w:r>
                  <w:r>
                    <w:rPr>
                      <w:rFonts w:hint="default" w:ascii="Times New Roman" w:hAnsi="Times New Roman" w:cs="Times New Roman"/>
                      <w:color w:val="000000" w:themeColor="text1"/>
                      <w:sz w:val="21"/>
                      <w:szCs w:val="21"/>
                      <w:highlight w:val="none"/>
                      <w14:textFill>
                        <w14:solidFill>
                          <w14:schemeClr w14:val="tx1"/>
                        </w14:solidFill>
                      </w14:textFill>
                    </w:rPr>
                    <w:t xml:space="preserve"> 分 </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49.064</w:t>
                  </w:r>
                  <w:r>
                    <w:rPr>
                      <w:rFonts w:hint="default" w:ascii="Times New Roman" w:hAnsi="Times New Roman" w:cs="Times New Roman"/>
                      <w:color w:val="000000" w:themeColor="text1"/>
                      <w:sz w:val="21"/>
                      <w:szCs w:val="21"/>
                      <w:highlight w:val="none"/>
                      <w14:textFill>
                        <w14:solidFill>
                          <w14:schemeClr w14:val="tx1"/>
                        </w14:solidFill>
                      </w14:textFill>
                    </w:rPr>
                    <w:t xml:space="preserve"> 秒，</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北纬</w:t>
                  </w:r>
                  <w:r>
                    <w:rPr>
                      <w:rFonts w:hint="default" w:ascii="Times New Roman" w:hAnsi="Times New Roman" w:cs="Times New Roman"/>
                      <w:color w:val="000000" w:themeColor="text1"/>
                      <w:sz w:val="21"/>
                      <w:szCs w:val="21"/>
                      <w:highlight w:val="none"/>
                      <w14:textFill>
                        <w14:solidFill>
                          <w14:schemeClr w14:val="tx1"/>
                        </w14:solidFill>
                      </w14:textFill>
                    </w:rPr>
                    <w:t xml:space="preserve">： </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29</w:t>
                  </w:r>
                  <w:r>
                    <w:rPr>
                      <w:rFonts w:hint="default" w:ascii="Times New Roman" w:hAnsi="Times New Roman" w:cs="Times New Roman"/>
                      <w:color w:val="000000" w:themeColor="text1"/>
                      <w:sz w:val="21"/>
                      <w:szCs w:val="21"/>
                      <w:highlight w:val="none"/>
                      <w14:textFill>
                        <w14:solidFill>
                          <w14:schemeClr w14:val="tx1"/>
                        </w14:solidFill>
                      </w14:textFill>
                    </w:rPr>
                    <w:t xml:space="preserve"> 度 </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22</w:t>
                  </w:r>
                  <w:r>
                    <w:rPr>
                      <w:rFonts w:hint="default" w:ascii="Times New Roman" w:hAnsi="Times New Roman" w:cs="Times New Roman"/>
                      <w:color w:val="000000" w:themeColor="text1"/>
                      <w:sz w:val="21"/>
                      <w:szCs w:val="21"/>
                      <w:highlight w:val="none"/>
                      <w14:textFill>
                        <w14:solidFill>
                          <w14:schemeClr w14:val="tx1"/>
                        </w14:solidFill>
                      </w14:textFill>
                    </w:rPr>
                    <w:t xml:space="preserve"> 分 </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54.187</w:t>
                  </w:r>
                  <w:r>
                    <w:rPr>
                      <w:rFonts w:hint="default" w:ascii="Times New Roman" w:hAnsi="Times New Roman" w:cs="Times New Roman"/>
                      <w:color w:val="000000" w:themeColor="text1"/>
                      <w:sz w:val="21"/>
                      <w:szCs w:val="21"/>
                      <w:highlight w:val="none"/>
                      <w14:textFill>
                        <w14:solidFill>
                          <w14:schemeClr w14:val="tx1"/>
                        </w14:solidFill>
                      </w14:textFill>
                    </w:rPr>
                    <w:t xml:space="preserve"> 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5" w:type="dxa"/>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环境影响途径及危害后果</w:t>
                  </w:r>
                </w:p>
              </w:tc>
              <w:tc>
                <w:tcPr>
                  <w:tcW w:w="6852" w:type="dxa"/>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次氯酸钠溶液因操作不当</w:t>
                  </w:r>
                  <w:r>
                    <w:rPr>
                      <w:rFonts w:hint="default" w:ascii="Times New Roman" w:hAnsi="Times New Roman" w:eastAsia="宋体" w:cs="Times New Roman"/>
                      <w:color w:val="auto"/>
                      <w:sz w:val="21"/>
                      <w:szCs w:val="21"/>
                      <w:highlight w:val="none"/>
                      <w:u w:val="none" w:color="auto"/>
                      <w:lang w:val="en-US" w:eastAsia="zh-CN"/>
                    </w:rPr>
                    <w:t>或设施没有</w:t>
                  </w:r>
                  <w:r>
                    <w:rPr>
                      <w:rFonts w:hint="eastAsia" w:cs="Times New Roman"/>
                      <w:color w:val="auto"/>
                      <w:sz w:val="21"/>
                      <w:szCs w:val="21"/>
                      <w:highlight w:val="none"/>
                      <w:u w:val="none" w:color="auto"/>
                      <w:lang w:val="en-US" w:eastAsia="zh-CN"/>
                    </w:rPr>
                    <w:t>及时</w:t>
                  </w:r>
                  <w:r>
                    <w:rPr>
                      <w:rFonts w:hint="default" w:ascii="Times New Roman" w:hAnsi="Times New Roman" w:eastAsia="宋体" w:cs="Times New Roman"/>
                      <w:color w:val="auto"/>
                      <w:sz w:val="21"/>
                      <w:szCs w:val="21"/>
                      <w:highlight w:val="none"/>
                      <w:u w:val="none" w:color="auto"/>
                      <w:lang w:val="en-US" w:eastAsia="zh-CN"/>
                    </w:rPr>
                    <w:t>维护</w:t>
                  </w:r>
                  <w:r>
                    <w:rPr>
                      <w:rFonts w:hint="eastAsia" w:cs="Times New Roman"/>
                      <w:color w:val="auto"/>
                      <w:sz w:val="21"/>
                      <w:szCs w:val="21"/>
                      <w:highlight w:val="none"/>
                      <w:u w:val="none" w:color="auto"/>
                      <w:lang w:val="en-US" w:eastAsia="zh-CN"/>
                    </w:rPr>
                    <w:t>而破损导致的泄漏对地下水和土壤造成污染；危险废物因储存不当或容器破损导致泄漏对地下水和土壤造成污染；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5" w:type="dxa"/>
                  <w:tcBorders>
                    <w:tl2br w:val="nil"/>
                    <w:tr2bl w:val="nil"/>
                  </w:tcBorders>
                  <w:noWrap w:val="0"/>
                  <w:vAlign w:val="center"/>
                </w:tcPr>
                <w:p>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风险防范措施要求</w:t>
                  </w:r>
                </w:p>
              </w:tc>
              <w:tc>
                <w:tcPr>
                  <w:tcW w:w="6852" w:type="dxa"/>
                  <w:tcBorders>
                    <w:tl2br w:val="nil"/>
                    <w:tr2bl w:val="nil"/>
                  </w:tcBorders>
                  <w:noWrap w:val="0"/>
                  <w:vAlign w:val="center"/>
                </w:tcPr>
                <w:p>
                  <w:pPr>
                    <w:spacing w:line="240" w:lineRule="auto"/>
                    <w:jc w:val="both"/>
                    <w:rPr>
                      <w:rFonts w:hint="eastAsia"/>
                      <w:sz w:val="21"/>
                      <w:szCs w:val="21"/>
                      <w:highlight w:val="none"/>
                    </w:rPr>
                  </w:pPr>
                  <w:r>
                    <w:rPr>
                      <w:rFonts w:hint="eastAsia"/>
                      <w:sz w:val="21"/>
                      <w:szCs w:val="21"/>
                      <w:highlight w:val="none"/>
                    </w:rPr>
                    <w:t>①加药间设置严格的管理制度，配备消防、防盗、通风等防护设施，</w:t>
                  </w:r>
                </w:p>
                <w:p>
                  <w:pPr>
                    <w:spacing w:line="240" w:lineRule="auto"/>
                    <w:jc w:val="both"/>
                    <w:rPr>
                      <w:sz w:val="21"/>
                      <w:szCs w:val="21"/>
                      <w:highlight w:val="none"/>
                    </w:rPr>
                  </w:pPr>
                  <w:r>
                    <w:rPr>
                      <w:rFonts w:hint="eastAsia"/>
                      <w:sz w:val="21"/>
                      <w:szCs w:val="21"/>
                      <w:highlight w:val="none"/>
                    </w:rPr>
                    <w:t>严禁烟火，地面做好基础的防渗、防潮、防漏处理</w:t>
                  </w:r>
                  <w:r>
                    <w:rPr>
                      <w:sz w:val="21"/>
                      <w:szCs w:val="21"/>
                      <w:highlight w:val="none"/>
                    </w:rPr>
                    <w:t>。</w:t>
                  </w:r>
                </w:p>
                <w:p>
                  <w:pPr>
                    <w:spacing w:line="240" w:lineRule="auto"/>
                    <w:jc w:val="both"/>
                    <w:rPr>
                      <w:sz w:val="21"/>
                      <w:szCs w:val="21"/>
                      <w:highlight w:val="none"/>
                    </w:rPr>
                  </w:pPr>
                  <w:r>
                    <w:rPr>
                      <w:rFonts w:hint="eastAsia"/>
                      <w:sz w:val="21"/>
                      <w:szCs w:val="21"/>
                      <w:highlight w:val="none"/>
                    </w:rPr>
                    <w:t>②生产时应注意加药管道、接口等部位的密闭性，避免泄漏</w:t>
                  </w:r>
                  <w:r>
                    <w:rPr>
                      <w:sz w:val="21"/>
                      <w:szCs w:val="21"/>
                      <w:highlight w:val="none"/>
                    </w:rPr>
                    <w:t>。</w:t>
                  </w:r>
                </w:p>
                <w:p>
                  <w:pPr>
                    <w:spacing w:line="240" w:lineRule="auto"/>
                    <w:jc w:val="both"/>
                    <w:rPr>
                      <w:rFonts w:hint="eastAsia"/>
                      <w:sz w:val="21"/>
                      <w:szCs w:val="21"/>
                      <w:highlight w:val="none"/>
                    </w:rPr>
                  </w:pPr>
                  <w:r>
                    <w:rPr>
                      <w:rFonts w:hint="eastAsia"/>
                      <w:sz w:val="21"/>
                      <w:szCs w:val="21"/>
                      <w:highlight w:val="none"/>
                    </w:rPr>
                    <w:t>③加药间设置惰性吸附材料吸附剂，若发生泄漏，采用惰性吸附材</w:t>
                  </w:r>
                </w:p>
                <w:p>
                  <w:pPr>
                    <w:spacing w:line="240" w:lineRule="auto"/>
                    <w:jc w:val="both"/>
                    <w:rPr>
                      <w:sz w:val="21"/>
                      <w:szCs w:val="21"/>
                      <w:highlight w:val="none"/>
                    </w:rPr>
                  </w:pPr>
                  <w:r>
                    <w:rPr>
                      <w:rFonts w:hint="eastAsia"/>
                      <w:sz w:val="21"/>
                      <w:szCs w:val="21"/>
                      <w:highlight w:val="none"/>
                    </w:rPr>
                    <w:t>料吸附剂吸附，并放入封闭的容器中，作为危废处理</w:t>
                  </w:r>
                  <w:r>
                    <w:rPr>
                      <w:sz w:val="21"/>
                      <w:szCs w:val="21"/>
                      <w:highlight w:val="none"/>
                    </w:rPr>
                    <w:t>。</w:t>
                  </w:r>
                </w:p>
                <w:p>
                  <w:pPr>
                    <w:spacing w:line="240" w:lineRule="auto"/>
                    <w:jc w:val="both"/>
                    <w:rPr>
                      <w:rFonts w:hint="eastAsia"/>
                      <w:sz w:val="21"/>
                      <w:szCs w:val="21"/>
                      <w:highlight w:val="none"/>
                    </w:rPr>
                  </w:pPr>
                  <w:r>
                    <w:rPr>
                      <w:rFonts w:hint="eastAsia"/>
                      <w:sz w:val="21"/>
                      <w:szCs w:val="21"/>
                      <w:highlight w:val="none"/>
                    </w:rPr>
                    <w:t>④加强员工教育，指定安全操作规章流程，加强违章操作处罚力度，使</w:t>
                  </w:r>
                </w:p>
                <w:p>
                  <w:pPr>
                    <w:spacing w:line="240" w:lineRule="auto"/>
                    <w:jc w:val="both"/>
                    <w:rPr>
                      <w:rFonts w:hint="eastAsia"/>
                      <w:sz w:val="21"/>
                      <w:szCs w:val="21"/>
                      <w:highlight w:val="none"/>
                    </w:rPr>
                  </w:pPr>
                  <w:r>
                    <w:rPr>
                      <w:rFonts w:hint="eastAsia"/>
                      <w:sz w:val="21"/>
                      <w:szCs w:val="21"/>
                      <w:highlight w:val="none"/>
                    </w:rPr>
                    <w:t>员工严格按照规章制度安全操作。</w:t>
                  </w:r>
                </w:p>
                <w:p>
                  <w:pPr>
                    <w:spacing w:line="240" w:lineRule="auto"/>
                    <w:jc w:val="both"/>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rPr>
                    <w:t>⑤</w:t>
                  </w:r>
                  <w:r>
                    <w:rPr>
                      <w:rFonts w:hint="eastAsia" w:ascii="宋体" w:hAnsi="宋体" w:eastAsia="宋体" w:cs="宋体"/>
                      <w:sz w:val="21"/>
                      <w:szCs w:val="21"/>
                      <w:highlight w:val="none"/>
                      <w:lang w:val="en-US" w:eastAsia="zh-CN"/>
                    </w:rPr>
                    <w:t>危废间地面按要求做好防渗、防漏措施，地面建设导流沟或围堰；不定期对危废间进行巡视检查等。</w:t>
                  </w:r>
                </w:p>
                <w:p>
                  <w:pPr>
                    <w:pStyle w:val="2"/>
                    <w:spacing w:line="240" w:lineRule="auto"/>
                    <w:jc w:val="both"/>
                    <w:rPr>
                      <w:rFonts w:hint="eastAsia" w:eastAsia="宋体"/>
                      <w:lang w:val="en-US" w:eastAsia="zh-CN"/>
                    </w:rPr>
                  </w:pPr>
                  <w:r>
                    <w:rPr>
                      <w:rFonts w:hint="eastAsia" w:ascii="宋体" w:hAnsi="宋体" w:eastAsia="宋体" w:cs="宋体"/>
                      <w:lang w:val="en-US" w:eastAsia="zh-CN"/>
                    </w:rPr>
                    <w:t>⑥</w:t>
                  </w:r>
                  <w:r>
                    <w:rPr>
                      <w:rFonts w:hint="eastAsia" w:cs="宋体"/>
                      <w:sz w:val="21"/>
                      <w:szCs w:val="21"/>
                      <w:highlight w:val="none"/>
                      <w:lang w:val="en-US" w:eastAsia="zh-CN"/>
                    </w:rPr>
                    <w:t>发电机房设置吸油毯、消防沙等吸附材料，</w:t>
                  </w:r>
                  <w:r>
                    <w:rPr>
                      <w:rFonts w:hint="eastAsia"/>
                      <w:sz w:val="21"/>
                      <w:szCs w:val="21"/>
                      <w:highlight w:val="none"/>
                    </w:rPr>
                    <w:t>若发生泄漏，采用</w:t>
                  </w:r>
                  <w:r>
                    <w:rPr>
                      <w:rFonts w:hint="eastAsia"/>
                      <w:sz w:val="21"/>
                      <w:szCs w:val="21"/>
                      <w:highlight w:val="none"/>
                      <w:lang w:val="en-US" w:eastAsia="zh-CN"/>
                    </w:rPr>
                    <w:t>吸油毯</w:t>
                  </w:r>
                  <w:r>
                    <w:rPr>
                      <w:rFonts w:hint="eastAsia"/>
                      <w:sz w:val="21"/>
                      <w:szCs w:val="21"/>
                      <w:highlight w:val="none"/>
                    </w:rPr>
                    <w:t>吸附，并放入封闭的容器中，作为危废处理</w:t>
                  </w:r>
                  <w:r>
                    <w:rPr>
                      <w:rFonts w:hint="eastAsia"/>
                      <w:sz w:val="21"/>
                      <w:szCs w:val="21"/>
                      <w:highlight w:val="none"/>
                      <w:lang w:eastAsia="zh-CN"/>
                    </w:rPr>
                    <w:t>；</w:t>
                  </w:r>
                  <w:r>
                    <w:rPr>
                      <w:rFonts w:hint="eastAsia"/>
                      <w:sz w:val="21"/>
                      <w:szCs w:val="21"/>
                      <w:highlight w:val="none"/>
                      <w:lang w:val="en-US" w:eastAsia="zh-CN"/>
                    </w:rPr>
                    <w:t>发电机房</w:t>
                  </w:r>
                  <w:r>
                    <w:rPr>
                      <w:rFonts w:hint="eastAsia"/>
                      <w:sz w:val="21"/>
                      <w:szCs w:val="21"/>
                      <w:highlight w:val="none"/>
                      <w:lang w:eastAsia="zh-CN"/>
                    </w:rPr>
                    <w:t>做好防渗措施，建立巡查制度，定期进行检查。</w:t>
                  </w:r>
                </w:p>
              </w:tc>
            </w:tr>
          </w:tbl>
          <w:p>
            <w:pPr>
              <w:pStyle w:val="5"/>
              <w:widowControl w:val="0"/>
              <w:ind w:firstLine="482"/>
              <w:rPr>
                <w:rFonts w:hint="eastAsia" w:cs="宋体"/>
                <w:b w:val="0"/>
                <w:bCs/>
                <w:color w:val="000000" w:themeColor="text1"/>
                <w:highlight w:val="none"/>
                <w:u w:val="single"/>
                <w:lang w:bidi="ar"/>
                <w14:textFill>
                  <w14:solidFill>
                    <w14:schemeClr w14:val="tx1"/>
                  </w14:solidFill>
                </w14:textFill>
              </w:rPr>
            </w:pPr>
            <w:r>
              <w:rPr>
                <w:rFonts w:hint="eastAsia" w:cs="宋体"/>
                <w:b w:val="0"/>
                <w:bCs/>
                <w:color w:val="000000" w:themeColor="text1"/>
                <w:highlight w:val="none"/>
                <w:u w:val="single"/>
                <w:lang w:eastAsia="zh-CN" w:bidi="ar"/>
                <w14:textFill>
                  <w14:solidFill>
                    <w14:schemeClr w14:val="tx1"/>
                  </w14:solidFill>
                </w14:textFill>
              </w:rPr>
              <w:t>（</w:t>
            </w:r>
            <w:r>
              <w:rPr>
                <w:rFonts w:hint="eastAsia" w:cs="宋体"/>
                <w:b w:val="0"/>
                <w:bCs/>
                <w:color w:val="000000" w:themeColor="text1"/>
                <w:highlight w:val="none"/>
                <w:u w:val="single"/>
                <w:lang w:val="en-US" w:eastAsia="zh-CN" w:bidi="ar"/>
                <w14:textFill>
                  <w14:solidFill>
                    <w14:schemeClr w14:val="tx1"/>
                  </w14:solidFill>
                </w14:textFill>
              </w:rPr>
              <w:t>2</w:t>
            </w:r>
            <w:r>
              <w:rPr>
                <w:rFonts w:hint="eastAsia" w:cs="宋体"/>
                <w:b w:val="0"/>
                <w:bCs/>
                <w:color w:val="000000" w:themeColor="text1"/>
                <w:highlight w:val="none"/>
                <w:u w:val="single"/>
                <w:lang w:eastAsia="zh-CN" w:bidi="ar"/>
                <w14:textFill>
                  <w14:solidFill>
                    <w14:schemeClr w14:val="tx1"/>
                  </w14:solidFill>
                </w14:textFill>
              </w:rPr>
              <w:t>）</w:t>
            </w:r>
            <w:r>
              <w:rPr>
                <w:rFonts w:hint="eastAsia" w:cs="宋体"/>
                <w:b w:val="0"/>
                <w:bCs/>
                <w:color w:val="000000" w:themeColor="text1"/>
                <w:highlight w:val="none"/>
                <w:u w:val="single"/>
                <w:lang w:bidi="ar"/>
                <w14:textFill>
                  <w14:solidFill>
                    <w14:schemeClr w14:val="tx1"/>
                  </w14:solidFill>
                </w14:textFill>
              </w:rPr>
              <w:t>风险源分布情况以及可能影响途径</w:t>
            </w:r>
          </w:p>
          <w:p>
            <w:pPr>
              <w:pStyle w:val="5"/>
              <w:widowControl w:val="0"/>
              <w:ind w:firstLine="480"/>
              <w:rPr>
                <w:rFonts w:hint="eastAsia"/>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通过对本项目生产工艺及整个污染治理系统分析，</w:t>
            </w:r>
            <w:r>
              <w:rPr>
                <w:color w:val="000000" w:themeColor="text1"/>
                <w:highlight w:val="none"/>
                <w:u w:val="single"/>
                <w14:textFill>
                  <w14:solidFill>
                    <w14:schemeClr w14:val="tx1"/>
                  </w14:solidFill>
                </w14:textFill>
              </w:rPr>
              <w:t>厂区内</w:t>
            </w:r>
            <w:r>
              <w:rPr>
                <w:rFonts w:hint="eastAsia"/>
                <w:color w:val="000000" w:themeColor="text1"/>
                <w:highlight w:val="none"/>
                <w:u w:val="single"/>
                <w14:textFill>
                  <w14:solidFill>
                    <w14:schemeClr w14:val="tx1"/>
                  </w14:solidFill>
                </w14:textFill>
              </w:rPr>
              <w:t>主要风险</w:t>
            </w:r>
            <w:r>
              <w:rPr>
                <w:color w:val="000000" w:themeColor="text1"/>
                <w:highlight w:val="none"/>
                <w:u w:val="single"/>
                <w14:textFill>
                  <w14:solidFill>
                    <w14:schemeClr w14:val="tx1"/>
                  </w14:solidFill>
                </w14:textFill>
              </w:rPr>
              <w:t>事故及类型</w:t>
            </w:r>
            <w:r>
              <w:rPr>
                <w:rFonts w:hint="eastAsia"/>
                <w:color w:val="000000" w:themeColor="text1"/>
                <w:highlight w:val="none"/>
                <w:u w:val="single"/>
                <w:lang w:val="en-US" w:eastAsia="zh-CN"/>
                <w14:textFill>
                  <w14:solidFill>
                    <w14:schemeClr w14:val="tx1"/>
                  </w14:solidFill>
                </w14:textFill>
              </w:rPr>
              <w:t>包括</w:t>
            </w:r>
            <w:r>
              <w:rPr>
                <w:rFonts w:hint="eastAsia"/>
                <w:color w:val="000000" w:themeColor="text1"/>
                <w:highlight w:val="none"/>
                <w:u w:val="single"/>
                <w14:textFill>
                  <w14:solidFill>
                    <w14:schemeClr w14:val="tx1"/>
                  </w14:solidFill>
                </w14:textFill>
              </w:rPr>
              <w:t>：</w:t>
            </w:r>
          </w:p>
          <w:p>
            <w:pPr>
              <w:pStyle w:val="5"/>
              <w:widowControl w:val="0"/>
              <w:ind w:firstLine="480"/>
              <w:rPr>
                <w:rFonts w:hint="eastAsia"/>
                <w:color w:val="000000" w:themeColor="text1"/>
                <w:highlight w:val="none"/>
                <w:u w:val="single"/>
                <w:lang w:eastAsia="zh-CN"/>
                <w14:textFill>
                  <w14:solidFill>
                    <w14:schemeClr w14:val="tx1"/>
                  </w14:solidFill>
                </w14:textFill>
              </w:rPr>
            </w:pPr>
            <w:r>
              <w:rPr>
                <w:rFonts w:hint="eastAsia" w:ascii="宋体" w:hAnsi="宋体" w:eastAsia="宋体" w:cs="宋体"/>
                <w:color w:val="000000" w:themeColor="text1"/>
                <w:highlight w:val="none"/>
                <w:u w:val="single"/>
                <w14:textFill>
                  <w14:solidFill>
                    <w14:schemeClr w14:val="tx1"/>
                  </w14:solidFill>
                </w14:textFill>
              </w:rPr>
              <w:t>①</w:t>
            </w:r>
            <w:r>
              <w:rPr>
                <w:rFonts w:hint="eastAsia"/>
                <w:color w:val="000000" w:themeColor="text1"/>
                <w:highlight w:val="none"/>
                <w:u w:val="single"/>
                <w:lang w:val="en-US" w:eastAsia="zh-CN"/>
                <w14:textFill>
                  <w14:solidFill>
                    <w14:schemeClr w14:val="tx1"/>
                  </w14:solidFill>
                </w14:textFill>
              </w:rPr>
              <w:t>次氯酸钠溶液泄漏</w:t>
            </w:r>
            <w:r>
              <w:rPr>
                <w:color w:val="000000" w:themeColor="text1"/>
                <w:highlight w:val="none"/>
                <w:u w:val="single"/>
                <w14:textFill>
                  <w14:solidFill>
                    <w14:schemeClr w14:val="tx1"/>
                  </w14:solidFill>
                </w14:textFill>
              </w:rPr>
              <w:t>导致环境污染事故</w:t>
            </w:r>
            <w:r>
              <w:rPr>
                <w:rFonts w:hint="eastAsia"/>
                <w:color w:val="000000" w:themeColor="text1"/>
                <w:highlight w:val="none"/>
                <w:u w:val="single"/>
                <w:lang w:eastAsia="zh-CN"/>
                <w14:textFill>
                  <w14:solidFill>
                    <w14:schemeClr w14:val="tx1"/>
                  </w14:solidFill>
                </w14:textFill>
              </w:rPr>
              <w:t>；</w:t>
            </w:r>
          </w:p>
          <w:p>
            <w:pPr>
              <w:pStyle w:val="5"/>
              <w:widowControl w:val="0"/>
              <w:ind w:firstLine="480"/>
              <w:rPr>
                <w:rFonts w:hint="eastAsia" w:ascii="宋体" w:hAnsi="宋体" w:cs="宋体"/>
                <w:color w:val="000000" w:themeColor="text1"/>
                <w:highlight w:val="none"/>
                <w:u w:val="single"/>
                <w:lang w:val="en-US" w:eastAsia="zh-CN"/>
                <w14:textFill>
                  <w14:solidFill>
                    <w14:schemeClr w14:val="tx1"/>
                  </w14:solidFill>
                </w14:textFill>
              </w:rPr>
            </w:pPr>
            <w:r>
              <w:rPr>
                <w:rFonts w:hint="eastAsia" w:ascii="宋体" w:hAnsi="宋体" w:eastAsia="宋体" w:cs="宋体"/>
                <w:color w:val="000000" w:themeColor="text1"/>
                <w:highlight w:val="none"/>
                <w:u w:val="single"/>
                <w:lang w:eastAsia="zh-CN"/>
                <w14:textFill>
                  <w14:solidFill>
                    <w14:schemeClr w14:val="tx1"/>
                  </w14:solidFill>
                </w14:textFill>
              </w:rPr>
              <w:t>②</w:t>
            </w:r>
            <w:r>
              <w:rPr>
                <w:rFonts w:hint="eastAsia" w:ascii="宋体" w:hAnsi="宋体" w:eastAsia="宋体" w:cs="宋体"/>
                <w:color w:val="000000" w:themeColor="text1"/>
                <w:highlight w:val="none"/>
                <w:u w:val="single"/>
                <w:lang w:val="en-US" w:eastAsia="zh-CN"/>
                <w14:textFill>
                  <w14:solidFill>
                    <w14:schemeClr w14:val="tx1"/>
                  </w14:solidFill>
                </w14:textFill>
              </w:rPr>
              <w:t>厂内污水处理设施故障或池体破损导致水厂内水泄漏至水库对木形水库水质造成污染</w:t>
            </w:r>
            <w:r>
              <w:rPr>
                <w:rFonts w:hint="eastAsia" w:ascii="宋体" w:hAnsi="宋体" w:cs="宋体"/>
                <w:color w:val="000000" w:themeColor="text1"/>
                <w:highlight w:val="none"/>
                <w:u w:val="single"/>
                <w:lang w:val="en-US" w:eastAsia="zh-CN"/>
                <w14:textFill>
                  <w14:solidFill>
                    <w14:schemeClr w14:val="tx1"/>
                  </w14:solidFill>
                </w14:textFill>
              </w:rPr>
              <w:t>；</w:t>
            </w:r>
          </w:p>
          <w:p>
            <w:pPr>
              <w:pStyle w:val="5"/>
              <w:widowControl w:val="0"/>
              <w:ind w:firstLine="480"/>
              <w:rPr>
                <w:rFonts w:hint="default" w:ascii="宋体" w:hAnsi="宋体" w:cs="宋体"/>
                <w:color w:val="000000" w:themeColor="text1"/>
                <w:highlight w:val="none"/>
                <w:u w:val="single"/>
                <w:lang w:val="en-US" w:eastAsia="zh-CN"/>
                <w14:textFill>
                  <w14:solidFill>
                    <w14:schemeClr w14:val="tx1"/>
                  </w14:solidFill>
                </w14:textFill>
              </w:rPr>
            </w:pPr>
            <w:r>
              <w:rPr>
                <w:rFonts w:hint="eastAsia" w:ascii="宋体" w:hAnsi="宋体" w:eastAsia="宋体" w:cs="宋体"/>
                <w:color w:val="000000" w:themeColor="text1"/>
                <w:highlight w:val="none"/>
                <w:u w:val="single"/>
                <w:lang w:val="en-US" w:eastAsia="zh-CN"/>
                <w14:textFill>
                  <w14:solidFill>
                    <w14:schemeClr w14:val="tx1"/>
                  </w14:solidFill>
                </w14:textFill>
              </w:rPr>
              <w:t>③</w:t>
            </w:r>
            <w:r>
              <w:rPr>
                <w:rFonts w:hint="eastAsia" w:ascii="宋体" w:hAnsi="宋体" w:cs="宋体"/>
                <w:color w:val="000000" w:themeColor="text1"/>
                <w:highlight w:val="none"/>
                <w:u w:val="single"/>
                <w:lang w:val="en-US" w:eastAsia="zh-CN"/>
                <w14:textFill>
                  <w14:solidFill>
                    <w14:schemeClr w14:val="tx1"/>
                  </w14:solidFill>
                </w14:textFill>
              </w:rPr>
              <w:t>备用柴油、危险废物泄漏导致的环境污染事故。</w:t>
            </w:r>
          </w:p>
          <w:p>
            <w:pPr>
              <w:pStyle w:val="5"/>
              <w:widowControl w:val="0"/>
              <w:ind w:firstLine="482"/>
              <w:rPr>
                <w:rFonts w:cs="宋体"/>
                <w:b w:val="0"/>
                <w:bCs/>
                <w:color w:val="000000" w:themeColor="text1"/>
                <w:highlight w:val="none"/>
                <w:u w:val="single"/>
                <w:lang w:bidi="ar"/>
                <w14:textFill>
                  <w14:solidFill>
                    <w14:schemeClr w14:val="tx1"/>
                  </w14:solidFill>
                </w14:textFill>
              </w:rPr>
            </w:pPr>
            <w:r>
              <w:rPr>
                <w:rFonts w:hint="eastAsia" w:cs="宋体"/>
                <w:b w:val="0"/>
                <w:bCs/>
                <w:color w:val="000000" w:themeColor="text1"/>
                <w:highlight w:val="none"/>
                <w:lang w:eastAsia="zh-CN" w:bidi="ar"/>
                <w14:textFill>
                  <w14:solidFill>
                    <w14:schemeClr w14:val="tx1"/>
                  </w14:solidFill>
                </w14:textFill>
              </w:rPr>
              <w:t>（</w:t>
            </w:r>
            <w:r>
              <w:rPr>
                <w:rFonts w:hint="eastAsia" w:cs="宋体"/>
                <w:b w:val="0"/>
                <w:bCs/>
                <w:color w:val="000000" w:themeColor="text1"/>
                <w:highlight w:val="none"/>
                <w:u w:val="single"/>
                <w:lang w:val="en-US" w:eastAsia="zh-CN" w:bidi="ar"/>
                <w14:textFill>
                  <w14:solidFill>
                    <w14:schemeClr w14:val="tx1"/>
                  </w14:solidFill>
                </w14:textFill>
              </w:rPr>
              <w:t>3</w:t>
            </w:r>
            <w:r>
              <w:rPr>
                <w:rFonts w:hint="eastAsia" w:cs="宋体"/>
                <w:b w:val="0"/>
                <w:bCs/>
                <w:color w:val="000000" w:themeColor="text1"/>
                <w:highlight w:val="none"/>
                <w:u w:val="single"/>
                <w:lang w:eastAsia="zh-CN" w:bidi="ar"/>
                <w14:textFill>
                  <w14:solidFill>
                    <w14:schemeClr w14:val="tx1"/>
                  </w14:solidFill>
                </w14:textFill>
              </w:rPr>
              <w:t>）</w:t>
            </w:r>
            <w:r>
              <w:rPr>
                <w:rFonts w:hint="eastAsia" w:cs="宋体"/>
                <w:b w:val="0"/>
                <w:bCs/>
                <w:color w:val="000000" w:themeColor="text1"/>
                <w:highlight w:val="none"/>
                <w:u w:val="single"/>
                <w:lang w:bidi="ar"/>
                <w14:textFill>
                  <w14:solidFill>
                    <w14:schemeClr w14:val="tx1"/>
                  </w14:solidFill>
                </w14:textFill>
              </w:rPr>
              <w:t>环境风险防范措施</w:t>
            </w:r>
          </w:p>
          <w:p>
            <w:pPr>
              <w:pStyle w:val="5"/>
              <w:widowControl w:val="0"/>
              <w:ind w:firstLine="48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1）次氯酸钠泄漏事故风险防范措施</w:t>
            </w:r>
          </w:p>
          <w:p>
            <w:pPr>
              <w:pStyle w:val="5"/>
              <w:widowControl w:val="0"/>
              <w:ind w:firstLine="480"/>
              <w:rPr>
                <w:rFonts w:hint="eastAsia"/>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在日常生产中，定期对次氯酸钠储存、输送环节的设备、管道、阀门等进行检修、维护和保养，减少设备发生故障几率，尽量避免事故的发生</w:t>
            </w:r>
            <w:r>
              <w:rPr>
                <w:rFonts w:hint="eastAsia"/>
                <w:color w:val="000000" w:themeColor="text1"/>
                <w:highlight w:val="none"/>
                <w:u w:val="single"/>
                <w:lang w:eastAsia="zh-CN"/>
                <w14:textFill>
                  <w14:solidFill>
                    <w14:schemeClr w14:val="tx1"/>
                  </w14:solidFill>
                </w14:textFill>
              </w:rPr>
              <w:t>；加强工作人员岗前专业培训，严格执行安全生产操作规程；加药间设置围堰，以及储备充足的应急物资，如防化服、防毒面具、空气呼吸器、砂土等；加药间地面及围堰作防渗处理(渗透系数&lt;10</w:t>
            </w:r>
            <w:r>
              <w:rPr>
                <w:rFonts w:hint="eastAsia"/>
                <w:color w:val="000000" w:themeColor="text1"/>
                <w:highlight w:val="none"/>
                <w:u w:val="single"/>
                <w:vertAlign w:val="superscript"/>
                <w:lang w:eastAsia="zh-CN"/>
                <w14:textFill>
                  <w14:solidFill>
                    <w14:schemeClr w14:val="tx1"/>
                  </w14:solidFill>
                </w14:textFill>
              </w:rPr>
              <w:t>7</w:t>
            </w:r>
            <w:r>
              <w:rPr>
                <w:rFonts w:hint="eastAsia"/>
                <w:color w:val="000000" w:themeColor="text1"/>
                <w:highlight w:val="none"/>
                <w:u w:val="single"/>
                <w:lang w:eastAsia="zh-CN"/>
                <w14:textFill>
                  <w14:solidFill>
                    <w14:schemeClr w14:val="tx1"/>
                  </w14:solidFill>
                </w14:textFill>
              </w:rPr>
              <w:t xml:space="preserve"> 厘米/秒)及防腐蚀处理</w:t>
            </w:r>
            <w:r>
              <w:rPr>
                <w:rFonts w:hint="eastAsia"/>
                <w:color w:val="000000" w:themeColor="text1"/>
                <w:highlight w:val="none"/>
                <w:u w:val="single"/>
                <w14:textFill>
                  <w14:solidFill>
                    <w14:schemeClr w14:val="tx1"/>
                  </w14:solidFill>
                </w14:textFill>
              </w:rPr>
              <w:t>。</w:t>
            </w:r>
          </w:p>
          <w:p>
            <w:pPr>
              <w:pStyle w:val="5"/>
              <w:widowControl w:val="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2）设备故障导致水厂水泄漏至水库事故风险防范措施</w:t>
            </w:r>
          </w:p>
          <w:p>
            <w:pPr>
              <w:pStyle w:val="5"/>
              <w:widowControl w:val="0"/>
              <w:ind w:firstLine="480"/>
              <w:rPr>
                <w:rFonts w:hint="eastAsia" w:ascii="宋体" w:hAnsi="宋体" w:eastAsia="宋体" w:cs="宋体"/>
                <w:color w:val="000000" w:themeColor="text1"/>
                <w:highlight w:val="none"/>
                <w:u w:val="single"/>
                <w:lang w:val="en-US" w:eastAsia="zh-CN"/>
                <w14:textFill>
                  <w14:solidFill>
                    <w14:schemeClr w14:val="tx1"/>
                  </w14:solidFill>
                </w14:textFill>
              </w:rPr>
            </w:pPr>
            <w:r>
              <w:rPr>
                <w:rFonts w:hint="eastAsia" w:ascii="宋体" w:hAnsi="宋体" w:eastAsia="宋体" w:cs="宋体"/>
                <w:color w:val="000000" w:themeColor="text1"/>
                <w:highlight w:val="none"/>
                <w:u w:val="single"/>
                <w:lang w:val="en-US" w:eastAsia="zh-CN"/>
                <w14:textFill>
                  <w14:solidFill>
                    <w14:schemeClr w14:val="tx1"/>
                  </w14:solidFill>
                </w14:textFill>
              </w:rPr>
              <w:t>①本评价要求建设单位建设时，水厂及管理区整体地势低于木形水库地势，防止厂内污水流入水库，对水库水质造成污染；</w:t>
            </w:r>
          </w:p>
          <w:p>
            <w:pPr>
              <w:pStyle w:val="5"/>
              <w:widowControl w:val="0"/>
              <w:ind w:firstLine="480"/>
              <w:rPr>
                <w:rFonts w:hint="eastAsia" w:ascii="宋体" w:hAnsi="宋体" w:eastAsia="宋体" w:cs="宋体"/>
                <w:color w:val="000000" w:themeColor="text1"/>
                <w:highlight w:val="none"/>
                <w:u w:val="single"/>
                <w:lang w:val="en-US" w:eastAsia="zh-CN"/>
                <w14:textFill>
                  <w14:solidFill>
                    <w14:schemeClr w14:val="tx1"/>
                  </w14:solidFill>
                </w14:textFill>
              </w:rPr>
            </w:pPr>
            <w:r>
              <w:rPr>
                <w:rFonts w:hint="eastAsia" w:ascii="宋体" w:hAnsi="宋体" w:eastAsia="宋体" w:cs="宋体"/>
                <w:color w:val="000000" w:themeColor="text1"/>
                <w:highlight w:val="none"/>
                <w:u w:val="single"/>
                <w:lang w:val="en-US" w:eastAsia="zh-CN"/>
                <w14:textFill>
                  <w14:solidFill>
                    <w14:schemeClr w14:val="tx1"/>
                  </w14:solidFill>
                </w14:textFill>
              </w:rPr>
              <w:t>②建议水厂</w:t>
            </w:r>
            <w:r>
              <w:rPr>
                <w:rFonts w:hint="eastAsia" w:ascii="宋体" w:hAnsi="宋体" w:eastAsia="宋体" w:cs="宋体"/>
                <w:color w:val="auto"/>
                <w:highlight w:val="none"/>
                <w:u w:val="single"/>
                <w:lang w:val="en-US" w:eastAsia="zh-CN"/>
              </w:rPr>
              <w:t>内设置应急事故池，当</w:t>
            </w:r>
            <w:r>
              <w:rPr>
                <w:rFonts w:hint="eastAsia" w:ascii="宋体" w:hAnsi="宋体" w:eastAsia="宋体" w:cs="宋体"/>
                <w:color w:val="000000" w:themeColor="text1"/>
                <w:highlight w:val="none"/>
                <w:u w:val="single"/>
                <w:lang w:val="en-US" w:eastAsia="zh-CN"/>
                <w14:textFill>
                  <w14:solidFill>
                    <w14:schemeClr w14:val="tx1"/>
                  </w14:solidFill>
                </w14:textFill>
              </w:rPr>
              <w:t>水厂内处理设备故障时，将水引至事故池暂存；</w:t>
            </w:r>
          </w:p>
          <w:p>
            <w:pPr>
              <w:pStyle w:val="5"/>
              <w:widowControl w:val="0"/>
              <w:ind w:firstLine="480"/>
              <w:rPr>
                <w:rFonts w:hint="default"/>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highlight w:val="none"/>
                <w:u w:val="single"/>
                <w:lang w:val="en-US" w:eastAsia="zh-CN"/>
                <w14:textFill>
                  <w14:solidFill>
                    <w14:schemeClr w14:val="tx1"/>
                  </w14:solidFill>
                </w14:textFill>
              </w:rPr>
              <w:t>③</w:t>
            </w:r>
            <w:r>
              <w:rPr>
                <w:rFonts w:hint="eastAsia"/>
                <w:color w:val="000000" w:themeColor="text1"/>
                <w:highlight w:val="none"/>
                <w:u w:val="single"/>
                <w:lang w:val="en-US" w:eastAsia="zh-CN"/>
                <w14:textFill>
                  <w14:solidFill>
                    <w14:schemeClr w14:val="tx1"/>
                  </w14:solidFill>
                </w14:textFill>
              </w:rPr>
              <w:t>为防止原水水质受污染导致供水水质无法达标，本评价建议对木形水库申请设立为饮用水源保护区，并按饮用水源保护区的要求对水源地进行管理，保证水体不受污染。</w:t>
            </w:r>
          </w:p>
          <w:p>
            <w:pPr>
              <w:pStyle w:val="5"/>
              <w:widowControl w:val="0"/>
              <w:ind w:firstLine="480"/>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3）备用柴油、危废泄漏风险防范措施</w:t>
            </w:r>
          </w:p>
          <w:p>
            <w:pPr>
              <w:pStyle w:val="5"/>
              <w:widowControl w:val="0"/>
              <w:ind w:firstLine="48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①危废暂存间、发电机房必须为耐腐蚀的硬化地面，且表面无裂痕，基础防渗层为至少 1 米厚粘土层(渗透系数≤10</w:t>
            </w:r>
            <w:r>
              <w:rPr>
                <w:rFonts w:hint="eastAsia"/>
                <w:color w:val="000000" w:themeColor="text1"/>
                <w:highlight w:val="none"/>
                <w:u w:val="single"/>
                <w:vertAlign w:val="superscript"/>
                <w:lang w:val="en-US" w:eastAsia="zh-CN"/>
                <w14:textFill>
                  <w14:solidFill>
                    <w14:schemeClr w14:val="tx1"/>
                  </w14:solidFill>
                </w14:textFill>
              </w:rPr>
              <w:t>-7</w:t>
            </w:r>
            <w:r>
              <w:rPr>
                <w:rFonts w:hint="eastAsia"/>
                <w:color w:val="000000" w:themeColor="text1"/>
                <w:highlight w:val="none"/>
                <w:u w:val="single"/>
                <w:lang w:val="en-US" w:eastAsia="zh-CN"/>
                <w14:textFill>
                  <w14:solidFill>
                    <w14:schemeClr w14:val="tx1"/>
                  </w14:solidFill>
                </w14:textFill>
              </w:rPr>
              <w:t>厘米/秒)，或 2 毫米厚高密度聚乙烯，或至少 2 毫米厚的其它人工材料（如环氧树脂），渗透系数≤10</w:t>
            </w:r>
            <w:r>
              <w:rPr>
                <w:rFonts w:hint="eastAsia"/>
                <w:color w:val="000000" w:themeColor="text1"/>
                <w:highlight w:val="none"/>
                <w:u w:val="single"/>
                <w:vertAlign w:val="superscript"/>
                <w:lang w:val="en-US" w:eastAsia="zh-CN"/>
                <w14:textFill>
                  <w14:solidFill>
                    <w14:schemeClr w14:val="tx1"/>
                  </w14:solidFill>
                </w14:textFill>
              </w:rPr>
              <w:t>-10</w:t>
            </w:r>
            <w:r>
              <w:rPr>
                <w:rFonts w:hint="eastAsia"/>
                <w:color w:val="000000" w:themeColor="text1"/>
                <w:highlight w:val="none"/>
                <w:u w:val="single"/>
                <w:lang w:val="en-US" w:eastAsia="zh-CN"/>
                <w14:textFill>
                  <w14:solidFill>
                    <w14:schemeClr w14:val="tx1"/>
                  </w14:solidFill>
                </w14:textFill>
              </w:rPr>
              <w:t>厘米/秒。</w:t>
            </w:r>
          </w:p>
          <w:p>
            <w:pPr>
              <w:pStyle w:val="5"/>
              <w:widowControl w:val="0"/>
              <w:ind w:firstLine="48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②各危险废物分开收集、暂存，不相容的危险废物禁止在同一容器内混装。定期检查危险废物包装物是否完整，尤其是液体危险废物，避免盛装容器破裂引起废液泄漏。</w:t>
            </w:r>
          </w:p>
          <w:p>
            <w:pPr>
              <w:pStyle w:val="5"/>
              <w:widowControl w:val="0"/>
              <w:ind w:firstLine="480"/>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③危险废物妥善收集，作好防渗防漏处理，临时堆存时间不得过长，堆存量不得超过规定要求，以防造成渗漏等二次污染或安全事故；对生产过程中产生的危险废物采用专门的容器进行收集，并在周边设置围堰，确保事故状态下危险废物不进入外环境；对事故状态下围堰收集的危险废物，应交有处理资质的单位处置，严禁随意排放。</w:t>
            </w:r>
          </w:p>
          <w:p>
            <w:pPr>
              <w:pStyle w:val="5"/>
              <w:widowControl w:val="0"/>
              <w:ind w:firstLine="480"/>
              <w:rPr>
                <w:rFonts w:hint="eastAsia" w:ascii="宋体" w:hAnsi="宋体" w:eastAsia="宋体" w:cs="宋体"/>
                <w:color w:val="000000" w:themeColor="text1"/>
                <w:highlight w:val="none"/>
                <w:u w:val="single"/>
                <w:lang w:val="en-US" w:eastAsia="zh-CN"/>
                <w14:textFill>
                  <w14:solidFill>
                    <w14:schemeClr w14:val="tx1"/>
                  </w14:solidFill>
                </w14:textFill>
              </w:rPr>
            </w:pPr>
            <w:r>
              <w:rPr>
                <w:rFonts w:hint="eastAsia" w:ascii="宋体" w:hAnsi="宋体" w:eastAsia="宋体" w:cs="宋体"/>
                <w:color w:val="000000" w:themeColor="text1"/>
                <w:highlight w:val="none"/>
                <w:u w:val="single"/>
                <w:lang w:val="en-US" w:eastAsia="zh-CN"/>
                <w14:textFill>
                  <w14:solidFill>
                    <w14:schemeClr w14:val="tx1"/>
                  </w14:solidFill>
                </w14:textFill>
              </w:rPr>
              <w:t>④建立巡查制度，定期进行检查。同时配备消防沙及吸油棉等应急物资。</w:t>
            </w:r>
          </w:p>
          <w:p>
            <w:pPr>
              <w:pStyle w:val="5"/>
              <w:widowControl w:val="0"/>
              <w:ind w:firstLine="480"/>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（4）应急预案</w:t>
            </w:r>
          </w:p>
          <w:p>
            <w:pPr>
              <w:pStyle w:val="5"/>
              <w:widowControl w:val="0"/>
              <w:ind w:firstLine="480"/>
              <w:rPr>
                <w:rFonts w:hint="eastAsia"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本项目应根据《企业事业单位突发环境事件应急预案备案管理办法（试行）》（环发【2015】4 号）、《湖南省突发环境事件应急预案管理办法》（湘环发【2013】20 号）、《关于进一步加强突发环境事件应急预案管理工作的通知》（湘环函【2017】107 号）、《关于印发&lt;企业突发环境事件风险评估指南（试行）&gt;的通知》（环办[2014]34 号）、《企业突发环境事件风险分级方法》（HJ941-2018）</w:t>
            </w:r>
            <w:r>
              <w:rPr>
                <w:rFonts w:hint="eastAsia"/>
                <w:color w:val="000000" w:themeColor="text1"/>
                <w:highlight w:val="none"/>
                <w:u w:val="single"/>
                <w:lang w:val="en-US" w:eastAsia="zh-CN"/>
                <w14:textFill>
                  <w14:solidFill>
                    <w14:schemeClr w14:val="tx1"/>
                  </w14:solidFill>
                </w14:textFill>
              </w:rPr>
              <w:t>、《集中式地表水饮用水水源地突发环境事件应急预案编制指南》</w:t>
            </w:r>
            <w:r>
              <w:rPr>
                <w:rFonts w:hint="eastAsia" w:eastAsia="宋体"/>
                <w:color w:val="000000" w:themeColor="text1"/>
                <w:highlight w:val="none"/>
                <w:u w:val="single"/>
                <w:lang w:val="en-US" w:eastAsia="zh-CN"/>
                <w14:textFill>
                  <w14:solidFill>
                    <w14:schemeClr w14:val="tx1"/>
                  </w14:solidFill>
                </w14:textFill>
              </w:rPr>
              <w:t>等文件</w:t>
            </w:r>
            <w:r>
              <w:rPr>
                <w:rFonts w:hint="eastAsia"/>
                <w:color w:val="000000" w:themeColor="text1"/>
                <w:highlight w:val="none"/>
                <w:u w:val="single"/>
                <w:lang w:val="en-US" w:eastAsia="zh-CN"/>
                <w14:textFill>
                  <w14:solidFill>
                    <w14:schemeClr w14:val="tx1"/>
                  </w14:solidFill>
                </w14:textFill>
              </w:rPr>
              <w:t>要求</w:t>
            </w:r>
            <w:r>
              <w:rPr>
                <w:rFonts w:hint="eastAsia" w:eastAsia="宋体"/>
                <w:color w:val="000000" w:themeColor="text1"/>
                <w:highlight w:val="none"/>
                <w:u w:val="single"/>
                <w:lang w:val="en-US" w:eastAsia="zh-CN"/>
                <w14:textFill>
                  <w14:solidFill>
                    <w14:schemeClr w14:val="tx1"/>
                  </w14:solidFill>
                </w14:textFill>
              </w:rPr>
              <w:t>编制突发环境事件应急预案</w:t>
            </w:r>
            <w:r>
              <w:rPr>
                <w:rFonts w:hint="eastAsia"/>
                <w:color w:val="000000" w:themeColor="text1"/>
                <w:highlight w:val="none"/>
                <w:u w:val="single"/>
                <w:lang w:val="en-US" w:eastAsia="zh-CN"/>
                <w14:textFill>
                  <w14:solidFill>
                    <w14:schemeClr w14:val="tx1"/>
                  </w14:solidFill>
                </w14:textFill>
              </w:rPr>
              <w:t>。</w:t>
            </w:r>
          </w:p>
          <w:p>
            <w:pPr>
              <w:pStyle w:val="5"/>
              <w:widowControl w:val="0"/>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w:t>
            </w:r>
            <w:r>
              <w:rPr>
                <w:rFonts w:hint="eastAsia"/>
                <w:b/>
                <w:bCs/>
                <w:color w:val="000000" w:themeColor="text1"/>
                <w:highlight w:val="none"/>
                <w14:textFill>
                  <w14:solidFill>
                    <w14:schemeClr w14:val="tx1"/>
                  </w14:solidFill>
                </w14:textFill>
              </w:rPr>
              <w:t>、环境风险分析结论</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在加强化学品管理、机械设备维护、完善事故应急预案的基础上，项目采取有效的预防、应急措施，避免泄漏事故的发生，并从各方面积极采取防护措施，落实本项目的环境风险防范措施，制定环境风险应急预案，并保证应急响应系统在事故状态下立即启动，加强管理，同时定期检验风险事故应急预案，当出现事故时要采取紧急应急措施，可以控制事故和减少对环境造成的危害。评价认为项目发生环境风险事故后，对周围环境的影响可控，风险水平可以接受。</w:t>
            </w:r>
          </w:p>
          <w:p>
            <w:pPr>
              <w:pStyle w:val="5"/>
              <w:widowControl w:val="0"/>
              <w:ind w:left="0" w:leftChars="0" w:firstLine="0" w:firstLineChars="0"/>
              <w:rPr>
                <w:rFonts w:cs="宋体"/>
                <w:b/>
                <w:color w:val="000000" w:themeColor="text1"/>
                <w:highlight w:val="none"/>
                <w:lang w:bidi="ar"/>
                <w14:textFill>
                  <w14:solidFill>
                    <w14:schemeClr w14:val="tx1"/>
                  </w14:solidFill>
                </w14:textFill>
              </w:rPr>
            </w:pPr>
            <w:r>
              <w:rPr>
                <w:rFonts w:hint="eastAsia" w:cs="宋体"/>
                <w:b/>
                <w:color w:val="000000" w:themeColor="text1"/>
                <w:highlight w:val="none"/>
                <w:lang w:val="en-US" w:eastAsia="zh-CN" w:bidi="ar"/>
                <w14:textFill>
                  <w14:solidFill>
                    <w14:schemeClr w14:val="tx1"/>
                  </w14:solidFill>
                </w14:textFill>
              </w:rPr>
              <w:t>7、</w:t>
            </w:r>
            <w:r>
              <w:rPr>
                <w:rFonts w:hint="eastAsia" w:cs="宋体"/>
                <w:b/>
                <w:color w:val="000000" w:themeColor="text1"/>
                <w:highlight w:val="none"/>
                <w:lang w:bidi="ar"/>
                <w14:textFill>
                  <w14:solidFill>
                    <w14:schemeClr w14:val="tx1"/>
                  </w14:solidFill>
                </w14:textFill>
              </w:rPr>
              <w:t>污染物排放管理</w:t>
            </w:r>
          </w:p>
          <w:p>
            <w:pPr>
              <w:pStyle w:val="5"/>
              <w:widowControl w:val="0"/>
              <w:ind w:firstLine="482"/>
              <w:rPr>
                <w:b w:val="0"/>
                <w:bCs w:val="0"/>
                <w:color w:val="000000" w:themeColor="text1"/>
                <w:highlight w:val="none"/>
                <w14:textFill>
                  <w14:solidFill>
                    <w14:schemeClr w14:val="tx1"/>
                  </w14:solidFill>
                </w14:textFill>
              </w:rPr>
            </w:pPr>
            <w:r>
              <w:rPr>
                <w:rFonts w:hint="eastAsia"/>
                <w:b w:val="0"/>
                <w:bCs w:val="0"/>
                <w:color w:val="000000" w:themeColor="text1"/>
                <w:highlight w:val="none"/>
                <w:lang w:eastAsia="zh-CN"/>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1</w:t>
            </w:r>
            <w:r>
              <w:rPr>
                <w:rFonts w:hint="eastAsia"/>
                <w:b w:val="0"/>
                <w:bCs w:val="0"/>
                <w:color w:val="000000" w:themeColor="text1"/>
                <w:highlight w:val="none"/>
                <w:lang w:eastAsia="zh-CN"/>
                <w14:textFill>
                  <w14:solidFill>
                    <w14:schemeClr w14:val="tx1"/>
                  </w14:solidFill>
                </w14:textFill>
              </w:rPr>
              <w:t>）</w:t>
            </w:r>
            <w:r>
              <w:rPr>
                <w:rFonts w:hint="eastAsia"/>
                <w:b w:val="0"/>
                <w:bCs w:val="0"/>
                <w:color w:val="000000" w:themeColor="text1"/>
                <w:highlight w:val="none"/>
                <w14:textFill>
                  <w14:solidFill>
                    <w14:schemeClr w14:val="tx1"/>
                  </w14:solidFill>
                </w14:textFill>
              </w:rPr>
              <w:t>竣工环境保护验收</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根据《建设项目竣工环境保护验收暂行办法》（国环规环评〔</w:t>
            </w:r>
            <w:r>
              <w:rPr>
                <w:color w:val="000000" w:themeColor="text1"/>
                <w:highlight w:val="none"/>
                <w14:textFill>
                  <w14:solidFill>
                    <w14:schemeClr w14:val="tx1"/>
                  </w14:solidFill>
                </w14:textFill>
              </w:rPr>
              <w:t>2017</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号）文件，建设单位作为项目竣工环保验收的责任主体，应当按照本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项目配套建设的环保设施经验收合格，方可投入生产或使用。</w:t>
            </w:r>
          </w:p>
          <w:p>
            <w:pPr>
              <w:pStyle w:val="5"/>
              <w:widowControl w:val="0"/>
              <w:ind w:firstLine="482"/>
              <w:rPr>
                <w:b w:val="0"/>
                <w:bCs w:val="0"/>
                <w:color w:val="000000" w:themeColor="text1"/>
                <w:highlight w:val="none"/>
                <w14:textFill>
                  <w14:solidFill>
                    <w14:schemeClr w14:val="tx1"/>
                  </w14:solidFill>
                </w14:textFill>
              </w:rPr>
            </w:pPr>
            <w:r>
              <w:rPr>
                <w:rFonts w:hint="eastAsia"/>
                <w:b w:val="0"/>
                <w:bCs w:val="0"/>
                <w:color w:val="000000" w:themeColor="text1"/>
                <w:highlight w:val="none"/>
                <w:lang w:eastAsia="zh-CN"/>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2</w:t>
            </w:r>
            <w:r>
              <w:rPr>
                <w:rFonts w:hint="eastAsia"/>
                <w:b w:val="0"/>
                <w:bCs w:val="0"/>
                <w:color w:val="000000" w:themeColor="text1"/>
                <w:highlight w:val="none"/>
                <w:lang w:eastAsia="zh-CN"/>
                <w14:textFill>
                  <w14:solidFill>
                    <w14:schemeClr w14:val="tx1"/>
                  </w14:solidFill>
                </w14:textFill>
              </w:rPr>
              <w:t>）</w:t>
            </w:r>
            <w:r>
              <w:rPr>
                <w:rFonts w:hint="eastAsia" w:cs="Times New Roman"/>
                <w:b w:val="0"/>
                <w:bCs w:val="0"/>
                <w:color w:val="000000" w:themeColor="text1"/>
                <w:highlight w:val="none"/>
                <w14:textFill>
                  <w14:solidFill>
                    <w14:schemeClr w14:val="tx1"/>
                  </w14:solidFill>
                </w14:textFill>
              </w:rPr>
              <w:t>排污许可管理类别判定</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根据《排污许可管理办法（试行）》（环境保护部令第</w:t>
            </w:r>
            <w:r>
              <w:rPr>
                <w:color w:val="000000" w:themeColor="text1"/>
                <w:highlight w:val="none"/>
                <w14:textFill>
                  <w14:solidFill>
                    <w14:schemeClr w14:val="tx1"/>
                  </w14:solidFill>
                </w14:textFill>
              </w:rPr>
              <w:t>48</w:t>
            </w:r>
            <w:r>
              <w:rPr>
                <w:rFonts w:hint="eastAsia"/>
                <w:color w:val="000000" w:themeColor="text1"/>
                <w:highlight w:val="none"/>
                <w14:textFill>
                  <w14:solidFill>
                    <w14:schemeClr w14:val="tx1"/>
                  </w14:solidFill>
                </w14:textFill>
              </w:rPr>
              <w:t>号）和《固定污染源排污许可分类管理名录（</w:t>
            </w:r>
            <w:r>
              <w:rPr>
                <w:color w:val="000000" w:themeColor="text1"/>
                <w:highlight w:val="none"/>
                <w14:textFill>
                  <w14:solidFill>
                    <w14:schemeClr w14:val="tx1"/>
                  </w14:solidFill>
                </w14:textFill>
              </w:rPr>
              <w:t>2019</w:t>
            </w:r>
            <w:r>
              <w:rPr>
                <w:rFonts w:hint="eastAsia"/>
                <w:color w:val="000000" w:themeColor="text1"/>
                <w:highlight w:val="none"/>
                <w14:textFill>
                  <w14:solidFill>
                    <w14:schemeClr w14:val="tx1"/>
                  </w14:solidFill>
                </w14:textFill>
              </w:rPr>
              <w:t>年版）》（</w:t>
            </w:r>
            <w:r>
              <w:rPr>
                <w:color w:val="000000" w:themeColor="text1"/>
                <w:highlight w:val="none"/>
                <w14:textFill>
                  <w14:solidFill>
                    <w14:schemeClr w14:val="tx1"/>
                  </w14:solidFill>
                </w14:textFill>
              </w:rPr>
              <w:t>2019</w:t>
            </w:r>
            <w:r>
              <w:rPr>
                <w:rFonts w:hint="eastAsia"/>
                <w:color w:val="000000" w:themeColor="text1"/>
                <w:highlight w:val="none"/>
                <w14:textFill>
                  <w14:solidFill>
                    <w14:schemeClr w14:val="tx1"/>
                  </w14:solidFill>
                </w14:textFill>
              </w:rPr>
              <w:t>年</w:t>
            </w:r>
            <w:r>
              <w:rPr>
                <w:color w:val="000000" w:themeColor="text1"/>
                <w:highlight w:val="none"/>
                <w14:textFill>
                  <w14:solidFill>
                    <w14:schemeClr w14:val="tx1"/>
                  </w14:solidFill>
                </w14:textFill>
              </w:rPr>
              <w:t>12</w:t>
            </w:r>
            <w:r>
              <w:rPr>
                <w:rFonts w:hint="eastAsia"/>
                <w:color w:val="000000" w:themeColor="text1"/>
                <w:highlight w:val="none"/>
                <w14:textFill>
                  <w14:solidFill>
                    <w14:schemeClr w14:val="tx1"/>
                  </w14:solidFill>
                </w14:textFill>
              </w:rPr>
              <w:t>月</w:t>
            </w:r>
            <w:r>
              <w:rPr>
                <w:color w:val="000000" w:themeColor="text1"/>
                <w:highlight w:val="none"/>
                <w14:textFill>
                  <w14:solidFill>
                    <w14:schemeClr w14:val="tx1"/>
                  </w14:solidFill>
                </w14:textFill>
              </w:rPr>
              <w:t>20</w:t>
            </w:r>
            <w:r>
              <w:rPr>
                <w:rFonts w:hint="eastAsia"/>
                <w:color w:val="000000" w:themeColor="text1"/>
                <w:highlight w:val="none"/>
                <w14:textFill>
                  <w14:solidFill>
                    <w14:schemeClr w14:val="tx1"/>
                  </w14:solidFill>
                </w14:textFill>
              </w:rPr>
              <w:t>日生态环境部令第</w:t>
            </w:r>
            <w:r>
              <w:rPr>
                <w:color w:val="000000" w:themeColor="text1"/>
                <w:highlight w:val="none"/>
                <w14:textFill>
                  <w14:solidFill>
                    <w14:schemeClr w14:val="tx1"/>
                  </w14:solidFill>
                </w14:textFill>
              </w:rPr>
              <w:t>11</w:t>
            </w:r>
            <w:r>
              <w:rPr>
                <w:rFonts w:hint="eastAsia"/>
                <w:color w:val="000000" w:themeColor="text1"/>
                <w:highlight w:val="none"/>
                <w14:textFill>
                  <w14:solidFill>
                    <w14:schemeClr w14:val="tx1"/>
                  </w14:solidFill>
                </w14:textFill>
              </w:rPr>
              <w:t>号），国家根据排放污染物的企业事业单位和其他生产经营者（以下简称排污单位）污染物产生量、排放量、对环境的影响程度等因素，实行排污许可重点管理、简化管理和登记管理。</w:t>
            </w:r>
          </w:p>
          <w:p>
            <w:pPr>
              <w:pStyle w:val="5"/>
              <w:widowControl w:val="0"/>
              <w:ind w:firstLine="480"/>
              <w:rPr>
                <w:b w:val="0"/>
                <w:bCs w:val="0"/>
                <w:color w:val="000000" w:themeColor="text1"/>
                <w:highlight w:val="none"/>
                <w14:textFill>
                  <w14:solidFill>
                    <w14:schemeClr w14:val="tx1"/>
                  </w14:solidFill>
                </w14:textFill>
              </w:rPr>
            </w:pPr>
            <w:r>
              <w:rPr>
                <w:rFonts w:hint="eastAsia"/>
                <w:b w:val="0"/>
                <w:bCs w:val="0"/>
                <w:color w:val="000000" w:themeColor="text1"/>
                <w:highlight w:val="none"/>
                <w:lang w:bidi="zh-CN"/>
                <w14:textFill>
                  <w14:solidFill>
                    <w14:schemeClr w14:val="tx1"/>
                  </w14:solidFill>
                </w14:textFill>
              </w:rPr>
              <w:t>经查询《固定污染源排污许可分类管理名录（</w:t>
            </w:r>
            <w:r>
              <w:rPr>
                <w:b w:val="0"/>
                <w:bCs w:val="0"/>
                <w:color w:val="000000" w:themeColor="text1"/>
                <w:highlight w:val="none"/>
                <w:lang w:bidi="zh-CN"/>
                <w14:textFill>
                  <w14:solidFill>
                    <w14:schemeClr w14:val="tx1"/>
                  </w14:solidFill>
                </w14:textFill>
              </w:rPr>
              <w:t>2019</w:t>
            </w:r>
            <w:r>
              <w:rPr>
                <w:rFonts w:hint="eastAsia"/>
                <w:b w:val="0"/>
                <w:bCs w:val="0"/>
                <w:color w:val="000000" w:themeColor="text1"/>
                <w:highlight w:val="none"/>
                <w:lang w:bidi="zh-CN"/>
                <w14:textFill>
                  <w14:solidFill>
                    <w14:schemeClr w14:val="tx1"/>
                  </w14:solidFill>
                </w14:textFill>
              </w:rPr>
              <w:t>年版）》（</w:t>
            </w:r>
            <w:r>
              <w:rPr>
                <w:b w:val="0"/>
                <w:bCs w:val="0"/>
                <w:color w:val="000000" w:themeColor="text1"/>
                <w:highlight w:val="none"/>
                <w:lang w:bidi="zh-CN"/>
                <w14:textFill>
                  <w14:solidFill>
                    <w14:schemeClr w14:val="tx1"/>
                  </w14:solidFill>
                </w14:textFill>
              </w:rPr>
              <w:t>2019</w:t>
            </w:r>
            <w:r>
              <w:rPr>
                <w:rFonts w:hint="eastAsia"/>
                <w:b w:val="0"/>
                <w:bCs w:val="0"/>
                <w:color w:val="000000" w:themeColor="text1"/>
                <w:highlight w:val="none"/>
                <w:lang w:bidi="zh-CN"/>
                <w14:textFill>
                  <w14:solidFill>
                    <w14:schemeClr w14:val="tx1"/>
                  </w14:solidFill>
                </w14:textFill>
              </w:rPr>
              <w:t>年</w:t>
            </w:r>
            <w:r>
              <w:rPr>
                <w:b w:val="0"/>
                <w:bCs w:val="0"/>
                <w:color w:val="000000" w:themeColor="text1"/>
                <w:highlight w:val="none"/>
                <w:lang w:bidi="zh-CN"/>
                <w14:textFill>
                  <w14:solidFill>
                    <w14:schemeClr w14:val="tx1"/>
                  </w14:solidFill>
                </w14:textFill>
              </w:rPr>
              <w:t>12</w:t>
            </w:r>
            <w:r>
              <w:rPr>
                <w:rFonts w:hint="eastAsia"/>
                <w:b w:val="0"/>
                <w:bCs w:val="0"/>
                <w:color w:val="000000" w:themeColor="text1"/>
                <w:highlight w:val="none"/>
                <w:lang w:bidi="zh-CN"/>
                <w14:textFill>
                  <w14:solidFill>
                    <w14:schemeClr w14:val="tx1"/>
                  </w14:solidFill>
                </w14:textFill>
              </w:rPr>
              <w:t>月</w:t>
            </w:r>
            <w:r>
              <w:rPr>
                <w:b w:val="0"/>
                <w:bCs w:val="0"/>
                <w:color w:val="000000" w:themeColor="text1"/>
                <w:highlight w:val="none"/>
                <w:lang w:bidi="zh-CN"/>
                <w14:textFill>
                  <w14:solidFill>
                    <w14:schemeClr w14:val="tx1"/>
                  </w14:solidFill>
                </w14:textFill>
              </w:rPr>
              <w:t>20</w:t>
            </w:r>
            <w:r>
              <w:rPr>
                <w:rFonts w:hint="eastAsia"/>
                <w:b w:val="0"/>
                <w:bCs w:val="0"/>
                <w:color w:val="000000" w:themeColor="text1"/>
                <w:highlight w:val="none"/>
                <w:lang w:bidi="zh-CN"/>
                <w14:textFill>
                  <w14:solidFill>
                    <w14:schemeClr w14:val="tx1"/>
                  </w14:solidFill>
                </w14:textFill>
              </w:rPr>
              <w:t>日生态环境部令第</w:t>
            </w:r>
            <w:r>
              <w:rPr>
                <w:b w:val="0"/>
                <w:bCs w:val="0"/>
                <w:color w:val="000000" w:themeColor="text1"/>
                <w:highlight w:val="none"/>
                <w:lang w:bidi="zh-CN"/>
                <w14:textFill>
                  <w14:solidFill>
                    <w14:schemeClr w14:val="tx1"/>
                  </w14:solidFill>
                </w14:textFill>
              </w:rPr>
              <w:t>11</w:t>
            </w:r>
            <w:r>
              <w:rPr>
                <w:rFonts w:hint="eastAsia"/>
                <w:b w:val="0"/>
                <w:bCs w:val="0"/>
                <w:color w:val="000000" w:themeColor="text1"/>
                <w:highlight w:val="none"/>
                <w:lang w:bidi="zh-CN"/>
                <w14:textFill>
                  <w14:solidFill>
                    <w14:schemeClr w14:val="tx1"/>
                  </w14:solidFill>
                </w14:textFill>
              </w:rPr>
              <w:t>号），本项目</w:t>
            </w:r>
            <w:r>
              <w:rPr>
                <w:rFonts w:hint="eastAsia"/>
                <w:b w:val="0"/>
                <w:bCs w:val="0"/>
                <w:color w:val="000000" w:themeColor="text1"/>
                <w:highlight w:val="none"/>
                <w14:textFill>
                  <w14:solidFill>
                    <w14:schemeClr w14:val="tx1"/>
                  </w14:solidFill>
                </w14:textFill>
              </w:rPr>
              <w:t>属于实行登记管理的排污单位。</w:t>
            </w:r>
          </w:p>
          <w:p>
            <w:pPr>
              <w:pStyle w:val="5"/>
              <w:widowControl w:val="0"/>
              <w:ind w:firstLine="482"/>
              <w:rPr>
                <w:rFonts w:cs="宋体"/>
                <w:b w:val="0"/>
                <w:bCs/>
                <w:color w:val="000000" w:themeColor="text1"/>
                <w:highlight w:val="none"/>
                <w:lang w:bidi="ar"/>
                <w14:textFill>
                  <w14:solidFill>
                    <w14:schemeClr w14:val="tx1"/>
                  </w14:solidFill>
                </w14:textFill>
              </w:rPr>
            </w:pPr>
            <w:r>
              <w:rPr>
                <w:rFonts w:hint="eastAsia" w:cs="宋体"/>
                <w:b w:val="0"/>
                <w:bCs/>
                <w:color w:val="000000" w:themeColor="text1"/>
                <w:highlight w:val="none"/>
                <w:lang w:eastAsia="zh-CN" w:bidi="ar"/>
                <w14:textFill>
                  <w14:solidFill>
                    <w14:schemeClr w14:val="tx1"/>
                  </w14:solidFill>
                </w14:textFill>
              </w:rPr>
              <w:t>（</w:t>
            </w:r>
            <w:r>
              <w:rPr>
                <w:rFonts w:hint="eastAsia" w:cs="宋体"/>
                <w:b w:val="0"/>
                <w:bCs/>
                <w:color w:val="000000" w:themeColor="text1"/>
                <w:highlight w:val="none"/>
                <w:lang w:val="en-US" w:eastAsia="zh-CN" w:bidi="ar"/>
                <w14:textFill>
                  <w14:solidFill>
                    <w14:schemeClr w14:val="tx1"/>
                  </w14:solidFill>
                </w14:textFill>
              </w:rPr>
              <w:t>3</w:t>
            </w:r>
            <w:r>
              <w:rPr>
                <w:rFonts w:hint="eastAsia" w:cs="宋体"/>
                <w:b w:val="0"/>
                <w:bCs/>
                <w:color w:val="000000" w:themeColor="text1"/>
                <w:highlight w:val="none"/>
                <w:lang w:eastAsia="zh-CN" w:bidi="ar"/>
                <w14:textFill>
                  <w14:solidFill>
                    <w14:schemeClr w14:val="tx1"/>
                  </w14:solidFill>
                </w14:textFill>
              </w:rPr>
              <w:t>）</w:t>
            </w:r>
            <w:r>
              <w:rPr>
                <w:rFonts w:hint="eastAsia" w:cs="Times New Roman"/>
                <w:b w:val="0"/>
                <w:bCs/>
                <w:color w:val="000000" w:themeColor="text1"/>
                <w:highlight w:val="none"/>
                <w14:textFill>
                  <w14:solidFill>
                    <w14:schemeClr w14:val="tx1"/>
                  </w14:solidFill>
                </w14:textFill>
              </w:rPr>
              <w:t>排污口规范化</w:t>
            </w:r>
          </w:p>
          <w:p>
            <w:pPr>
              <w:pStyle w:val="5"/>
              <w:widowControl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根据国家标准《环境保护图形标志</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排放口（源）》和国家环保总局《排污口规范化整治技术要求（试行）》的技术要求，企业所有排放口必须按照</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便于采样、便于计量监测、便于日常现场监督检查</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的原则和规范化要求，设置排污口标志牌，绘制企业排污口公布图，对治理设施安装运行监控装置。</w:t>
            </w:r>
          </w:p>
          <w:p>
            <w:pPr>
              <w:pStyle w:val="5"/>
              <w:widowControl w:val="0"/>
              <w:ind w:firstLine="482"/>
              <w:rPr>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固定噪声排放源：</w:t>
            </w:r>
            <w:r>
              <w:rPr>
                <w:rFonts w:hint="eastAsia"/>
                <w:color w:val="000000" w:themeColor="text1"/>
                <w:highlight w:val="none"/>
                <w14:textFill>
                  <w14:solidFill>
                    <w14:schemeClr w14:val="tx1"/>
                  </w14:solidFill>
                </w14:textFill>
              </w:rPr>
              <w:t>按规定对固定噪声源进行治理，并在企业边界噪声敏感点且对外影响最大处设置标志牌。</w:t>
            </w:r>
          </w:p>
          <w:p>
            <w:pPr>
              <w:pStyle w:val="5"/>
              <w:widowControl w:val="0"/>
              <w:ind w:firstLine="482"/>
              <w:rPr>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固体废物贮存（处置）场：</w:t>
            </w:r>
            <w:r>
              <w:rPr>
                <w:rFonts w:hint="eastAsia"/>
                <w:color w:val="000000" w:themeColor="text1"/>
                <w:highlight w:val="none"/>
                <w14:textFill>
                  <w14:solidFill>
                    <w14:schemeClr w14:val="tx1"/>
                  </w14:solidFill>
                </w14:textFill>
              </w:rPr>
              <w:t>生活垃圾应设置专用垃圾桶及垃圾袋，一般工业固体废物应设置专用贮存、堆放场地，危险废物必须设置专用危废暂存间，有防扬散、防流失、防渗漏等措施。</w:t>
            </w:r>
          </w:p>
          <w:p>
            <w:pPr>
              <w:pStyle w:val="5"/>
              <w:widowControl w:val="0"/>
              <w:ind w:firstLine="482"/>
              <w:rPr>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设置标志牌要求：</w:t>
            </w:r>
            <w:r>
              <w:rPr>
                <w:rFonts w:hint="eastAsia"/>
                <w:color w:val="000000" w:themeColor="text1"/>
                <w:highlight w:val="none"/>
                <w14:textFill>
                  <w14:solidFill>
                    <w14:schemeClr w14:val="tx1"/>
                  </w14:solidFill>
                </w14:textFill>
              </w:rPr>
              <w:t>环保标志牌和排污口分布图由生态环境部门统一制定，一般污染物排放口设置提示标志牌，排放有毒有害等污染物的排放口设置警告式标志牌。标志牌应设置在排污口（采样点）附近且醒目处，高度为标志牌上缘离地面</w:t>
            </w:r>
            <w:r>
              <w:rPr>
                <w:color w:val="000000" w:themeColor="text1"/>
                <w:highlight w:val="none"/>
                <w14:textFill>
                  <w14:solidFill>
                    <w14:schemeClr w14:val="tx1"/>
                  </w14:solidFill>
                </w14:textFill>
              </w:rPr>
              <w:t>2m</w:t>
            </w:r>
            <w:r>
              <w:rPr>
                <w:rFonts w:hint="eastAsia"/>
                <w:color w:val="000000" w:themeColor="text1"/>
                <w:highlight w:val="none"/>
                <w14:textFill>
                  <w14:solidFill>
                    <w14:schemeClr w14:val="tx1"/>
                  </w14:solidFill>
                </w14:textFill>
              </w:rPr>
              <w:t>，排污口附近</w:t>
            </w:r>
            <w:r>
              <w:rPr>
                <w:color w:val="000000" w:themeColor="text1"/>
                <w:highlight w:val="none"/>
                <w14:textFill>
                  <w14:solidFill>
                    <w14:schemeClr w14:val="tx1"/>
                  </w14:solidFill>
                </w14:textFill>
              </w:rPr>
              <w:t>1m</w:t>
            </w:r>
            <w:r>
              <w:rPr>
                <w:rFonts w:hint="eastAsia"/>
                <w:color w:val="000000" w:themeColor="text1"/>
                <w:highlight w:val="none"/>
                <w14:textFill>
                  <w14:solidFill>
                    <w14:schemeClr w14:val="tx1"/>
                  </w14:solidFill>
                </w14:textFill>
              </w:rPr>
              <w:t>范围内有建筑物的，设平面式标志牌，无建筑物的设立式标志牌。排污口的有关设置（如力形标志牌、计量装置、监控装置等）属环保设施，排污单位必须负责日常的维护保养，任何单位和个人不得擅自拆除，如需要变更的须报当地环保局同意并办理变更手续。为了公众监督管理，按照国家环境保护总局制定的《环境保护图形标志》以及的规定，在各排污口设立相应的环境保护图形标志牌</w:t>
            </w:r>
            <w:r>
              <w:rPr>
                <w:rFonts w:hint="eastAsia"/>
                <w:color w:val="000000" w:themeColor="text1"/>
                <w:highlight w:val="none"/>
                <w:lang w:eastAsia="zh-CN"/>
                <w14:textFill>
                  <w14:solidFill>
                    <w14:schemeClr w14:val="tx1"/>
                  </w14:solidFill>
                </w14:textFill>
              </w:rPr>
              <w:t>。</w:t>
            </w:r>
          </w:p>
          <w:p>
            <w:pPr>
              <w:pStyle w:val="5"/>
              <w:widowControl w:val="0"/>
              <w:ind w:firstLine="482"/>
              <w:rPr>
                <w:rFonts w:cs="宋体"/>
                <w:b/>
                <w:color w:val="000000" w:themeColor="text1"/>
                <w:highlight w:val="none"/>
                <w:lang w:bidi="ar"/>
                <w14:textFill>
                  <w14:solidFill>
                    <w14:schemeClr w14:val="tx1"/>
                  </w14:solidFill>
                </w14:textFill>
              </w:rPr>
            </w:pPr>
            <w:r>
              <w:rPr>
                <w:rFonts w:cs="宋体"/>
                <w:b/>
                <w:color w:val="000000" w:themeColor="text1"/>
                <w:highlight w:val="none"/>
                <w:lang w:bidi="ar"/>
                <w14:textFill>
                  <w14:solidFill>
                    <w14:schemeClr w14:val="tx1"/>
                  </w14:solidFill>
                </w14:textFill>
              </w:rPr>
              <w:t xml:space="preserve">4.2.8  </w:t>
            </w:r>
            <w:r>
              <w:rPr>
                <w:rFonts w:hint="eastAsia" w:cs="Times New Roman"/>
                <w:b/>
                <w:bCs/>
                <w:color w:val="000000" w:themeColor="text1"/>
                <w:highlight w:val="none"/>
                <w14:textFill>
                  <w14:solidFill>
                    <w14:schemeClr w14:val="tx1"/>
                  </w14:solidFill>
                </w14:textFill>
              </w:rPr>
              <w:t>环保投资估算</w:t>
            </w:r>
          </w:p>
          <w:p>
            <w:pPr>
              <w:pStyle w:val="5"/>
              <w:widowControl w:val="0"/>
              <w:ind w:firstLine="480"/>
              <w:rPr>
                <w:rFonts w:cs="宋体"/>
                <w:bCs/>
                <w:color w:val="000000" w:themeColor="text1"/>
                <w:highlight w:val="none"/>
                <w:lang w:bidi="ar"/>
                <w14:textFill>
                  <w14:solidFill>
                    <w14:schemeClr w14:val="tx1"/>
                  </w14:solidFill>
                </w14:textFill>
              </w:rPr>
            </w:pPr>
            <w:r>
              <w:rPr>
                <w:rFonts w:hint="eastAsia" w:cs="宋体"/>
                <w:bCs/>
                <w:color w:val="000000" w:themeColor="text1"/>
                <w:highlight w:val="none"/>
                <w:lang w:bidi="ar"/>
                <w14:textFill>
                  <w14:solidFill>
                    <w14:schemeClr w14:val="tx1"/>
                  </w14:solidFill>
                </w14:textFill>
              </w:rPr>
              <w:t>本项目总投资</w:t>
            </w:r>
            <w:r>
              <w:rPr>
                <w:rFonts w:hint="eastAsia" w:cs="宋体"/>
                <w:bCs/>
                <w:color w:val="000000" w:themeColor="text1"/>
                <w:highlight w:val="none"/>
                <w:lang w:val="en-US" w:eastAsia="zh-CN" w:bidi="ar"/>
                <w14:textFill>
                  <w14:solidFill>
                    <w14:schemeClr w14:val="tx1"/>
                  </w14:solidFill>
                </w14:textFill>
              </w:rPr>
              <w:t>993.37</w:t>
            </w:r>
            <w:r>
              <w:rPr>
                <w:rFonts w:hint="eastAsia" w:cs="宋体"/>
                <w:bCs/>
                <w:color w:val="000000" w:themeColor="text1"/>
                <w:highlight w:val="none"/>
                <w:lang w:bidi="ar"/>
                <w14:textFill>
                  <w14:solidFill>
                    <w14:schemeClr w14:val="tx1"/>
                  </w14:solidFill>
                </w14:textFill>
              </w:rPr>
              <w:t>万元，</w:t>
            </w:r>
            <w:r>
              <w:rPr>
                <w:rFonts w:hint="eastAsia" w:cs="Times New Roman"/>
                <w:color w:val="000000" w:themeColor="text1"/>
                <w:highlight w:val="none"/>
                <w14:textFill>
                  <w14:solidFill>
                    <w14:schemeClr w14:val="tx1"/>
                  </w14:solidFill>
                </w14:textFill>
              </w:rPr>
              <w:t>其中环保投资</w:t>
            </w:r>
            <w:r>
              <w:rPr>
                <w:rFonts w:hint="eastAsia" w:cs="Times New Roman"/>
                <w:color w:val="000000" w:themeColor="text1"/>
                <w:highlight w:val="none"/>
                <w:lang w:val="en-US" w:eastAsia="zh-CN"/>
                <w14:textFill>
                  <w14:solidFill>
                    <w14:schemeClr w14:val="tx1"/>
                  </w14:solidFill>
                </w14:textFill>
              </w:rPr>
              <w:t>106</w:t>
            </w:r>
            <w:r>
              <w:rPr>
                <w:rFonts w:hint="eastAsia" w:cs="Times New Roman"/>
                <w:color w:val="000000" w:themeColor="text1"/>
                <w:highlight w:val="none"/>
                <w14:textFill>
                  <w14:solidFill>
                    <w14:schemeClr w14:val="tx1"/>
                  </w14:solidFill>
                </w14:textFill>
              </w:rPr>
              <w:t>万元，环保投资占总投资的比例为</w:t>
            </w:r>
            <w:r>
              <w:rPr>
                <w:rFonts w:hint="eastAsia" w:cs="Times New Roman"/>
                <w:color w:val="000000" w:themeColor="text1"/>
                <w:highlight w:val="none"/>
                <w:lang w:val="en-US" w:eastAsia="zh-CN"/>
                <w14:textFill>
                  <w14:solidFill>
                    <w14:schemeClr w14:val="tx1"/>
                  </w14:solidFill>
                </w14:textFill>
              </w:rPr>
              <w:t>10.67</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；项目环保投资一览表如下：</w:t>
            </w:r>
          </w:p>
          <w:p>
            <w:pPr>
              <w:pStyle w:val="5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 xml:space="preserve"> 4-</w:t>
            </w:r>
            <w:r>
              <w:rPr>
                <w:rFonts w:hint="eastAsia"/>
                <w:color w:val="000000" w:themeColor="text1"/>
                <w:highlight w:val="none"/>
                <w:lang w:val="en-US" w:eastAsia="zh-CN"/>
                <w14:textFill>
                  <w14:solidFill>
                    <w14:schemeClr w14:val="tx1"/>
                  </w14:solidFill>
                </w14:textFill>
              </w:rPr>
              <w:t>13</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项目环保投资一览表</w:t>
            </w:r>
          </w:p>
          <w:tbl>
            <w:tblPr>
              <w:tblStyle w:val="27"/>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73"/>
              <w:gridCol w:w="922"/>
              <w:gridCol w:w="1531"/>
              <w:gridCol w:w="4214"/>
              <w:gridCol w:w="16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exact"/>
                <w:jc w:val="center"/>
              </w:trPr>
              <w:tc>
                <w:tcPr>
                  <w:tcW w:w="1024" w:type="pct"/>
                  <w:gridSpan w:val="2"/>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污染源</w:t>
                  </w:r>
                </w:p>
              </w:tc>
              <w:tc>
                <w:tcPr>
                  <w:tcW w:w="827"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治理项目</w:t>
                  </w:r>
                </w:p>
              </w:tc>
              <w:tc>
                <w:tcPr>
                  <w:tcW w:w="2277"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环保治理措施</w:t>
                  </w:r>
                </w:p>
              </w:tc>
              <w:tc>
                <w:tcPr>
                  <w:tcW w:w="870"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资金（万元）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0" w:hRule="exact"/>
                <w:jc w:val="center"/>
              </w:trPr>
              <w:tc>
                <w:tcPr>
                  <w:tcW w:w="525" w:type="pct"/>
                  <w:vMerge w:val="restart"/>
                  <w:tcBorders>
                    <w:tl2br w:val="nil"/>
                    <w:tr2bl w:val="nil"/>
                  </w:tcBorders>
                  <w:vAlign w:val="center"/>
                </w:tcPr>
                <w:p>
                  <w:pPr>
                    <w:pStyle w:val="38"/>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施工期</w:t>
                  </w:r>
                </w:p>
              </w:tc>
              <w:tc>
                <w:tcPr>
                  <w:tcW w:w="1325" w:type="pct"/>
                  <w:gridSpan w:val="2"/>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废气</w:t>
                  </w:r>
                </w:p>
              </w:tc>
              <w:tc>
                <w:tcPr>
                  <w:tcW w:w="2277" w:type="pct"/>
                  <w:tcBorders>
                    <w:tl2br w:val="nil"/>
                    <w:tr2bl w:val="nil"/>
                  </w:tcBorders>
                  <w:vAlign w:val="center"/>
                </w:tcPr>
                <w:p>
                  <w:pPr>
                    <w:pStyle w:val="38"/>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工地周围设置围档；干燥地面喷湿压尘；砂石、土方物料等围挡、遮盖；</w:t>
                  </w:r>
                </w:p>
              </w:tc>
              <w:tc>
                <w:tcPr>
                  <w:tcW w:w="870"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exact"/>
                <w:jc w:val="center"/>
              </w:trPr>
              <w:tc>
                <w:tcPr>
                  <w:tcW w:w="525" w:type="pct"/>
                  <w:vMerge w:val="continue"/>
                  <w:tcBorders>
                    <w:tl2br w:val="nil"/>
                    <w:tr2bl w:val="nil"/>
                  </w:tcBorders>
                  <w:vAlign w:val="center"/>
                </w:tcPr>
                <w:p>
                  <w:pPr>
                    <w:pStyle w:val="38"/>
                    <w:rPr>
                      <w:rFonts w:hint="eastAsia"/>
                      <w:color w:val="000000" w:themeColor="text1"/>
                      <w:highlight w:val="none"/>
                      <w:u w:val="single"/>
                      <w14:textFill>
                        <w14:solidFill>
                          <w14:schemeClr w14:val="tx1"/>
                        </w14:solidFill>
                      </w14:textFill>
                    </w:rPr>
                  </w:pPr>
                </w:p>
              </w:tc>
              <w:tc>
                <w:tcPr>
                  <w:tcW w:w="1325" w:type="pct"/>
                  <w:gridSpan w:val="2"/>
                  <w:tcBorders>
                    <w:tl2br w:val="nil"/>
                    <w:tr2bl w:val="nil"/>
                  </w:tcBorders>
                  <w:vAlign w:val="center"/>
                </w:tcPr>
                <w:p>
                  <w:pPr>
                    <w:pStyle w:val="38"/>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废水</w:t>
                  </w:r>
                </w:p>
              </w:tc>
              <w:tc>
                <w:tcPr>
                  <w:tcW w:w="2277"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沉淀池</w:t>
                  </w:r>
                </w:p>
              </w:tc>
              <w:tc>
                <w:tcPr>
                  <w:tcW w:w="870"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5" w:hRule="exact"/>
                <w:jc w:val="center"/>
              </w:trPr>
              <w:tc>
                <w:tcPr>
                  <w:tcW w:w="525" w:type="pct"/>
                  <w:vMerge w:val="continue"/>
                  <w:tcBorders>
                    <w:tl2br w:val="nil"/>
                    <w:tr2bl w:val="nil"/>
                  </w:tcBorders>
                  <w:vAlign w:val="center"/>
                </w:tcPr>
                <w:p>
                  <w:pPr>
                    <w:pStyle w:val="38"/>
                    <w:rPr>
                      <w:rFonts w:hint="eastAsia"/>
                      <w:color w:val="000000" w:themeColor="text1"/>
                      <w:highlight w:val="none"/>
                      <w:u w:val="single"/>
                      <w14:textFill>
                        <w14:solidFill>
                          <w14:schemeClr w14:val="tx1"/>
                        </w14:solidFill>
                      </w14:textFill>
                    </w:rPr>
                  </w:pPr>
                </w:p>
              </w:tc>
              <w:tc>
                <w:tcPr>
                  <w:tcW w:w="1325" w:type="pct"/>
                  <w:gridSpan w:val="2"/>
                  <w:tcBorders>
                    <w:tl2br w:val="nil"/>
                    <w:tr2bl w:val="nil"/>
                  </w:tcBorders>
                  <w:vAlign w:val="center"/>
                </w:tcPr>
                <w:p>
                  <w:pPr>
                    <w:pStyle w:val="38"/>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噪声</w:t>
                  </w:r>
                </w:p>
              </w:tc>
              <w:tc>
                <w:tcPr>
                  <w:tcW w:w="2277" w:type="pct"/>
                  <w:tcBorders>
                    <w:tl2br w:val="nil"/>
                    <w:tr2bl w:val="nil"/>
                  </w:tcBorders>
                  <w:vAlign w:val="center"/>
                </w:tcPr>
                <w:p>
                  <w:pPr>
                    <w:pStyle w:val="38"/>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采用低噪施工机械，文明施工；合理安排施工时间；禁止运输车辆鸣放高音喇叭</w:t>
                  </w:r>
                </w:p>
              </w:tc>
              <w:tc>
                <w:tcPr>
                  <w:tcW w:w="870"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02" w:hRule="exact"/>
                <w:jc w:val="center"/>
              </w:trPr>
              <w:tc>
                <w:tcPr>
                  <w:tcW w:w="525" w:type="pct"/>
                  <w:vMerge w:val="continue"/>
                  <w:tcBorders>
                    <w:tl2br w:val="nil"/>
                    <w:tr2bl w:val="nil"/>
                  </w:tcBorders>
                  <w:vAlign w:val="center"/>
                </w:tcPr>
                <w:p>
                  <w:pPr>
                    <w:pStyle w:val="38"/>
                    <w:rPr>
                      <w:rFonts w:hint="eastAsia"/>
                      <w:color w:val="000000" w:themeColor="text1"/>
                      <w:highlight w:val="none"/>
                      <w:u w:val="single"/>
                      <w14:textFill>
                        <w14:solidFill>
                          <w14:schemeClr w14:val="tx1"/>
                        </w14:solidFill>
                      </w14:textFill>
                    </w:rPr>
                  </w:pPr>
                </w:p>
              </w:tc>
              <w:tc>
                <w:tcPr>
                  <w:tcW w:w="1325" w:type="pct"/>
                  <w:gridSpan w:val="2"/>
                  <w:tcBorders>
                    <w:tl2br w:val="nil"/>
                    <w:tr2bl w:val="nil"/>
                  </w:tcBorders>
                  <w:vAlign w:val="center"/>
                </w:tcPr>
                <w:p>
                  <w:pPr>
                    <w:pStyle w:val="38"/>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固废</w:t>
                  </w:r>
                </w:p>
              </w:tc>
              <w:tc>
                <w:tcPr>
                  <w:tcW w:w="2277" w:type="pct"/>
                  <w:tcBorders>
                    <w:tl2br w:val="nil"/>
                    <w:tr2bl w:val="nil"/>
                  </w:tcBorders>
                  <w:vAlign w:val="center"/>
                </w:tcPr>
                <w:p>
                  <w:pPr>
                    <w:pStyle w:val="38"/>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垃圾收集桶、临时堆土场</w:t>
                  </w:r>
                </w:p>
              </w:tc>
              <w:tc>
                <w:tcPr>
                  <w:tcW w:w="870"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exact"/>
                <w:jc w:val="center"/>
              </w:trPr>
              <w:tc>
                <w:tcPr>
                  <w:tcW w:w="525" w:type="pct"/>
                  <w:vMerge w:val="continue"/>
                  <w:tcBorders>
                    <w:tl2br w:val="nil"/>
                    <w:tr2bl w:val="nil"/>
                  </w:tcBorders>
                  <w:vAlign w:val="center"/>
                </w:tcPr>
                <w:p>
                  <w:pPr>
                    <w:pStyle w:val="38"/>
                    <w:rPr>
                      <w:rFonts w:hint="eastAsia"/>
                      <w:color w:val="000000" w:themeColor="text1"/>
                      <w:highlight w:val="none"/>
                      <w:u w:val="single"/>
                      <w14:textFill>
                        <w14:solidFill>
                          <w14:schemeClr w14:val="tx1"/>
                        </w14:solidFill>
                      </w14:textFill>
                    </w:rPr>
                  </w:pPr>
                </w:p>
              </w:tc>
              <w:tc>
                <w:tcPr>
                  <w:tcW w:w="1325" w:type="pct"/>
                  <w:gridSpan w:val="2"/>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生态</w:t>
                  </w:r>
                </w:p>
              </w:tc>
              <w:tc>
                <w:tcPr>
                  <w:tcW w:w="2277" w:type="pct"/>
                  <w:tcBorders>
                    <w:tl2br w:val="nil"/>
                    <w:tr2bl w:val="nil"/>
                  </w:tcBorders>
                  <w:vAlign w:val="center"/>
                </w:tcPr>
                <w:p>
                  <w:pPr>
                    <w:pStyle w:val="38"/>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硬化施工便道、分片开挖、施工结束后要进行生态恢复绿化</w:t>
                  </w:r>
                </w:p>
              </w:tc>
              <w:tc>
                <w:tcPr>
                  <w:tcW w:w="870"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exact"/>
                <w:jc w:val="center"/>
              </w:trPr>
              <w:tc>
                <w:tcPr>
                  <w:tcW w:w="525" w:type="pct"/>
                  <w:vMerge w:val="restar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营运期</w:t>
                  </w:r>
                </w:p>
              </w:tc>
              <w:tc>
                <w:tcPr>
                  <w:tcW w:w="498" w:type="pct"/>
                  <w:vMerge w:val="restar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废气</w:t>
                  </w:r>
                </w:p>
              </w:tc>
              <w:tc>
                <w:tcPr>
                  <w:tcW w:w="827"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食堂油烟</w:t>
                  </w:r>
                </w:p>
              </w:tc>
              <w:tc>
                <w:tcPr>
                  <w:tcW w:w="2277"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油烟净化器+专用烟道</w:t>
                  </w:r>
                </w:p>
              </w:tc>
              <w:tc>
                <w:tcPr>
                  <w:tcW w:w="870"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exact"/>
                <w:jc w:val="center"/>
              </w:trPr>
              <w:tc>
                <w:tcPr>
                  <w:tcW w:w="525" w:type="pct"/>
                  <w:vMerge w:val="continue"/>
                  <w:tcBorders>
                    <w:tl2br w:val="nil"/>
                    <w:tr2bl w:val="nil"/>
                  </w:tcBorders>
                  <w:vAlign w:val="center"/>
                </w:tcPr>
                <w:p>
                  <w:pPr>
                    <w:pStyle w:val="38"/>
                    <w:rPr>
                      <w:rFonts w:hint="eastAsia"/>
                      <w:color w:val="000000" w:themeColor="text1"/>
                      <w:highlight w:val="none"/>
                      <w:u w:val="single"/>
                      <w14:textFill>
                        <w14:solidFill>
                          <w14:schemeClr w14:val="tx1"/>
                        </w14:solidFill>
                      </w14:textFill>
                    </w:rPr>
                  </w:pPr>
                </w:p>
              </w:tc>
              <w:tc>
                <w:tcPr>
                  <w:tcW w:w="498" w:type="pct"/>
                  <w:vMerge w:val="continue"/>
                  <w:tcBorders>
                    <w:tl2br w:val="nil"/>
                    <w:tr2bl w:val="nil"/>
                  </w:tcBorders>
                  <w:vAlign w:val="center"/>
                </w:tcPr>
                <w:p>
                  <w:pPr>
                    <w:pStyle w:val="38"/>
                    <w:rPr>
                      <w:rFonts w:hint="eastAsia"/>
                      <w:color w:val="000000" w:themeColor="text1"/>
                      <w:highlight w:val="none"/>
                      <w:u w:val="single"/>
                      <w14:textFill>
                        <w14:solidFill>
                          <w14:schemeClr w14:val="tx1"/>
                        </w14:solidFill>
                      </w14:textFill>
                    </w:rPr>
                  </w:pPr>
                </w:p>
              </w:tc>
              <w:tc>
                <w:tcPr>
                  <w:tcW w:w="827"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发电机尾气</w:t>
                  </w:r>
                </w:p>
              </w:tc>
              <w:tc>
                <w:tcPr>
                  <w:tcW w:w="2277"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引风机+15m排气筒排放</w:t>
                  </w:r>
                </w:p>
              </w:tc>
              <w:tc>
                <w:tcPr>
                  <w:tcW w:w="870"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8" w:hRule="exact"/>
                <w:jc w:val="center"/>
              </w:trPr>
              <w:tc>
                <w:tcPr>
                  <w:tcW w:w="525" w:type="pct"/>
                  <w:vMerge w:val="continue"/>
                  <w:tcBorders>
                    <w:tl2br w:val="nil"/>
                    <w:tr2bl w:val="nil"/>
                  </w:tcBorders>
                  <w:vAlign w:val="center"/>
                </w:tcPr>
                <w:p>
                  <w:pPr>
                    <w:pStyle w:val="38"/>
                    <w:rPr>
                      <w:color w:val="000000" w:themeColor="text1"/>
                      <w:highlight w:val="none"/>
                      <w:u w:val="single"/>
                      <w14:textFill>
                        <w14:solidFill>
                          <w14:schemeClr w14:val="tx1"/>
                        </w14:solidFill>
                      </w14:textFill>
                    </w:rPr>
                  </w:pPr>
                </w:p>
              </w:tc>
              <w:tc>
                <w:tcPr>
                  <w:tcW w:w="498"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废水</w:t>
                  </w:r>
                </w:p>
              </w:tc>
              <w:tc>
                <w:tcPr>
                  <w:tcW w:w="827"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生活污水</w:t>
                  </w:r>
                </w:p>
              </w:tc>
              <w:tc>
                <w:tcPr>
                  <w:tcW w:w="2277"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三级</w:t>
                  </w:r>
                  <w:r>
                    <w:rPr>
                      <w:rFonts w:hint="eastAsia"/>
                      <w:color w:val="000000" w:themeColor="text1"/>
                      <w:highlight w:val="none"/>
                      <w:u w:val="single"/>
                      <w14:textFill>
                        <w14:solidFill>
                          <w14:schemeClr w14:val="tx1"/>
                        </w14:solidFill>
                      </w14:textFill>
                    </w:rPr>
                    <w:t>化粪池</w:t>
                  </w:r>
                </w:p>
              </w:tc>
              <w:tc>
                <w:tcPr>
                  <w:tcW w:w="870" w:type="pct"/>
                  <w:tcBorders>
                    <w:tl2br w:val="nil"/>
                    <w:tr2bl w:val="nil"/>
                  </w:tcBorders>
                  <w:vAlign w:val="center"/>
                </w:tcPr>
                <w:p>
                  <w:pPr>
                    <w:pStyle w:val="38"/>
                    <w:rPr>
                      <w:rFonts w:hint="eastAsia" w:eastAsia="宋体"/>
                      <w:color w:val="000000" w:themeColor="text1"/>
                      <w:highlight w:val="none"/>
                      <w:u w:val="single"/>
                      <w:lang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0" w:hRule="exact"/>
                <w:jc w:val="center"/>
              </w:trPr>
              <w:tc>
                <w:tcPr>
                  <w:tcW w:w="525" w:type="pct"/>
                  <w:vMerge w:val="continue"/>
                  <w:tcBorders>
                    <w:tl2br w:val="nil"/>
                    <w:tr2bl w:val="nil"/>
                  </w:tcBorders>
                  <w:vAlign w:val="center"/>
                </w:tcPr>
                <w:p>
                  <w:pPr>
                    <w:pStyle w:val="38"/>
                    <w:rPr>
                      <w:color w:val="000000" w:themeColor="text1"/>
                      <w:highlight w:val="none"/>
                      <w:u w:val="single"/>
                      <w14:textFill>
                        <w14:solidFill>
                          <w14:schemeClr w14:val="tx1"/>
                        </w14:solidFill>
                      </w14:textFill>
                    </w:rPr>
                  </w:pPr>
                </w:p>
              </w:tc>
              <w:tc>
                <w:tcPr>
                  <w:tcW w:w="498"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噪声</w:t>
                  </w:r>
                </w:p>
              </w:tc>
              <w:tc>
                <w:tcPr>
                  <w:tcW w:w="827"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设备噪声</w:t>
                  </w:r>
                </w:p>
              </w:tc>
              <w:tc>
                <w:tcPr>
                  <w:tcW w:w="2277"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选用低噪声设备，经</w:t>
                  </w:r>
                  <w:r>
                    <w:rPr>
                      <w:rFonts w:hint="eastAsia"/>
                      <w:color w:val="000000" w:themeColor="text1"/>
                      <w:highlight w:val="none"/>
                      <w:u w:val="single"/>
                      <w:lang w:val="en-US" w:eastAsia="zh-CN"/>
                      <w14:textFill>
                        <w14:solidFill>
                          <w14:schemeClr w14:val="tx1"/>
                        </w14:solidFill>
                      </w14:textFill>
                    </w:rPr>
                    <w:t>建筑</w:t>
                  </w:r>
                  <w:r>
                    <w:rPr>
                      <w:rFonts w:hint="eastAsia"/>
                      <w:color w:val="000000" w:themeColor="text1"/>
                      <w:highlight w:val="none"/>
                      <w:u w:val="single"/>
                      <w14:textFill>
                        <w14:solidFill>
                          <w14:schemeClr w14:val="tx1"/>
                        </w14:solidFill>
                      </w14:textFill>
                    </w:rPr>
                    <w:t>隔声和减震处理，合理布局设备</w:t>
                  </w:r>
                </w:p>
              </w:tc>
              <w:tc>
                <w:tcPr>
                  <w:tcW w:w="870"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0" w:hRule="exact"/>
                <w:jc w:val="center"/>
              </w:trPr>
              <w:tc>
                <w:tcPr>
                  <w:tcW w:w="525" w:type="pct"/>
                  <w:vMerge w:val="continue"/>
                  <w:tcBorders>
                    <w:tl2br w:val="nil"/>
                    <w:tr2bl w:val="nil"/>
                  </w:tcBorders>
                  <w:vAlign w:val="center"/>
                </w:tcPr>
                <w:p>
                  <w:pPr>
                    <w:pStyle w:val="38"/>
                    <w:rPr>
                      <w:color w:val="000000" w:themeColor="text1"/>
                      <w:highlight w:val="none"/>
                      <w:u w:val="single"/>
                      <w14:textFill>
                        <w14:solidFill>
                          <w14:schemeClr w14:val="tx1"/>
                        </w14:solidFill>
                      </w14:textFill>
                    </w:rPr>
                  </w:pPr>
                </w:p>
              </w:tc>
              <w:tc>
                <w:tcPr>
                  <w:tcW w:w="498" w:type="pct"/>
                  <w:vMerge w:val="restar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固废</w:t>
                  </w:r>
                </w:p>
              </w:tc>
              <w:tc>
                <w:tcPr>
                  <w:tcW w:w="827" w:type="pct"/>
                  <w:vMerge w:val="restar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一般固废</w:t>
                  </w:r>
                </w:p>
              </w:tc>
              <w:tc>
                <w:tcPr>
                  <w:tcW w:w="2277"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设有一台污泥压滤机，对水处理产生的污泥进行压滤脱水处理</w:t>
                  </w:r>
                </w:p>
              </w:tc>
              <w:tc>
                <w:tcPr>
                  <w:tcW w:w="870"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40" w:hRule="exact"/>
                <w:jc w:val="center"/>
              </w:trPr>
              <w:tc>
                <w:tcPr>
                  <w:tcW w:w="525" w:type="pct"/>
                  <w:vMerge w:val="continue"/>
                  <w:tcBorders>
                    <w:tl2br w:val="nil"/>
                    <w:tr2bl w:val="nil"/>
                  </w:tcBorders>
                  <w:vAlign w:val="center"/>
                </w:tcPr>
                <w:p>
                  <w:pPr>
                    <w:pStyle w:val="38"/>
                    <w:rPr>
                      <w:color w:val="000000" w:themeColor="text1"/>
                      <w:highlight w:val="none"/>
                      <w:u w:val="single"/>
                      <w14:textFill>
                        <w14:solidFill>
                          <w14:schemeClr w14:val="tx1"/>
                        </w14:solidFill>
                      </w14:textFill>
                    </w:rPr>
                  </w:pPr>
                </w:p>
              </w:tc>
              <w:tc>
                <w:tcPr>
                  <w:tcW w:w="498" w:type="pct"/>
                  <w:vMerge w:val="continue"/>
                  <w:tcBorders>
                    <w:tl2br w:val="nil"/>
                    <w:tr2bl w:val="nil"/>
                  </w:tcBorders>
                  <w:vAlign w:val="center"/>
                </w:tcPr>
                <w:p>
                  <w:pPr>
                    <w:pStyle w:val="38"/>
                    <w:rPr>
                      <w:color w:val="000000" w:themeColor="text1"/>
                      <w:highlight w:val="none"/>
                      <w:u w:val="single"/>
                      <w14:textFill>
                        <w14:solidFill>
                          <w14:schemeClr w14:val="tx1"/>
                        </w14:solidFill>
                      </w14:textFill>
                    </w:rPr>
                  </w:pPr>
                </w:p>
              </w:tc>
              <w:tc>
                <w:tcPr>
                  <w:tcW w:w="827" w:type="pct"/>
                  <w:vMerge w:val="continue"/>
                  <w:tcBorders>
                    <w:tl2br w:val="nil"/>
                    <w:tr2bl w:val="nil"/>
                  </w:tcBorders>
                  <w:vAlign w:val="center"/>
                </w:tcPr>
                <w:p>
                  <w:pPr>
                    <w:pStyle w:val="38"/>
                    <w:rPr>
                      <w:color w:val="000000" w:themeColor="text1"/>
                      <w:highlight w:val="none"/>
                      <w:u w:val="single"/>
                      <w14:textFill>
                        <w14:solidFill>
                          <w14:schemeClr w14:val="tx1"/>
                        </w14:solidFill>
                      </w14:textFill>
                    </w:rPr>
                  </w:pPr>
                </w:p>
              </w:tc>
              <w:tc>
                <w:tcPr>
                  <w:tcW w:w="2277"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设有</w:t>
                  </w:r>
                  <w:r>
                    <w:rPr>
                      <w:rFonts w:hint="eastAsia"/>
                      <w:color w:val="000000" w:themeColor="text1"/>
                      <w:highlight w:val="none"/>
                      <w:u w:val="single"/>
                      <w14:textFill>
                        <w14:solidFill>
                          <w14:schemeClr w14:val="tx1"/>
                        </w14:solidFill>
                      </w14:textFill>
                    </w:rPr>
                    <w:t>建设一般固废暂存间</w:t>
                  </w:r>
                  <w:r>
                    <w:rPr>
                      <w:rFonts w:hint="eastAsia"/>
                      <w:color w:val="000000" w:themeColor="text1"/>
                      <w:highlight w:val="none"/>
                      <w:u w:val="single"/>
                      <w:lang w:val="en-US" w:eastAsia="zh-CN"/>
                      <w14:textFill>
                        <w14:solidFill>
                          <w14:schemeClr w14:val="tx1"/>
                        </w14:solidFill>
                      </w14:textFill>
                    </w:rPr>
                    <w:t>20m</w:t>
                  </w:r>
                  <w:r>
                    <w:rPr>
                      <w:rFonts w:hint="eastAsia"/>
                      <w:color w:val="000000" w:themeColor="text1"/>
                      <w:highlight w:val="none"/>
                      <w:u w:val="single"/>
                      <w:vertAlign w:val="superscript"/>
                      <w:lang w:val="en-US" w:eastAsia="zh-CN"/>
                      <w14:textFill>
                        <w14:solidFill>
                          <w14:schemeClr w14:val="tx1"/>
                        </w14:solidFill>
                      </w14:textFill>
                    </w:rPr>
                    <w:t>2</w:t>
                  </w:r>
                  <w:r>
                    <w:rPr>
                      <w:rFonts w:hint="eastAsia"/>
                      <w:color w:val="000000" w:themeColor="text1"/>
                      <w:highlight w:val="none"/>
                      <w:u w:val="single"/>
                      <w14:textFill>
                        <w14:solidFill>
                          <w14:schemeClr w14:val="tx1"/>
                        </w14:solidFill>
                      </w14:textFill>
                    </w:rPr>
                    <w:t>，并做防漏防渗、防风、防雨措施</w:t>
                  </w:r>
                </w:p>
              </w:tc>
              <w:tc>
                <w:tcPr>
                  <w:tcW w:w="870" w:type="pct"/>
                  <w:tcBorders>
                    <w:tl2br w:val="nil"/>
                    <w:tr2bl w:val="nil"/>
                  </w:tcBorders>
                  <w:vAlign w:val="center"/>
                </w:tcPr>
                <w:p>
                  <w:pPr>
                    <w:pStyle w:val="38"/>
                    <w:rPr>
                      <w:rFonts w:hint="eastAsia" w:eastAsia="宋体"/>
                      <w:color w:val="000000" w:themeColor="text1"/>
                      <w:highlight w:val="none"/>
                      <w:u w:val="single"/>
                      <w:lang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0" w:hRule="exact"/>
                <w:jc w:val="center"/>
              </w:trPr>
              <w:tc>
                <w:tcPr>
                  <w:tcW w:w="525" w:type="pct"/>
                  <w:vMerge w:val="continue"/>
                  <w:tcBorders>
                    <w:tl2br w:val="nil"/>
                    <w:tr2bl w:val="nil"/>
                  </w:tcBorders>
                  <w:vAlign w:val="center"/>
                </w:tcPr>
                <w:p>
                  <w:pPr>
                    <w:pStyle w:val="38"/>
                    <w:rPr>
                      <w:color w:val="000000" w:themeColor="text1"/>
                      <w:highlight w:val="none"/>
                      <w:u w:val="single"/>
                      <w14:textFill>
                        <w14:solidFill>
                          <w14:schemeClr w14:val="tx1"/>
                        </w14:solidFill>
                      </w14:textFill>
                    </w:rPr>
                  </w:pPr>
                </w:p>
              </w:tc>
              <w:tc>
                <w:tcPr>
                  <w:tcW w:w="498" w:type="pct"/>
                  <w:vMerge w:val="continue"/>
                  <w:tcBorders>
                    <w:tl2br w:val="nil"/>
                    <w:tr2bl w:val="nil"/>
                  </w:tcBorders>
                  <w:vAlign w:val="center"/>
                </w:tcPr>
                <w:p>
                  <w:pPr>
                    <w:pStyle w:val="38"/>
                    <w:rPr>
                      <w:rFonts w:hint="eastAsia"/>
                      <w:color w:val="000000" w:themeColor="text1"/>
                      <w:highlight w:val="none"/>
                      <w:u w:val="single"/>
                      <w14:textFill>
                        <w14:solidFill>
                          <w14:schemeClr w14:val="tx1"/>
                        </w14:solidFill>
                      </w14:textFill>
                    </w:rPr>
                  </w:pPr>
                </w:p>
              </w:tc>
              <w:tc>
                <w:tcPr>
                  <w:tcW w:w="827"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危险危废</w:t>
                  </w:r>
                </w:p>
              </w:tc>
              <w:tc>
                <w:tcPr>
                  <w:tcW w:w="2277"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建设危废暂存间10m</w:t>
                  </w:r>
                  <w:r>
                    <w:rPr>
                      <w:rFonts w:hint="eastAsia"/>
                      <w:color w:val="000000" w:themeColor="text1"/>
                      <w:highlight w:val="none"/>
                      <w:u w:val="single"/>
                      <w:vertAlign w:val="superscript"/>
                      <w:lang w:val="en-US" w:eastAsia="zh-CN"/>
                      <w14:textFill>
                        <w14:solidFill>
                          <w14:schemeClr w14:val="tx1"/>
                        </w14:solidFill>
                      </w14:textFill>
                    </w:rPr>
                    <w:t>2</w:t>
                  </w:r>
                  <w:r>
                    <w:rPr>
                      <w:rFonts w:hint="eastAsia"/>
                      <w:color w:val="000000" w:themeColor="text1"/>
                      <w:highlight w:val="none"/>
                      <w:u w:val="single"/>
                      <w:lang w:val="en-US" w:eastAsia="zh-CN"/>
                      <w14:textFill>
                        <w14:solidFill>
                          <w14:schemeClr w14:val="tx1"/>
                        </w14:solidFill>
                      </w14:textFill>
                    </w:rPr>
                    <w:t>，并按要求做好</w:t>
                  </w:r>
                  <w:r>
                    <w:rPr>
                      <w:rFonts w:hint="eastAsia"/>
                      <w:color w:val="000000" w:themeColor="text1"/>
                      <w:highlight w:val="none"/>
                      <w:u w:val="single"/>
                      <w14:textFill>
                        <w14:solidFill>
                          <w14:schemeClr w14:val="tx1"/>
                        </w14:solidFill>
                      </w14:textFill>
                    </w:rPr>
                    <w:t>防漏防渗、防风、防雨措施</w:t>
                  </w:r>
                </w:p>
              </w:tc>
              <w:tc>
                <w:tcPr>
                  <w:tcW w:w="870" w:type="pct"/>
                  <w:tcBorders>
                    <w:tl2br w:val="nil"/>
                    <w:tr2bl w:val="nil"/>
                  </w:tcBorders>
                  <w:vAlign w:val="center"/>
                </w:tcPr>
                <w:p>
                  <w:pPr>
                    <w:pStyle w:val="38"/>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2" w:hRule="exact"/>
                <w:jc w:val="center"/>
              </w:trPr>
              <w:tc>
                <w:tcPr>
                  <w:tcW w:w="525" w:type="pct"/>
                  <w:vMerge w:val="continue"/>
                  <w:tcBorders>
                    <w:tl2br w:val="nil"/>
                    <w:tr2bl w:val="nil"/>
                  </w:tcBorders>
                  <w:vAlign w:val="center"/>
                </w:tcPr>
                <w:p>
                  <w:pPr>
                    <w:pStyle w:val="38"/>
                    <w:rPr>
                      <w:color w:val="000000" w:themeColor="text1"/>
                      <w:highlight w:val="none"/>
                      <w:u w:val="single"/>
                      <w14:textFill>
                        <w14:solidFill>
                          <w14:schemeClr w14:val="tx1"/>
                        </w14:solidFill>
                      </w14:textFill>
                    </w:rPr>
                  </w:pPr>
                </w:p>
              </w:tc>
              <w:tc>
                <w:tcPr>
                  <w:tcW w:w="498" w:type="pct"/>
                  <w:vMerge w:val="continue"/>
                  <w:tcBorders>
                    <w:tl2br w:val="nil"/>
                    <w:tr2bl w:val="nil"/>
                  </w:tcBorders>
                  <w:vAlign w:val="center"/>
                </w:tcPr>
                <w:p>
                  <w:pPr>
                    <w:pStyle w:val="38"/>
                    <w:rPr>
                      <w:color w:val="000000" w:themeColor="text1"/>
                      <w:highlight w:val="none"/>
                      <w:u w:val="single"/>
                      <w14:textFill>
                        <w14:solidFill>
                          <w14:schemeClr w14:val="tx1"/>
                        </w14:solidFill>
                      </w14:textFill>
                    </w:rPr>
                  </w:pPr>
                </w:p>
              </w:tc>
              <w:tc>
                <w:tcPr>
                  <w:tcW w:w="827"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生活垃圾</w:t>
                  </w:r>
                </w:p>
              </w:tc>
              <w:tc>
                <w:tcPr>
                  <w:tcW w:w="2277"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垃圾桶，当地环卫部门处理</w:t>
                  </w:r>
                </w:p>
              </w:tc>
              <w:tc>
                <w:tcPr>
                  <w:tcW w:w="870" w:type="pct"/>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2" w:hRule="exact"/>
                <w:jc w:val="center"/>
              </w:trPr>
              <w:tc>
                <w:tcPr>
                  <w:tcW w:w="525" w:type="pct"/>
                  <w:vMerge w:val="continue"/>
                  <w:tcBorders>
                    <w:tl2br w:val="nil"/>
                    <w:tr2bl w:val="nil"/>
                  </w:tcBorders>
                  <w:vAlign w:val="center"/>
                </w:tcPr>
                <w:p>
                  <w:pPr>
                    <w:pStyle w:val="38"/>
                    <w:rPr>
                      <w:color w:val="000000" w:themeColor="text1"/>
                      <w:highlight w:val="none"/>
                      <w:u w:val="single"/>
                      <w14:textFill>
                        <w14:solidFill>
                          <w14:schemeClr w14:val="tx1"/>
                        </w14:solidFill>
                      </w14:textFill>
                    </w:rPr>
                  </w:pPr>
                </w:p>
              </w:tc>
              <w:tc>
                <w:tcPr>
                  <w:tcW w:w="1325" w:type="pct"/>
                  <w:gridSpan w:val="2"/>
                  <w:tcBorders>
                    <w:tl2br w:val="nil"/>
                    <w:tr2bl w:val="nil"/>
                  </w:tcBorders>
                  <w:vAlign w:val="center"/>
                </w:tcPr>
                <w:p>
                  <w:pPr>
                    <w:pStyle w:val="38"/>
                    <w:rPr>
                      <w:rFonts w:hint="eastAsia"/>
                      <w:color w:val="000000" w:themeColor="text1"/>
                      <w:highlight w:val="none"/>
                      <w:u w:val="single"/>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地下水、土壤</w:t>
                  </w:r>
                </w:p>
              </w:tc>
              <w:tc>
                <w:tcPr>
                  <w:tcW w:w="2277"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厂房地面分区防渗</w:t>
                  </w:r>
                </w:p>
              </w:tc>
              <w:tc>
                <w:tcPr>
                  <w:tcW w:w="870" w:type="pct"/>
                  <w:tcBorders>
                    <w:tl2br w:val="nil"/>
                    <w:tr2bl w:val="nil"/>
                  </w:tcBorders>
                  <w:vAlign w:val="center"/>
                </w:tcPr>
                <w:p>
                  <w:pPr>
                    <w:pStyle w:val="38"/>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7" w:hRule="exact"/>
                <w:jc w:val="center"/>
              </w:trPr>
              <w:tc>
                <w:tcPr>
                  <w:tcW w:w="525" w:type="pct"/>
                  <w:vMerge w:val="continue"/>
                  <w:tcBorders>
                    <w:tl2br w:val="nil"/>
                    <w:tr2bl w:val="nil"/>
                  </w:tcBorders>
                  <w:vAlign w:val="center"/>
                </w:tcPr>
                <w:p>
                  <w:pPr>
                    <w:pStyle w:val="38"/>
                    <w:rPr>
                      <w:color w:val="000000" w:themeColor="text1"/>
                      <w:highlight w:val="none"/>
                      <w:u w:val="single"/>
                      <w14:textFill>
                        <w14:solidFill>
                          <w14:schemeClr w14:val="tx1"/>
                        </w14:solidFill>
                      </w14:textFill>
                    </w:rPr>
                  </w:pPr>
                </w:p>
              </w:tc>
              <w:tc>
                <w:tcPr>
                  <w:tcW w:w="1325" w:type="pct"/>
                  <w:gridSpan w:val="2"/>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水源地</w:t>
                  </w:r>
                </w:p>
              </w:tc>
              <w:tc>
                <w:tcPr>
                  <w:tcW w:w="2277" w:type="pct"/>
                  <w:tcBorders>
                    <w:tl2br w:val="nil"/>
                    <w:tr2bl w:val="nil"/>
                  </w:tcBorders>
                  <w:vAlign w:val="center"/>
                </w:tcPr>
                <w:p>
                  <w:pPr>
                    <w:pStyle w:val="38"/>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按饮用水源保护区的要求对水源地进行规范化建设与管理，保证保护区水体不受污染</w:t>
                  </w:r>
                </w:p>
              </w:tc>
              <w:tc>
                <w:tcPr>
                  <w:tcW w:w="870"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2" w:hRule="exact"/>
                <w:jc w:val="center"/>
              </w:trPr>
              <w:tc>
                <w:tcPr>
                  <w:tcW w:w="525" w:type="pct"/>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合计</w:t>
                  </w:r>
                </w:p>
              </w:tc>
              <w:tc>
                <w:tcPr>
                  <w:tcW w:w="3603" w:type="pct"/>
                  <w:gridSpan w:val="3"/>
                  <w:tcBorders>
                    <w:tl2br w:val="nil"/>
                    <w:tr2bl w:val="nil"/>
                  </w:tcBorders>
                  <w:vAlign w:val="center"/>
                </w:tcPr>
                <w:p>
                  <w:pPr>
                    <w:pStyle w:val="38"/>
                    <w:rPr>
                      <w:color w:val="000000" w:themeColor="text1"/>
                      <w:highlight w:val="none"/>
                      <w:u w:val="single"/>
                      <w14:textFill>
                        <w14:solidFill>
                          <w14:schemeClr w14:val="tx1"/>
                        </w14:solidFill>
                      </w14:textFill>
                    </w:rPr>
                  </w:pPr>
                  <w:r>
                    <w:rPr>
                      <w:color w:val="000000" w:themeColor="text1"/>
                      <w:highlight w:val="none"/>
                      <w:u w:val="single"/>
                      <w14:textFill>
                        <w14:solidFill>
                          <w14:schemeClr w14:val="tx1"/>
                        </w14:solidFill>
                      </w14:textFill>
                    </w:rPr>
                    <w:t>/</w:t>
                  </w:r>
                </w:p>
              </w:tc>
              <w:tc>
                <w:tcPr>
                  <w:tcW w:w="870"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106.5</w:t>
                  </w:r>
                </w:p>
              </w:tc>
            </w:tr>
          </w:tbl>
          <w:p>
            <w:pPr>
              <w:pStyle w:val="5"/>
              <w:widowControl w:val="0"/>
              <w:ind w:firstLine="0" w:firstLineChars="0"/>
              <w:rPr>
                <w:rFonts w:cs="Times New Roman"/>
                <w:color w:val="000000" w:themeColor="text1"/>
                <w:highlight w:val="none"/>
                <w14:textFill>
                  <w14:solidFill>
                    <w14:schemeClr w14:val="tx1"/>
                  </w14:solidFill>
                </w14:textFill>
              </w:rPr>
            </w:pPr>
          </w:p>
          <w:p>
            <w:pPr>
              <w:pStyle w:val="5"/>
              <w:widowControl w:val="0"/>
              <w:ind w:left="0" w:leftChars="0" w:firstLine="0" w:firstLineChars="0"/>
              <w:rPr>
                <w:rFonts w:hint="default" w:eastAsia="宋体" w:cs="宋体"/>
                <w:b/>
                <w:color w:val="000000" w:themeColor="text1"/>
                <w:highlight w:val="none"/>
                <w:u w:val="single"/>
                <w:lang w:val="en-US" w:eastAsia="zh-CN" w:bidi="ar"/>
                <w14:textFill>
                  <w14:solidFill>
                    <w14:schemeClr w14:val="tx1"/>
                  </w14:solidFill>
                </w14:textFill>
              </w:rPr>
            </w:pPr>
            <w:r>
              <w:rPr>
                <w:rFonts w:hint="eastAsia" w:cs="宋体"/>
                <w:b/>
                <w:color w:val="000000" w:themeColor="text1"/>
                <w:highlight w:val="none"/>
                <w:u w:val="single"/>
                <w:lang w:val="en-US" w:eastAsia="zh-CN" w:bidi="ar"/>
                <w14:textFill>
                  <w14:solidFill>
                    <w14:schemeClr w14:val="tx1"/>
                  </w14:solidFill>
                </w14:textFill>
              </w:rPr>
              <w:t>8、项目竣工环保验收一览表</w:t>
            </w:r>
          </w:p>
          <w:p>
            <w:pPr>
              <w:pStyle w:val="5"/>
              <w:widowControl w:val="0"/>
              <w:ind w:firstLine="480"/>
              <w:rPr>
                <w:rFonts w:hint="default" w:eastAsia="宋体" w:cs="Times New Roman"/>
                <w:color w:val="000000" w:themeColor="text1"/>
                <w:highlight w:val="none"/>
                <w:u w:val="single"/>
                <w:lang w:val="en-US" w:eastAsia="zh-CN"/>
                <w14:textFill>
                  <w14:solidFill>
                    <w14:schemeClr w14:val="tx1"/>
                  </w14:solidFill>
                </w14:textFill>
              </w:rPr>
            </w:pPr>
            <w:r>
              <w:rPr>
                <w:rFonts w:hint="eastAsia" w:eastAsia="宋体" w:cs="Times New Roman"/>
                <w:color w:val="000000" w:themeColor="text1"/>
                <w:highlight w:val="none"/>
                <w:u w:val="single"/>
                <w14:textFill>
                  <w14:solidFill>
                    <w14:schemeClr w14:val="tx1"/>
                  </w14:solidFill>
                </w14:textFill>
              </w:rPr>
              <w:t xml:space="preserve">项目环保竣工验收内容见表 </w:t>
            </w:r>
            <w:r>
              <w:rPr>
                <w:rFonts w:hint="eastAsia" w:eastAsia="宋体" w:cs="Times New Roman"/>
                <w:color w:val="000000" w:themeColor="text1"/>
                <w:highlight w:val="none"/>
                <w:u w:val="single"/>
                <w:lang w:val="en-US" w:eastAsia="zh-CN"/>
                <w14:textFill>
                  <w14:solidFill>
                    <w14:schemeClr w14:val="tx1"/>
                  </w14:solidFill>
                </w14:textFill>
              </w:rPr>
              <w:t>4-14</w:t>
            </w:r>
          </w:p>
          <w:p>
            <w:pPr>
              <w:pStyle w:val="52"/>
              <w:rPr>
                <w:color w:val="000000" w:themeColor="text1"/>
                <w:highlight w:val="none"/>
                <w:u w:val="single"/>
                <w14:textFill>
                  <w14:solidFill>
                    <w14:schemeClr w14:val="tx1"/>
                  </w14:solidFill>
                </w14:textFill>
              </w:rPr>
            </w:pPr>
            <w:r>
              <w:rPr>
                <w:rFonts w:hint="eastAsia"/>
                <w:color w:val="000000" w:themeColor="text1"/>
                <w:highlight w:val="none"/>
                <w:u w:val="single"/>
                <w14:textFill>
                  <w14:solidFill>
                    <w14:schemeClr w14:val="tx1"/>
                  </w14:solidFill>
                </w14:textFill>
              </w:rPr>
              <w:t>表</w:t>
            </w:r>
            <w:r>
              <w:rPr>
                <w:color w:val="000000" w:themeColor="text1"/>
                <w:highlight w:val="none"/>
                <w:u w:val="single"/>
                <w14:textFill>
                  <w14:solidFill>
                    <w14:schemeClr w14:val="tx1"/>
                  </w14:solidFill>
                </w14:textFill>
              </w:rPr>
              <w:t xml:space="preserve"> 4-</w:t>
            </w:r>
            <w:r>
              <w:rPr>
                <w:rFonts w:hint="eastAsia"/>
                <w:color w:val="000000" w:themeColor="text1"/>
                <w:highlight w:val="none"/>
                <w:u w:val="single"/>
                <w:lang w:val="en-US" w:eastAsia="zh-CN"/>
                <w14:textFill>
                  <w14:solidFill>
                    <w14:schemeClr w14:val="tx1"/>
                  </w14:solidFill>
                </w14:textFill>
              </w:rPr>
              <w:t>14</w:t>
            </w:r>
            <w:r>
              <w:rPr>
                <w:color w:val="000000" w:themeColor="text1"/>
                <w:highlight w:val="none"/>
                <w:u w:val="single"/>
                <w14:textFill>
                  <w14:solidFill>
                    <w14:schemeClr w14:val="tx1"/>
                  </w14:solidFill>
                </w14:textFill>
              </w:rPr>
              <w:t xml:space="preserve"> </w:t>
            </w:r>
            <w:r>
              <w:rPr>
                <w:rFonts w:hint="eastAsia"/>
                <w:color w:val="000000" w:themeColor="text1"/>
                <w:highlight w:val="none"/>
                <w:u w:val="single"/>
                <w14:textFill>
                  <w14:solidFill>
                    <w14:schemeClr w14:val="tx1"/>
                  </w14:solidFill>
                </w14:textFill>
              </w:rPr>
              <w:t>项目环保</w:t>
            </w:r>
            <w:r>
              <w:rPr>
                <w:rFonts w:hint="eastAsia"/>
                <w:color w:val="000000" w:themeColor="text1"/>
                <w:highlight w:val="none"/>
                <w:u w:val="single"/>
                <w:lang w:val="en-US" w:eastAsia="zh-CN"/>
                <w14:textFill>
                  <w14:solidFill>
                    <w14:schemeClr w14:val="tx1"/>
                  </w14:solidFill>
                </w14:textFill>
              </w:rPr>
              <w:t>竣工验收</w:t>
            </w:r>
            <w:r>
              <w:rPr>
                <w:rFonts w:hint="eastAsia"/>
                <w:color w:val="000000" w:themeColor="text1"/>
                <w:highlight w:val="none"/>
                <w:u w:val="single"/>
                <w14:textFill>
                  <w14:solidFill>
                    <w14:schemeClr w14:val="tx1"/>
                  </w14:solidFill>
                </w14:textFill>
              </w:rPr>
              <w:t>一览表</w:t>
            </w:r>
          </w:p>
          <w:tbl>
            <w:tblPr>
              <w:tblStyle w:val="27"/>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08"/>
              <w:gridCol w:w="1485"/>
              <w:gridCol w:w="3569"/>
              <w:gridCol w:w="358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exact"/>
                <w:jc w:val="center"/>
              </w:trPr>
              <w:tc>
                <w:tcPr>
                  <w:tcW w:w="1131" w:type="pct"/>
                  <w:gridSpan w:val="2"/>
                  <w:tcBorders>
                    <w:tl2br w:val="nil"/>
                    <w:tr2bl w:val="nil"/>
                  </w:tcBorders>
                  <w:vAlign w:val="center"/>
                </w:tcPr>
                <w:p>
                  <w:pPr>
                    <w:pStyle w:val="38"/>
                    <w:rPr>
                      <w:color w:val="000000" w:themeColor="text1"/>
                      <w:highlight w:val="none"/>
                      <w:u w:val="single"/>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类别</w:t>
                  </w:r>
                </w:p>
              </w:tc>
              <w:tc>
                <w:tcPr>
                  <w:tcW w:w="1929"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治理措施</w:t>
                  </w:r>
                </w:p>
              </w:tc>
              <w:tc>
                <w:tcPr>
                  <w:tcW w:w="1939"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治理效果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0" w:hRule="exact"/>
                <w:jc w:val="center"/>
              </w:trPr>
              <w:tc>
                <w:tcPr>
                  <w:tcW w:w="328" w:type="pct"/>
                  <w:vMerge w:val="restar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eastAsia="宋体"/>
                      <w:color w:val="000000" w:themeColor="text1"/>
                      <w:highlight w:val="none"/>
                      <w:u w:val="single"/>
                      <w:lang w:val="en-US" w:eastAsia="zh-CN"/>
                      <w14:textFill>
                        <w14:solidFill>
                          <w14:schemeClr w14:val="tx1"/>
                        </w14:solidFill>
                      </w14:textFill>
                    </w:rPr>
                    <w:t>废气</w:t>
                  </w:r>
                </w:p>
              </w:tc>
              <w:tc>
                <w:tcPr>
                  <w:tcW w:w="802"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食堂油烟</w:t>
                  </w:r>
                </w:p>
              </w:tc>
              <w:tc>
                <w:tcPr>
                  <w:tcW w:w="1929"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经静电油烟净化器处理后由内置烟道引至办公楼屋顶排放</w:t>
                  </w:r>
                </w:p>
                <w:p>
                  <w:pPr>
                    <w:pStyle w:val="38"/>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至住院楼屋顶排放</w:t>
                  </w:r>
                </w:p>
              </w:tc>
              <w:tc>
                <w:tcPr>
                  <w:tcW w:w="1939"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default"/>
                      <w:color w:val="000000" w:themeColor="text1"/>
                      <w:highlight w:val="none"/>
                      <w:u w:val="single"/>
                      <w:lang w:val="en-US" w:eastAsia="zh-CN"/>
                      <w14:textFill>
                        <w14:solidFill>
                          <w14:schemeClr w14:val="tx1"/>
                        </w14:solidFill>
                      </w14:textFill>
                    </w:rPr>
                    <w:t>《饮食业油烟排放标准》</w:t>
                  </w:r>
                </w:p>
                <w:p>
                  <w:pPr>
                    <w:pStyle w:val="38"/>
                    <w:rPr>
                      <w:rFonts w:hint="default"/>
                      <w:color w:val="000000" w:themeColor="text1"/>
                      <w:highlight w:val="none"/>
                      <w:u w:val="single"/>
                      <w:lang w:val="en-US" w:eastAsia="zh-CN"/>
                      <w14:textFill>
                        <w14:solidFill>
                          <w14:schemeClr w14:val="tx1"/>
                        </w14:solidFill>
                      </w14:textFill>
                    </w:rPr>
                  </w:pPr>
                  <w:r>
                    <w:rPr>
                      <w:rFonts w:hint="default"/>
                      <w:color w:val="000000" w:themeColor="text1"/>
                      <w:highlight w:val="none"/>
                      <w:u w:val="single"/>
                      <w:lang w:val="en-US" w:eastAsia="zh-CN"/>
                      <w14:textFill>
                        <w14:solidFill>
                          <w14:schemeClr w14:val="tx1"/>
                        </w14:solidFill>
                      </w14:textFill>
                    </w:rPr>
                    <w:t>（GB18483-2001）（试行）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0" w:hRule="exact"/>
                <w:jc w:val="center"/>
              </w:trPr>
              <w:tc>
                <w:tcPr>
                  <w:tcW w:w="328" w:type="pct"/>
                  <w:vMerge w:val="continue"/>
                  <w:tcBorders>
                    <w:tl2br w:val="nil"/>
                    <w:tr2bl w:val="nil"/>
                  </w:tcBorders>
                  <w:vAlign w:val="center"/>
                </w:tcPr>
                <w:p>
                  <w:pPr>
                    <w:pStyle w:val="38"/>
                    <w:rPr>
                      <w:rFonts w:hint="eastAsia" w:eastAsia="宋体"/>
                      <w:color w:val="000000" w:themeColor="text1"/>
                      <w:highlight w:val="none"/>
                      <w:u w:val="single"/>
                      <w:lang w:val="en-US" w:eastAsia="zh-CN"/>
                      <w14:textFill>
                        <w14:solidFill>
                          <w14:schemeClr w14:val="tx1"/>
                        </w14:solidFill>
                      </w14:textFill>
                    </w:rPr>
                  </w:pPr>
                </w:p>
              </w:tc>
              <w:tc>
                <w:tcPr>
                  <w:tcW w:w="802"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发电机尾气</w:t>
                  </w:r>
                </w:p>
              </w:tc>
              <w:tc>
                <w:tcPr>
                  <w:tcW w:w="1929" w:type="pct"/>
                  <w:tcBorders>
                    <w:tl2br w:val="nil"/>
                    <w:tr2bl w:val="nil"/>
                  </w:tcBorders>
                  <w:vAlign w:val="center"/>
                </w:tcPr>
                <w:p>
                  <w:pPr>
                    <w:pStyle w:val="38"/>
                    <w:rPr>
                      <w:rFonts w:hint="eastAsia"/>
                      <w:color w:val="000000" w:themeColor="text1"/>
                      <w:highlight w:val="none"/>
                      <w:u w:val="single"/>
                      <w:lang w:val="en-US" w:eastAsia="zh-CN"/>
                      <w14:textFill>
                        <w14:solidFill>
                          <w14:schemeClr w14:val="tx1"/>
                        </w14:solidFill>
                      </w14:textFill>
                    </w:rPr>
                  </w:pPr>
                  <w:r>
                    <w:rPr>
                      <w:rFonts w:hint="default"/>
                      <w:color w:val="000000" w:themeColor="text1"/>
                      <w:highlight w:val="none"/>
                      <w:u w:val="single"/>
                      <w:lang w:val="en-US" w:eastAsia="zh-CN"/>
                      <w14:textFill>
                        <w14:solidFill>
                          <w14:schemeClr w14:val="tx1"/>
                        </w14:solidFill>
                      </w14:textFill>
                    </w:rPr>
                    <w:t>引风机+</w:t>
                  </w:r>
                  <w:r>
                    <w:rPr>
                      <w:rFonts w:hint="eastAsia"/>
                      <w:color w:val="000000" w:themeColor="text1"/>
                      <w:highlight w:val="none"/>
                      <w:u w:val="single"/>
                      <w:lang w:val="en-US" w:eastAsia="zh-CN"/>
                      <w14:textFill>
                        <w14:solidFill>
                          <w14:schemeClr w14:val="tx1"/>
                        </w14:solidFill>
                      </w14:textFill>
                    </w:rPr>
                    <w:t>15m排气筒</w:t>
                  </w:r>
                  <w:r>
                    <w:rPr>
                      <w:rFonts w:hint="default"/>
                      <w:color w:val="000000" w:themeColor="text1"/>
                      <w:highlight w:val="none"/>
                      <w:u w:val="single"/>
                      <w:lang w:val="en-US" w:eastAsia="zh-CN"/>
                      <w14:textFill>
                        <w14:solidFill>
                          <w14:schemeClr w14:val="tx1"/>
                        </w14:solidFill>
                      </w14:textFill>
                    </w:rPr>
                    <w:t>排放</w:t>
                  </w:r>
                </w:p>
              </w:tc>
              <w:tc>
                <w:tcPr>
                  <w:tcW w:w="1939"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default"/>
                      <w:color w:val="000000" w:themeColor="text1"/>
                      <w:highlight w:val="none"/>
                      <w:u w:val="single"/>
                      <w:lang w:val="en-US" w:eastAsia="zh-CN"/>
                      <w14:textFill>
                        <w14:solidFill>
                          <w14:schemeClr w14:val="tx1"/>
                        </w14:solidFill>
                      </w14:textFill>
                    </w:rPr>
                    <w:t>《大气污染物综合排放标准》（GB16297-1996）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exact"/>
                <w:jc w:val="center"/>
              </w:trPr>
              <w:tc>
                <w:tcPr>
                  <w:tcW w:w="328" w:type="pct"/>
                  <w:vMerge w:val="restart"/>
                  <w:tcBorders>
                    <w:tl2br w:val="nil"/>
                    <w:tr2bl w:val="nil"/>
                  </w:tcBorders>
                  <w:vAlign w:val="center"/>
                </w:tcPr>
                <w:p>
                  <w:pPr>
                    <w:pStyle w:val="38"/>
                    <w:rPr>
                      <w:rFonts w:hint="eastAsia"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废水</w:t>
                  </w:r>
                </w:p>
              </w:tc>
              <w:tc>
                <w:tcPr>
                  <w:tcW w:w="802"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生活污水</w:t>
                  </w:r>
                </w:p>
              </w:tc>
              <w:tc>
                <w:tcPr>
                  <w:tcW w:w="1929"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经三级化粪池处理后用作周边菜地施肥</w:t>
                  </w:r>
                </w:p>
              </w:tc>
              <w:tc>
                <w:tcPr>
                  <w:tcW w:w="1939"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不外排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5" w:hRule="exact"/>
                <w:jc w:val="center"/>
              </w:trPr>
              <w:tc>
                <w:tcPr>
                  <w:tcW w:w="328" w:type="pct"/>
                  <w:vMerge w:val="continue"/>
                  <w:tcBorders>
                    <w:tl2br w:val="nil"/>
                    <w:tr2bl w:val="nil"/>
                  </w:tcBorders>
                  <w:vAlign w:val="center"/>
                </w:tcPr>
                <w:p>
                  <w:pPr>
                    <w:pStyle w:val="38"/>
                    <w:rPr>
                      <w:rFonts w:hint="eastAsia"/>
                      <w:color w:val="000000" w:themeColor="text1"/>
                      <w:highlight w:val="none"/>
                      <w:u w:val="single"/>
                      <w14:textFill>
                        <w14:solidFill>
                          <w14:schemeClr w14:val="tx1"/>
                        </w14:solidFill>
                      </w14:textFill>
                    </w:rPr>
                  </w:pPr>
                </w:p>
              </w:tc>
              <w:tc>
                <w:tcPr>
                  <w:tcW w:w="802"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反冲洗废水</w:t>
                  </w:r>
                </w:p>
              </w:tc>
              <w:tc>
                <w:tcPr>
                  <w:tcW w:w="1929"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直接作为原水回用</w:t>
                  </w:r>
                </w:p>
              </w:tc>
              <w:tc>
                <w:tcPr>
                  <w:tcW w:w="1939"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不外排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3" w:hRule="exact"/>
                <w:jc w:val="center"/>
              </w:trPr>
              <w:tc>
                <w:tcPr>
                  <w:tcW w:w="328" w:type="pct"/>
                  <w:vMerge w:val="continue"/>
                  <w:tcBorders>
                    <w:tl2br w:val="nil"/>
                    <w:tr2bl w:val="nil"/>
                  </w:tcBorders>
                  <w:vAlign w:val="center"/>
                </w:tcPr>
                <w:p>
                  <w:pPr>
                    <w:pStyle w:val="38"/>
                    <w:rPr>
                      <w:rFonts w:hint="eastAsia"/>
                      <w:color w:val="000000" w:themeColor="text1"/>
                      <w:highlight w:val="none"/>
                      <w:u w:val="single"/>
                      <w14:textFill>
                        <w14:solidFill>
                          <w14:schemeClr w14:val="tx1"/>
                        </w14:solidFill>
                      </w14:textFill>
                    </w:rPr>
                  </w:pPr>
                </w:p>
              </w:tc>
              <w:tc>
                <w:tcPr>
                  <w:tcW w:w="802"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沉淀池排泥水</w:t>
                  </w:r>
                </w:p>
              </w:tc>
              <w:tc>
                <w:tcPr>
                  <w:tcW w:w="1929" w:type="pct"/>
                  <w:tcBorders>
                    <w:tl2br w:val="nil"/>
                    <w:tr2bl w:val="nil"/>
                  </w:tcBorders>
                  <w:vAlign w:val="center"/>
                </w:tcPr>
                <w:p>
                  <w:pPr>
                    <w:pStyle w:val="38"/>
                    <w:jc w:val="center"/>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收集进入污泥池，上清液作为原水回用，浓缩污泥采用污泥压滤机压滤脱水处理，滤液作为厂区绿化使用</w:t>
                  </w:r>
                </w:p>
              </w:tc>
              <w:tc>
                <w:tcPr>
                  <w:tcW w:w="1939"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不外排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exact"/>
                <w:jc w:val="center"/>
              </w:trPr>
              <w:tc>
                <w:tcPr>
                  <w:tcW w:w="1131" w:type="pct"/>
                  <w:gridSpan w:val="2"/>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噪声</w:t>
                  </w:r>
                </w:p>
              </w:tc>
              <w:tc>
                <w:tcPr>
                  <w:tcW w:w="1929" w:type="pct"/>
                  <w:tcBorders>
                    <w:tl2br w:val="nil"/>
                    <w:tr2bl w:val="nil"/>
                  </w:tcBorders>
                  <w:vAlign w:val="center"/>
                </w:tcPr>
                <w:p>
                  <w:pPr>
                    <w:pStyle w:val="38"/>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14:textFill>
                        <w14:solidFill>
                          <w14:schemeClr w14:val="tx1"/>
                        </w14:solidFill>
                      </w14:textFill>
                    </w:rPr>
                    <w:t>选用低噪声设备，经</w:t>
                  </w:r>
                  <w:r>
                    <w:rPr>
                      <w:rFonts w:hint="eastAsia"/>
                      <w:color w:val="000000" w:themeColor="text1"/>
                      <w:highlight w:val="none"/>
                      <w:u w:val="single"/>
                      <w:lang w:val="en-US" w:eastAsia="zh-CN"/>
                      <w14:textFill>
                        <w14:solidFill>
                          <w14:schemeClr w14:val="tx1"/>
                        </w14:solidFill>
                      </w14:textFill>
                    </w:rPr>
                    <w:t>建筑</w:t>
                  </w:r>
                  <w:r>
                    <w:rPr>
                      <w:rFonts w:hint="eastAsia"/>
                      <w:color w:val="000000" w:themeColor="text1"/>
                      <w:highlight w:val="none"/>
                      <w:u w:val="single"/>
                      <w14:textFill>
                        <w14:solidFill>
                          <w14:schemeClr w14:val="tx1"/>
                        </w14:solidFill>
                      </w14:textFill>
                    </w:rPr>
                    <w:t>隔声和减震处理，合理布局设备</w:t>
                  </w:r>
                </w:p>
              </w:tc>
              <w:tc>
                <w:tcPr>
                  <w:tcW w:w="1939"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default"/>
                      <w:color w:val="000000" w:themeColor="text1"/>
                      <w:highlight w:val="none"/>
                      <w:u w:val="single"/>
                      <w:lang w:val="en-US" w:eastAsia="zh-CN"/>
                      <w14:textFill>
                        <w14:solidFill>
                          <w14:schemeClr w14:val="tx1"/>
                        </w14:solidFill>
                      </w14:textFill>
                    </w:rPr>
                    <w:t>厂界噪声达到GB12348-2008）</w:t>
                  </w:r>
                  <w:r>
                    <w:rPr>
                      <w:rFonts w:hint="eastAsia"/>
                      <w:color w:val="000000" w:themeColor="text1"/>
                      <w:highlight w:val="none"/>
                      <w:u w:val="single"/>
                      <w:lang w:val="en-US" w:eastAsia="zh-CN"/>
                      <w14:textFill>
                        <w14:solidFill>
                          <w14:schemeClr w14:val="tx1"/>
                        </w14:solidFill>
                      </w14:textFill>
                    </w:rPr>
                    <w:t>2</w:t>
                  </w:r>
                  <w:r>
                    <w:rPr>
                      <w:rFonts w:hint="default"/>
                      <w:color w:val="000000" w:themeColor="text1"/>
                      <w:highlight w:val="none"/>
                      <w:u w:val="single"/>
                      <w:lang w:val="en-US" w:eastAsia="zh-CN"/>
                      <w14:textFill>
                        <w14:solidFill>
                          <w14:schemeClr w14:val="tx1"/>
                        </w14:solidFill>
                      </w14:textFill>
                    </w:rPr>
                    <w:t xml:space="preserve"> 类</w:t>
                  </w:r>
                </w:p>
                <w:p>
                  <w:pPr>
                    <w:pStyle w:val="38"/>
                    <w:rPr>
                      <w:rFonts w:hint="default"/>
                      <w:color w:val="000000" w:themeColor="text1"/>
                      <w:highlight w:val="none"/>
                      <w:u w:val="single"/>
                      <w:lang w:val="en-US" w:eastAsia="zh-CN"/>
                      <w14:textFill>
                        <w14:solidFill>
                          <w14:schemeClr w14:val="tx1"/>
                        </w14:solidFill>
                      </w14:textFill>
                    </w:rPr>
                  </w:pPr>
                  <w:r>
                    <w:rPr>
                      <w:rFonts w:hint="default"/>
                      <w:color w:val="000000" w:themeColor="text1"/>
                      <w:highlight w:val="none"/>
                      <w:u w:val="single"/>
                      <w:lang w:val="en-US" w:eastAsia="zh-CN"/>
                      <w14:textFill>
                        <w14:solidFill>
                          <w14:schemeClr w14:val="tx1"/>
                        </w14:solidFill>
                      </w14:textFill>
                    </w:rPr>
                    <w:t>标准</w:t>
                  </w:r>
                </w:p>
                <w:p>
                  <w:pPr>
                    <w:pStyle w:val="38"/>
                    <w:rPr>
                      <w:rFonts w:hint="default"/>
                      <w:color w:val="000000" w:themeColor="text1"/>
                      <w:highlight w:val="none"/>
                      <w:u w:val="single"/>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5" w:hRule="exact"/>
                <w:jc w:val="center"/>
              </w:trPr>
              <w:tc>
                <w:tcPr>
                  <w:tcW w:w="1131" w:type="pct"/>
                  <w:gridSpan w:val="2"/>
                  <w:vMerge w:val="restar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固废</w:t>
                  </w:r>
                </w:p>
              </w:tc>
              <w:tc>
                <w:tcPr>
                  <w:tcW w:w="1929" w:type="pct"/>
                  <w:tcBorders>
                    <w:tl2br w:val="nil"/>
                    <w:tr2bl w:val="nil"/>
                  </w:tcBorders>
                  <w:vAlign w:val="center"/>
                </w:tcPr>
                <w:p>
                  <w:pPr>
                    <w:pStyle w:val="38"/>
                    <w:rPr>
                      <w:rFonts w:hint="eastAsia"/>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生活垃圾交由环卫部门清运</w:t>
                  </w:r>
                </w:p>
              </w:tc>
              <w:tc>
                <w:tcPr>
                  <w:tcW w:w="1939"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default"/>
                      <w:color w:val="000000" w:themeColor="text1"/>
                      <w:highlight w:val="none"/>
                      <w:u w:val="single"/>
                      <w:lang w:val="en-US" w:eastAsia="zh-CN"/>
                      <w14:textFill>
                        <w14:solidFill>
                          <w14:schemeClr w14:val="tx1"/>
                        </w14:solidFill>
                      </w14:textFill>
                    </w:rPr>
                    <w:t>《生活垃圾填埋场污染控制标准》（GB16889-2008）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21" w:hRule="exact"/>
                <w:jc w:val="center"/>
              </w:trPr>
              <w:tc>
                <w:tcPr>
                  <w:tcW w:w="1131" w:type="pct"/>
                  <w:gridSpan w:val="2"/>
                  <w:vMerge w:val="continue"/>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p>
              </w:tc>
              <w:tc>
                <w:tcPr>
                  <w:tcW w:w="1929" w:type="pct"/>
                  <w:tcBorders>
                    <w:tl2br w:val="nil"/>
                    <w:tr2bl w:val="nil"/>
                  </w:tcBorders>
                  <w:vAlign w:val="center"/>
                </w:tcPr>
                <w:p>
                  <w:pPr>
                    <w:pStyle w:val="38"/>
                    <w:rPr>
                      <w:rFonts w:hint="default" w:eastAsia="宋体"/>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废包装材料、污泥分类收集暂存于一般固废暂存间，废包装材料定期交由环卫部门处理，污泥送与周边居民作菜地农肥</w:t>
                  </w:r>
                </w:p>
              </w:tc>
              <w:tc>
                <w:tcPr>
                  <w:tcW w:w="1939"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default"/>
                      <w:color w:val="000000" w:themeColor="text1"/>
                      <w:highlight w:val="none"/>
                      <w:u w:val="single"/>
                      <w:lang w:val="en-US" w:eastAsia="zh-CN"/>
                      <w14:textFill>
                        <w14:solidFill>
                          <w14:schemeClr w14:val="tx1"/>
                        </w14:solidFill>
                      </w14:textFill>
                    </w:rPr>
                    <w:t>《一般工业固固体废物贮存和填埋污染控制标准》（GB18599-2020）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1" w:hRule="exact"/>
                <w:jc w:val="center"/>
              </w:trPr>
              <w:tc>
                <w:tcPr>
                  <w:tcW w:w="1131" w:type="pct"/>
                  <w:gridSpan w:val="2"/>
                  <w:vMerge w:val="continue"/>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p>
              </w:tc>
              <w:tc>
                <w:tcPr>
                  <w:tcW w:w="1929"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废机油、废机油桶分类收集暂存于危废暂存间，定期交由有资质单位处置</w:t>
                  </w:r>
                </w:p>
              </w:tc>
              <w:tc>
                <w:tcPr>
                  <w:tcW w:w="1939" w:type="pct"/>
                  <w:tcBorders>
                    <w:tl2br w:val="nil"/>
                    <w:tr2bl w:val="nil"/>
                  </w:tcBorders>
                  <w:vAlign w:val="center"/>
                </w:tcPr>
                <w:p>
                  <w:pPr>
                    <w:pStyle w:val="38"/>
                    <w:rPr>
                      <w:rFonts w:hint="default"/>
                      <w:color w:val="000000" w:themeColor="text1"/>
                      <w:highlight w:val="none"/>
                      <w:u w:val="single"/>
                      <w:lang w:val="en-US" w:eastAsia="zh-CN"/>
                      <w14:textFill>
                        <w14:solidFill>
                          <w14:schemeClr w14:val="tx1"/>
                        </w14:solidFill>
                      </w14:textFill>
                    </w:rPr>
                  </w:pPr>
                  <w:r>
                    <w:rPr>
                      <w:rFonts w:hint="default"/>
                      <w:color w:val="000000" w:themeColor="text1"/>
                      <w:highlight w:val="none"/>
                      <w:u w:val="single"/>
                      <w:lang w:val="en-US" w:eastAsia="zh-CN"/>
                      <w14:textFill>
                        <w14:solidFill>
                          <w14:schemeClr w14:val="tx1"/>
                        </w14:solidFill>
                      </w14:textFill>
                    </w:rPr>
                    <w:t>《危险废物贮存污染控制标准》（GB 18597-2023）</w:t>
                  </w:r>
                </w:p>
              </w:tc>
            </w:tr>
          </w:tbl>
          <w:p>
            <w:pPr>
              <w:pStyle w:val="5"/>
              <w:widowControl w:val="0"/>
              <w:ind w:firstLine="0" w:firstLineChars="0"/>
              <w:rPr>
                <w:rFonts w:cs="Times New Roman"/>
                <w:color w:val="000000" w:themeColor="text1"/>
                <w:highlight w:val="none"/>
                <w14:textFill>
                  <w14:solidFill>
                    <w14:schemeClr w14:val="tx1"/>
                  </w14:solidFill>
                </w14:textFill>
              </w:rPr>
            </w:pPr>
          </w:p>
        </w:tc>
      </w:tr>
    </w:tbl>
    <w:p>
      <w:pPr>
        <w:rPr>
          <w:color w:val="000000" w:themeColor="text1"/>
          <w:highlight w:val="none"/>
          <w:lang w:val="en-US"/>
          <w14:textFill>
            <w14:solidFill>
              <w14:schemeClr w14:val="tx1"/>
            </w14:solidFill>
          </w14:textFill>
        </w:rPr>
      </w:pPr>
      <w:r>
        <w:rPr>
          <w:color w:val="000000" w:themeColor="text1"/>
          <w:highlight w:val="none"/>
          <w:lang w:val="en-US"/>
          <w14:textFill>
            <w14:solidFill>
              <w14:schemeClr w14:val="tx1"/>
            </w14:solidFill>
          </w14:textFill>
        </w:rPr>
        <w:br w:type="page"/>
      </w:r>
    </w:p>
    <w:p>
      <w:pPr>
        <w:pStyle w:val="3"/>
        <w:rPr>
          <w:color w:val="000000" w:themeColor="text1"/>
          <w:highlight w:val="none"/>
          <w:lang w:val="en-US"/>
          <w14:textFill>
            <w14:solidFill>
              <w14:schemeClr w14:val="tx1"/>
            </w14:solidFill>
          </w14:textFill>
        </w:rPr>
      </w:pPr>
      <w:bookmarkStart w:id="14" w:name="_Toc136591187"/>
      <w:r>
        <w:rPr>
          <w:rFonts w:hint="eastAsia"/>
          <w:color w:val="000000" w:themeColor="text1"/>
          <w:highlight w:val="none"/>
          <w:lang w:val="en-US"/>
          <w14:textFill>
            <w14:solidFill>
              <w14:schemeClr w14:val="tx1"/>
            </w14:solidFill>
          </w14:textFill>
        </w:rPr>
        <w:t>五、环境保护措施督查检查清单</w:t>
      </w:r>
      <w:bookmarkEnd w:id="14"/>
    </w:p>
    <w:tbl>
      <w:tblPr>
        <w:tblStyle w:val="28"/>
        <w:tblW w:w="508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8"/>
        <w:gridCol w:w="1999"/>
        <w:gridCol w:w="1409"/>
        <w:gridCol w:w="2263"/>
        <w:gridCol w:w="3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内容要素</w:t>
            </w:r>
          </w:p>
        </w:tc>
        <w:tc>
          <w:tcPr>
            <w:tcW w:w="986"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排放口（编号、名称）</w:t>
            </w:r>
            <w:r>
              <w:rPr>
                <w:color w:val="000000" w:themeColor="text1"/>
                <w:highlight w:val="none"/>
                <w:u w:val="single"/>
                <w:lang w:val="en-US"/>
                <w14:textFill>
                  <w14:solidFill>
                    <w14:schemeClr w14:val="tx1"/>
                  </w14:solidFill>
                </w14:textFill>
              </w:rPr>
              <w:t>/</w:t>
            </w:r>
            <w:r>
              <w:rPr>
                <w:rFonts w:hint="eastAsia"/>
                <w:color w:val="000000" w:themeColor="text1"/>
                <w:highlight w:val="none"/>
                <w:u w:val="single"/>
                <w:lang w:val="en-US"/>
                <w14:textFill>
                  <w14:solidFill>
                    <w14:schemeClr w14:val="tx1"/>
                  </w14:solidFill>
                </w14:textFill>
              </w:rPr>
              <w:t>污染源</w:t>
            </w:r>
          </w:p>
        </w:tc>
        <w:tc>
          <w:tcPr>
            <w:tcW w:w="695"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污染物项目</w:t>
            </w:r>
          </w:p>
        </w:tc>
        <w:tc>
          <w:tcPr>
            <w:tcW w:w="1116"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环境保护措施</w:t>
            </w:r>
          </w:p>
        </w:tc>
        <w:tc>
          <w:tcPr>
            <w:tcW w:w="1536"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3" w:hRule="atLeast"/>
        </w:trPr>
        <w:tc>
          <w:tcPr>
            <w:tcW w:w="665" w:type="pct"/>
            <w:vMerge w:val="restart"/>
            <w:vAlign w:val="center"/>
          </w:tcPr>
          <w:p>
            <w:pPr>
              <w:spacing w:line="276" w:lineRule="auto"/>
              <w:jc w:val="center"/>
              <w:rPr>
                <w:rFonts w:hint="default" w:ascii="Times New Roman" w:hAnsi="Times New Roman" w:cs="Times New Roman"/>
                <w:color w:val="000000" w:themeColor="text1"/>
                <w:highlight w:val="none"/>
                <w:u w:val="single"/>
                <w:lang w:val="en-US"/>
                <w14:textFill>
                  <w14:solidFill>
                    <w14:schemeClr w14:val="tx1"/>
                  </w14:solidFill>
                </w14:textFill>
              </w:rPr>
            </w:pPr>
            <w:r>
              <w:rPr>
                <w:rFonts w:hint="default" w:ascii="Times New Roman" w:hAnsi="Times New Roman" w:cs="Times New Roman"/>
                <w:color w:val="000000" w:themeColor="text1"/>
                <w:highlight w:val="none"/>
                <w:u w:val="single"/>
                <w:lang w:val="en-US"/>
                <w14:textFill>
                  <w14:solidFill>
                    <w14:schemeClr w14:val="tx1"/>
                  </w14:solidFill>
                </w14:textFill>
              </w:rPr>
              <w:t>大气环境</w:t>
            </w:r>
          </w:p>
        </w:tc>
        <w:tc>
          <w:tcPr>
            <w:tcW w:w="986" w:type="pct"/>
            <w:vAlign w:val="center"/>
          </w:tcPr>
          <w:p>
            <w:pPr>
              <w:spacing w:line="276" w:lineRule="auto"/>
              <w:jc w:val="center"/>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食堂油烟</w:t>
            </w:r>
          </w:p>
        </w:tc>
        <w:tc>
          <w:tcPr>
            <w:tcW w:w="695" w:type="pct"/>
            <w:vAlign w:val="center"/>
          </w:tcPr>
          <w:p>
            <w:pPr>
              <w:spacing w:line="276" w:lineRule="auto"/>
              <w:jc w:val="center"/>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油烟</w:t>
            </w:r>
          </w:p>
        </w:tc>
        <w:tc>
          <w:tcPr>
            <w:tcW w:w="1116" w:type="pct"/>
            <w:vAlign w:val="center"/>
          </w:tcPr>
          <w:p>
            <w:pPr>
              <w:spacing w:line="276" w:lineRule="auto"/>
              <w:jc w:val="center"/>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油烟净化器+专用烟道</w:t>
            </w:r>
          </w:p>
        </w:tc>
        <w:tc>
          <w:tcPr>
            <w:tcW w:w="1536" w:type="pct"/>
            <w:vAlign w:val="center"/>
          </w:tcPr>
          <w:p>
            <w:pPr>
              <w:spacing w:line="276" w:lineRule="auto"/>
              <w:jc w:val="center"/>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pPr>
            <w:r>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t>《饮食业油烟排放标准（试行）》（GB18483-2001）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665" w:type="pct"/>
            <w:vMerge w:val="continue"/>
            <w:vAlign w:val="center"/>
          </w:tcPr>
          <w:p>
            <w:pPr>
              <w:spacing w:line="276" w:lineRule="auto"/>
              <w:jc w:val="center"/>
              <w:rPr>
                <w:rFonts w:hint="default" w:ascii="Times New Roman" w:hAnsi="Times New Roman" w:cs="Times New Roman"/>
                <w:color w:val="000000" w:themeColor="text1"/>
                <w:highlight w:val="none"/>
                <w:u w:val="single"/>
                <w:lang w:val="en-US"/>
                <w14:textFill>
                  <w14:solidFill>
                    <w14:schemeClr w14:val="tx1"/>
                  </w14:solidFill>
                </w14:textFill>
              </w:rPr>
            </w:pPr>
          </w:p>
        </w:tc>
        <w:tc>
          <w:tcPr>
            <w:tcW w:w="986" w:type="pct"/>
            <w:vAlign w:val="center"/>
          </w:tcPr>
          <w:p>
            <w:pPr>
              <w:spacing w:line="276" w:lineRule="auto"/>
              <w:jc w:val="center"/>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发电机尾气</w:t>
            </w:r>
          </w:p>
        </w:tc>
        <w:tc>
          <w:tcPr>
            <w:tcW w:w="695" w:type="pct"/>
            <w:vAlign w:val="center"/>
          </w:tcPr>
          <w:p>
            <w:pPr>
              <w:spacing w:line="276" w:lineRule="auto"/>
              <w:jc w:val="center"/>
              <w:rPr>
                <w:rFonts w:hint="default" w:ascii="Times New Roman" w:hAnsi="Times New Roman" w:cs="Times New Roman"/>
                <w:color w:val="000000" w:themeColor="text1"/>
                <w:highlight w:val="none"/>
                <w:u w:val="single"/>
                <w:vertAlign w:val="subscript"/>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颗粒物、SO</w:t>
            </w:r>
            <w:r>
              <w:rPr>
                <w:rFonts w:hint="eastAsia" w:cs="Times New Roman"/>
                <w:color w:val="000000" w:themeColor="text1"/>
                <w:highlight w:val="none"/>
                <w:u w:val="single"/>
                <w:vertAlign w:val="subscript"/>
                <w:lang w:val="en-US" w:eastAsia="zh-CN"/>
                <w14:textFill>
                  <w14:solidFill>
                    <w14:schemeClr w14:val="tx1"/>
                  </w14:solidFill>
                </w14:textFill>
              </w:rPr>
              <w:t>2</w:t>
            </w:r>
            <w:r>
              <w:rPr>
                <w:rFonts w:hint="eastAsia" w:cs="Times New Roman"/>
                <w:color w:val="000000" w:themeColor="text1"/>
                <w:highlight w:val="none"/>
                <w:u w:val="single"/>
                <w:vertAlign w:val="baseline"/>
                <w:lang w:val="en-US" w:eastAsia="zh-CN"/>
                <w14:textFill>
                  <w14:solidFill>
                    <w14:schemeClr w14:val="tx1"/>
                  </w14:solidFill>
                </w14:textFill>
              </w:rPr>
              <w:t>、NO</w:t>
            </w:r>
            <w:r>
              <w:rPr>
                <w:rFonts w:hint="eastAsia" w:cs="Times New Roman"/>
                <w:color w:val="000000" w:themeColor="text1"/>
                <w:highlight w:val="none"/>
                <w:u w:val="single"/>
                <w:vertAlign w:val="subscript"/>
                <w:lang w:val="en-US" w:eastAsia="zh-CN"/>
                <w14:textFill>
                  <w14:solidFill>
                    <w14:schemeClr w14:val="tx1"/>
                  </w14:solidFill>
                </w14:textFill>
              </w:rPr>
              <w:t>X</w:t>
            </w:r>
          </w:p>
        </w:tc>
        <w:tc>
          <w:tcPr>
            <w:tcW w:w="1116" w:type="pct"/>
            <w:vAlign w:val="center"/>
          </w:tcPr>
          <w:p>
            <w:pPr>
              <w:spacing w:line="276" w:lineRule="auto"/>
              <w:jc w:val="center"/>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引风机+</w:t>
            </w:r>
            <w:r>
              <w:rPr>
                <w:rFonts w:hint="eastAsia" w:cs="Times New Roman"/>
                <w:color w:val="000000" w:themeColor="text1"/>
                <w:highlight w:val="none"/>
                <w:u w:val="single"/>
                <w:lang w:val="en-US" w:eastAsia="zh-CN"/>
                <w14:textFill>
                  <w14:solidFill>
                    <w14:schemeClr w14:val="tx1"/>
                  </w14:solidFill>
                </w14:textFill>
              </w:rPr>
              <w:t>15m</w:t>
            </w:r>
            <w:r>
              <w:rPr>
                <w:rFonts w:hint="default" w:ascii="Times New Roman" w:hAnsi="Times New Roman" w:cs="Times New Roman"/>
                <w:color w:val="000000" w:themeColor="text1"/>
                <w:highlight w:val="none"/>
                <w:u w:val="single"/>
                <w:lang w:val="en-US" w:eastAsia="zh-CN"/>
                <w14:textFill>
                  <w14:solidFill>
                    <w14:schemeClr w14:val="tx1"/>
                  </w14:solidFill>
                </w14:textFill>
              </w:rPr>
              <w:t>排气筒</w:t>
            </w:r>
            <w:r>
              <w:rPr>
                <w:rFonts w:hint="eastAsia" w:cs="Times New Roman"/>
                <w:color w:val="000000" w:themeColor="text1"/>
                <w:highlight w:val="none"/>
                <w:u w:val="single"/>
                <w:lang w:val="en-US" w:eastAsia="zh-CN"/>
                <w14:textFill>
                  <w14:solidFill>
                    <w14:schemeClr w14:val="tx1"/>
                  </w14:solidFill>
                </w14:textFill>
              </w:rPr>
              <w:t>排放</w:t>
            </w:r>
          </w:p>
        </w:tc>
        <w:tc>
          <w:tcPr>
            <w:tcW w:w="1536" w:type="pct"/>
            <w:vAlign w:val="center"/>
          </w:tcPr>
          <w:p>
            <w:pPr>
              <w:spacing w:line="276" w:lineRule="auto"/>
              <w:jc w:val="center"/>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pPr>
            <w:r>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665" w:type="pct"/>
            <w:vMerge w:val="restart"/>
            <w:vAlign w:val="center"/>
          </w:tcPr>
          <w:p>
            <w:pPr>
              <w:spacing w:line="276" w:lineRule="auto"/>
              <w:jc w:val="center"/>
              <w:rPr>
                <w:rFonts w:hint="default" w:ascii="Times New Roman" w:hAnsi="Times New Roman" w:cs="Times New Roman"/>
                <w:color w:val="000000" w:themeColor="text1"/>
                <w:highlight w:val="none"/>
                <w:u w:val="single"/>
                <w:lang w:val="en-US"/>
                <w14:textFill>
                  <w14:solidFill>
                    <w14:schemeClr w14:val="tx1"/>
                  </w14:solidFill>
                </w14:textFill>
              </w:rPr>
            </w:pPr>
            <w:r>
              <w:rPr>
                <w:rFonts w:hint="default" w:ascii="Times New Roman" w:hAnsi="Times New Roman" w:cs="Times New Roman"/>
                <w:color w:val="000000" w:themeColor="text1"/>
                <w:highlight w:val="none"/>
                <w:u w:val="single"/>
                <w:lang w:val="en-US"/>
                <w14:textFill>
                  <w14:solidFill>
                    <w14:schemeClr w14:val="tx1"/>
                  </w14:solidFill>
                </w14:textFill>
              </w:rPr>
              <w:t>地表水环境</w:t>
            </w:r>
          </w:p>
        </w:tc>
        <w:tc>
          <w:tcPr>
            <w:tcW w:w="986" w:type="pct"/>
            <w:vAlign w:val="center"/>
          </w:tcPr>
          <w:p>
            <w:pPr>
              <w:spacing w:line="276" w:lineRule="auto"/>
              <w:jc w:val="center"/>
              <w:rPr>
                <w:rFonts w:hint="default" w:ascii="Times New Roman" w:hAnsi="Times New Roman" w:cs="Times New Roman"/>
                <w:color w:val="000000" w:themeColor="text1"/>
                <w:highlight w:val="none"/>
                <w:u w:val="single"/>
                <w:lang w:val="en-US"/>
                <w14:textFill>
                  <w14:solidFill>
                    <w14:schemeClr w14:val="tx1"/>
                  </w14:solidFill>
                </w14:textFill>
              </w:rPr>
            </w:pPr>
            <w:r>
              <w:rPr>
                <w:rFonts w:hint="default" w:ascii="Times New Roman" w:hAnsi="Times New Roman" w:cs="Times New Roman"/>
                <w:color w:val="000000" w:themeColor="text1"/>
                <w:highlight w:val="none"/>
                <w:u w:val="single"/>
                <w:lang w:val="en-US"/>
                <w14:textFill>
                  <w14:solidFill>
                    <w14:schemeClr w14:val="tx1"/>
                  </w14:solidFill>
                </w14:textFill>
              </w:rPr>
              <w:t>员工生活污水</w:t>
            </w:r>
          </w:p>
        </w:tc>
        <w:tc>
          <w:tcPr>
            <w:tcW w:w="695" w:type="pct"/>
            <w:vAlign w:val="center"/>
          </w:tcPr>
          <w:p>
            <w:pPr>
              <w:spacing w:line="276" w:lineRule="auto"/>
              <w:jc w:val="center"/>
              <w:rPr>
                <w:rFonts w:hint="default" w:ascii="Times New Roman" w:hAnsi="Times New Roman" w:cs="Times New Roman"/>
                <w:color w:val="000000" w:themeColor="text1"/>
                <w:highlight w:val="none"/>
                <w:u w:val="single"/>
                <w:lang w:val="en-US"/>
                <w14:textFill>
                  <w14:solidFill>
                    <w14:schemeClr w14:val="tx1"/>
                  </w14:solidFill>
                </w14:textFill>
              </w:rPr>
            </w:pPr>
            <w:r>
              <w:rPr>
                <w:rFonts w:hint="default" w:ascii="Times New Roman" w:hAnsi="Times New Roman" w:cs="Times New Roman"/>
                <w:color w:val="000000" w:themeColor="text1"/>
                <w:highlight w:val="none"/>
                <w:u w:val="single"/>
                <w:lang w:val="en-US"/>
                <w14:textFill>
                  <w14:solidFill>
                    <w14:schemeClr w14:val="tx1"/>
                  </w14:solidFill>
                </w14:textFill>
              </w:rPr>
              <w:t>pH、COD、BOD</w:t>
            </w:r>
            <w:r>
              <w:rPr>
                <w:rFonts w:hint="default" w:ascii="Times New Roman" w:hAnsi="Times New Roman" w:cs="Times New Roman"/>
                <w:color w:val="000000" w:themeColor="text1"/>
                <w:highlight w:val="none"/>
                <w:u w:val="single"/>
                <w:vertAlign w:val="subscript"/>
                <w:lang w:val="en-US"/>
                <w14:textFill>
                  <w14:solidFill>
                    <w14:schemeClr w14:val="tx1"/>
                  </w14:solidFill>
                </w14:textFill>
              </w:rPr>
              <w:t>5</w:t>
            </w:r>
            <w:r>
              <w:rPr>
                <w:rFonts w:hint="default" w:ascii="Times New Roman" w:hAnsi="Times New Roman" w:cs="Times New Roman"/>
                <w:color w:val="000000" w:themeColor="text1"/>
                <w:highlight w:val="none"/>
                <w:u w:val="single"/>
                <w:lang w:val="en-US"/>
                <w14:textFill>
                  <w14:solidFill>
                    <w14:schemeClr w14:val="tx1"/>
                  </w14:solidFill>
                </w14:textFill>
              </w:rPr>
              <w:t>、SS、NH</w:t>
            </w:r>
            <w:r>
              <w:rPr>
                <w:rFonts w:hint="default" w:ascii="Times New Roman" w:hAnsi="Times New Roman" w:cs="Times New Roman"/>
                <w:color w:val="000000" w:themeColor="text1"/>
                <w:highlight w:val="none"/>
                <w:u w:val="single"/>
                <w:vertAlign w:val="subscript"/>
                <w:lang w:val="en-US"/>
                <w14:textFill>
                  <w14:solidFill>
                    <w14:schemeClr w14:val="tx1"/>
                  </w14:solidFill>
                </w14:textFill>
              </w:rPr>
              <w:t>3</w:t>
            </w:r>
            <w:r>
              <w:rPr>
                <w:rFonts w:hint="default" w:ascii="Times New Roman" w:hAnsi="Times New Roman" w:cs="Times New Roman"/>
                <w:color w:val="000000" w:themeColor="text1"/>
                <w:highlight w:val="none"/>
                <w:u w:val="single"/>
                <w:lang w:val="en-US"/>
                <w14:textFill>
                  <w14:solidFill>
                    <w14:schemeClr w14:val="tx1"/>
                  </w14:solidFill>
                </w14:textFill>
              </w:rPr>
              <w:t>-N等</w:t>
            </w:r>
          </w:p>
        </w:tc>
        <w:tc>
          <w:tcPr>
            <w:tcW w:w="1116" w:type="pct"/>
            <w:vAlign w:val="center"/>
          </w:tcPr>
          <w:p>
            <w:pPr>
              <w:spacing w:line="276" w:lineRule="auto"/>
              <w:jc w:val="center"/>
              <w:rPr>
                <w:rFonts w:hint="default" w:ascii="Times New Roman" w:hAnsi="Times New Roman" w:cs="Times New Roman"/>
                <w:color w:val="000000" w:themeColor="text1"/>
                <w:highlight w:val="none"/>
                <w:u w:val="single"/>
                <w:lang w:val="en-US"/>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经三级化粪池处理后用作周边菜地农肥</w:t>
            </w:r>
          </w:p>
        </w:tc>
        <w:tc>
          <w:tcPr>
            <w:tcW w:w="1536" w:type="pct"/>
            <w:vAlign w:val="center"/>
          </w:tcPr>
          <w:p>
            <w:pPr>
              <w:spacing w:line="276" w:lineRule="auto"/>
              <w:jc w:val="center"/>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665" w:type="pct"/>
            <w:vMerge w:val="continue"/>
            <w:vAlign w:val="center"/>
          </w:tcPr>
          <w:p>
            <w:pPr>
              <w:spacing w:line="276" w:lineRule="auto"/>
              <w:jc w:val="center"/>
              <w:rPr>
                <w:rFonts w:hint="default" w:ascii="Times New Roman" w:hAnsi="Times New Roman" w:cs="Times New Roman"/>
                <w:color w:val="000000" w:themeColor="text1"/>
                <w:highlight w:val="none"/>
                <w:u w:val="single"/>
                <w:lang w:val="en-US"/>
                <w14:textFill>
                  <w14:solidFill>
                    <w14:schemeClr w14:val="tx1"/>
                  </w14:solidFill>
                </w14:textFill>
              </w:rPr>
            </w:pPr>
          </w:p>
        </w:tc>
        <w:tc>
          <w:tcPr>
            <w:tcW w:w="986" w:type="pct"/>
            <w:vAlign w:val="center"/>
          </w:tcPr>
          <w:p>
            <w:pPr>
              <w:spacing w:line="276" w:lineRule="auto"/>
              <w:jc w:val="center"/>
              <w:rPr>
                <w:rFonts w:hint="default" w:ascii="Times New Roman" w:hAnsi="Times New Roman" w:cs="Times New Roman"/>
                <w:color w:val="000000" w:themeColor="text1"/>
                <w:highlight w:val="none"/>
                <w:u w:val="single"/>
                <w:lang w:val="en-US"/>
                <w14:textFill>
                  <w14:solidFill>
                    <w14:schemeClr w14:val="tx1"/>
                  </w14:solidFill>
                </w14:textFill>
              </w:rPr>
            </w:pPr>
            <w:r>
              <w:rPr>
                <w:rFonts w:hint="default" w:ascii="Times New Roman" w:hAnsi="Times New Roman" w:cs="Times New Roman"/>
                <w:color w:val="000000" w:themeColor="text1"/>
                <w:highlight w:val="none"/>
                <w:u w:val="single"/>
                <w:lang w:val="en-US"/>
                <w14:textFill>
                  <w14:solidFill>
                    <w14:schemeClr w14:val="tx1"/>
                  </w14:solidFill>
                </w14:textFill>
              </w:rPr>
              <w:t>反冲洗废水</w:t>
            </w:r>
          </w:p>
        </w:tc>
        <w:tc>
          <w:tcPr>
            <w:tcW w:w="695" w:type="pct"/>
            <w:vAlign w:val="center"/>
          </w:tcPr>
          <w:p>
            <w:pPr>
              <w:spacing w:line="276" w:lineRule="auto"/>
              <w:jc w:val="center"/>
              <w:rPr>
                <w:rFonts w:hint="eastAsia" w:ascii="Times New Roman" w:hAnsi="Times New Roman" w:eastAsia="宋体" w:cs="Times New Roman"/>
                <w:color w:val="000000" w:themeColor="text1"/>
                <w:highlight w:val="none"/>
                <w:u w:val="single"/>
                <w:lang w:val="en-US" w:eastAsia="zh-CN"/>
                <w14:textFill>
                  <w14:solidFill>
                    <w14:schemeClr w14:val="tx1"/>
                  </w14:solidFill>
                </w14:textFill>
              </w:rPr>
            </w:pPr>
            <w:r>
              <w:rPr>
                <w:rFonts w:hint="default" w:ascii="Times New Roman" w:hAnsi="Times New Roman" w:cs="Times New Roman"/>
                <w:color w:val="000000" w:themeColor="text1"/>
                <w:highlight w:val="none"/>
                <w:u w:val="single"/>
                <w:lang w:val="en-US"/>
                <w14:textFill>
                  <w14:solidFill>
                    <w14:schemeClr w14:val="tx1"/>
                  </w14:solidFill>
                </w14:textFill>
              </w:rPr>
              <w:t>SS等</w:t>
            </w:r>
          </w:p>
        </w:tc>
        <w:tc>
          <w:tcPr>
            <w:tcW w:w="1116" w:type="pct"/>
            <w:vAlign w:val="center"/>
          </w:tcPr>
          <w:p>
            <w:pPr>
              <w:spacing w:line="276" w:lineRule="auto"/>
              <w:jc w:val="center"/>
              <w:rPr>
                <w:rFonts w:hint="default" w:ascii="Times New Roman" w:hAnsi="Times New Roman" w:cs="Times New Roman"/>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bidi="zh-CN"/>
                <w14:textFill>
                  <w14:solidFill>
                    <w14:schemeClr w14:val="tx1"/>
                  </w14:solidFill>
                </w14:textFill>
              </w:rPr>
              <w:t>直接作为原水回用</w:t>
            </w:r>
          </w:p>
        </w:tc>
        <w:tc>
          <w:tcPr>
            <w:tcW w:w="1536" w:type="pct"/>
            <w:vAlign w:val="center"/>
          </w:tcPr>
          <w:p>
            <w:pPr>
              <w:spacing w:line="276" w:lineRule="auto"/>
              <w:jc w:val="center"/>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665" w:type="pct"/>
            <w:vMerge w:val="continue"/>
            <w:vAlign w:val="center"/>
          </w:tcPr>
          <w:p>
            <w:pPr>
              <w:spacing w:line="276" w:lineRule="auto"/>
              <w:jc w:val="center"/>
              <w:rPr>
                <w:rFonts w:hint="default" w:ascii="Times New Roman" w:hAnsi="Times New Roman" w:cs="Times New Roman"/>
                <w:color w:val="000000" w:themeColor="text1"/>
                <w:highlight w:val="none"/>
                <w:u w:val="single"/>
                <w:lang w:val="en-US"/>
                <w14:textFill>
                  <w14:solidFill>
                    <w14:schemeClr w14:val="tx1"/>
                  </w14:solidFill>
                </w14:textFill>
              </w:rPr>
            </w:pPr>
          </w:p>
        </w:tc>
        <w:tc>
          <w:tcPr>
            <w:tcW w:w="986" w:type="pct"/>
            <w:vAlign w:val="center"/>
          </w:tcPr>
          <w:p>
            <w:pPr>
              <w:spacing w:line="276" w:lineRule="auto"/>
              <w:jc w:val="center"/>
              <w:rPr>
                <w:rFonts w:hint="default" w:ascii="Times New Roman" w:hAnsi="Times New Roman" w:cs="Times New Roman"/>
                <w:color w:val="000000" w:themeColor="text1"/>
                <w:highlight w:val="none"/>
                <w:u w:val="single"/>
                <w:lang w:val="en-US"/>
                <w14:textFill>
                  <w14:solidFill>
                    <w14:schemeClr w14:val="tx1"/>
                  </w14:solidFill>
                </w14:textFill>
              </w:rPr>
            </w:pPr>
            <w:r>
              <w:rPr>
                <w:rFonts w:hint="default" w:ascii="Times New Roman" w:hAnsi="Times New Roman" w:cs="Times New Roman"/>
                <w:color w:val="000000" w:themeColor="text1"/>
                <w:highlight w:val="none"/>
                <w:u w:val="single"/>
                <w:lang w:val="en-US"/>
                <w14:textFill>
                  <w14:solidFill>
                    <w14:schemeClr w14:val="tx1"/>
                  </w14:solidFill>
                </w14:textFill>
              </w:rPr>
              <w:t>沉淀池排泥水</w:t>
            </w:r>
          </w:p>
        </w:tc>
        <w:tc>
          <w:tcPr>
            <w:tcW w:w="695" w:type="pct"/>
            <w:vAlign w:val="center"/>
          </w:tcPr>
          <w:p>
            <w:pPr>
              <w:spacing w:line="276" w:lineRule="auto"/>
              <w:jc w:val="center"/>
              <w:rPr>
                <w:rFonts w:hint="default" w:ascii="Times New Roman" w:hAnsi="Times New Roman" w:cs="Times New Roman"/>
                <w:color w:val="000000" w:themeColor="text1"/>
                <w:highlight w:val="none"/>
                <w:u w:val="single"/>
                <w:lang w:val="en-US"/>
                <w14:textFill>
                  <w14:solidFill>
                    <w14:schemeClr w14:val="tx1"/>
                  </w14:solidFill>
                </w14:textFill>
              </w:rPr>
            </w:pPr>
            <w:r>
              <w:rPr>
                <w:rFonts w:hint="default" w:ascii="Times New Roman" w:hAnsi="Times New Roman" w:cs="Times New Roman"/>
                <w:color w:val="000000" w:themeColor="text1"/>
                <w:highlight w:val="none"/>
                <w:u w:val="single"/>
                <w:lang w:val="en-US"/>
                <w14:textFill>
                  <w14:solidFill>
                    <w14:schemeClr w14:val="tx1"/>
                  </w14:solidFill>
                </w14:textFill>
              </w:rPr>
              <w:t>SS等</w:t>
            </w:r>
          </w:p>
        </w:tc>
        <w:tc>
          <w:tcPr>
            <w:tcW w:w="1116" w:type="pct"/>
            <w:vAlign w:val="center"/>
          </w:tcPr>
          <w:p>
            <w:pPr>
              <w:spacing w:line="276" w:lineRule="auto"/>
              <w:jc w:val="center"/>
              <w:rPr>
                <w:rFonts w:hint="default"/>
                <w:color w:val="000000" w:themeColor="text1"/>
                <w:highlight w:val="none"/>
                <w:u w:val="single"/>
                <w:lang w:val="en-US" w:bidi="zh-CN"/>
                <w14:textFill>
                  <w14:solidFill>
                    <w14:schemeClr w14:val="tx1"/>
                  </w14:solidFill>
                </w14:textFill>
              </w:rPr>
            </w:pPr>
            <w:r>
              <w:rPr>
                <w:rFonts w:hint="eastAsia"/>
                <w:color w:val="000000" w:themeColor="text1"/>
                <w:highlight w:val="none"/>
                <w:u w:val="single"/>
                <w:lang w:val="en-US" w:bidi="zh-CN"/>
                <w14:textFill>
                  <w14:solidFill>
                    <w14:schemeClr w14:val="tx1"/>
                  </w14:solidFill>
                </w14:textFill>
              </w:rPr>
              <w:t>收集至污泥池，上清液回用，浓缩污泥经压滤机脱水处理，滤液作为厂区绿化使用</w:t>
            </w:r>
          </w:p>
        </w:tc>
        <w:tc>
          <w:tcPr>
            <w:tcW w:w="1536" w:type="pct"/>
            <w:vAlign w:val="center"/>
          </w:tcPr>
          <w:p>
            <w:pPr>
              <w:spacing w:line="276" w:lineRule="auto"/>
              <w:jc w:val="center"/>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eastAsia" w:cs="Times New Roman"/>
                <w:color w:val="000000" w:themeColor="text1"/>
                <w:highlight w:val="none"/>
                <w:u w:val="single"/>
                <w:lang w:val="en-US" w:eastAsia="zh-CN"/>
                <w14:textFill>
                  <w14:solidFill>
                    <w14:schemeClr w14:val="tx1"/>
                  </w14:solidFill>
                </w14:textFill>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声环境</w:t>
            </w:r>
          </w:p>
        </w:tc>
        <w:tc>
          <w:tcPr>
            <w:tcW w:w="986"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s="Times New Roman"/>
                <w:color w:val="000000" w:themeColor="text1"/>
                <w:highlight w:val="none"/>
                <w:u w:val="single"/>
                <w:lang w:val="en-US"/>
                <w14:textFill>
                  <w14:solidFill>
                    <w14:schemeClr w14:val="tx1"/>
                  </w14:solidFill>
                </w14:textFill>
              </w:rPr>
              <w:t>生产设备</w:t>
            </w:r>
          </w:p>
        </w:tc>
        <w:tc>
          <w:tcPr>
            <w:tcW w:w="695"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s="Times New Roman"/>
                <w:color w:val="000000" w:themeColor="text1"/>
                <w:highlight w:val="none"/>
                <w:u w:val="single"/>
                <w:lang w:val="en-US"/>
                <w14:textFill>
                  <w14:solidFill>
                    <w14:schemeClr w14:val="tx1"/>
                  </w14:solidFill>
                </w14:textFill>
              </w:rPr>
              <w:t>设备噪声</w:t>
            </w:r>
          </w:p>
        </w:tc>
        <w:tc>
          <w:tcPr>
            <w:tcW w:w="1116"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s="Times New Roman"/>
                <w:color w:val="000000" w:themeColor="text1"/>
                <w:highlight w:val="none"/>
                <w:u w:val="single"/>
                <w14:textFill>
                  <w14:solidFill>
                    <w14:schemeClr w14:val="tx1"/>
                  </w14:solidFill>
                </w14:textFill>
              </w:rPr>
              <w:t>合理布局、厂房隔声、基础减震、加强管理等措施</w:t>
            </w:r>
          </w:p>
        </w:tc>
        <w:tc>
          <w:tcPr>
            <w:tcW w:w="1536"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s="Times New Roman"/>
                <w:color w:val="000000" w:themeColor="text1"/>
                <w:highlight w:val="none"/>
                <w:u w:val="single"/>
                <w14:textFill>
                  <w14:solidFill>
                    <w14:schemeClr w14:val="tx1"/>
                  </w14:solidFill>
                </w14:textFill>
              </w:rPr>
              <w:t>《工业企业厂界环境噪声排放标准》（</w:t>
            </w:r>
            <w:r>
              <w:rPr>
                <w:rFonts w:cs="Times New Roman"/>
                <w:color w:val="000000" w:themeColor="text1"/>
                <w:highlight w:val="none"/>
                <w:u w:val="single"/>
                <w14:textFill>
                  <w14:solidFill>
                    <w14:schemeClr w14:val="tx1"/>
                  </w14:solidFill>
                </w14:textFill>
              </w:rPr>
              <w:t>GB12348-2008</w:t>
            </w:r>
            <w:r>
              <w:rPr>
                <w:rFonts w:hint="eastAsia" w:cs="Times New Roman"/>
                <w:color w:val="000000" w:themeColor="text1"/>
                <w:highlight w:val="none"/>
                <w:u w:val="single"/>
                <w14:textFill>
                  <w14:solidFill>
                    <w14:schemeClr w14:val="tx1"/>
                  </w14:solidFill>
                </w14:textFill>
              </w:rPr>
              <w:t>）中的</w:t>
            </w:r>
            <w:r>
              <w:rPr>
                <w:rFonts w:hint="eastAsia" w:cs="Times New Roman"/>
                <w:color w:val="000000" w:themeColor="text1"/>
                <w:highlight w:val="none"/>
                <w:u w:val="single"/>
                <w:lang w:val="en-US" w:eastAsia="zh-CN"/>
                <w14:textFill>
                  <w14:solidFill>
                    <w14:schemeClr w14:val="tx1"/>
                  </w14:solidFill>
                </w14:textFill>
              </w:rPr>
              <w:t>2</w:t>
            </w:r>
            <w:r>
              <w:rPr>
                <w:rFonts w:hint="eastAsia" w:cs="Times New Roman"/>
                <w:color w:val="000000" w:themeColor="text1"/>
                <w:highlight w:val="none"/>
                <w:u w:val="single"/>
                <w14:textFill>
                  <w14:solidFill>
                    <w14:schemeClr w14:val="tx1"/>
                  </w14:solidFill>
                </w14:textFill>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固体废物</w:t>
            </w:r>
          </w:p>
        </w:tc>
        <w:tc>
          <w:tcPr>
            <w:tcW w:w="4334" w:type="pct"/>
            <w:gridSpan w:val="4"/>
            <w:vAlign w:val="center"/>
          </w:tcPr>
          <w:p>
            <w:pPr>
              <w:spacing w:line="360" w:lineRule="auto"/>
              <w:jc w:val="left"/>
              <w:rPr>
                <w:color w:val="000000" w:themeColor="text1"/>
                <w:highlight w:val="none"/>
                <w:u w:val="single"/>
                <w:lang w:val="en-US"/>
                <w14:textFill>
                  <w14:solidFill>
                    <w14:schemeClr w14:val="tx1"/>
                  </w14:solidFill>
                </w14:textFill>
              </w:rPr>
            </w:pPr>
            <w:r>
              <w:rPr>
                <w:rFonts w:hint="eastAsia"/>
                <w:bCs/>
                <w:color w:val="000000" w:themeColor="text1"/>
                <w:highlight w:val="none"/>
                <w:u w:val="single"/>
                <w:lang w:val="en-US" w:eastAsia="zh-CN"/>
                <w14:textFill>
                  <w14:solidFill>
                    <w14:schemeClr w14:val="tx1"/>
                  </w14:solidFill>
                </w14:textFill>
              </w:rPr>
              <w:t>废包装材料、污泥</w:t>
            </w:r>
            <w:r>
              <w:rPr>
                <w:rFonts w:hint="eastAsia"/>
                <w:bCs/>
                <w:color w:val="000000" w:themeColor="text1"/>
                <w:highlight w:val="none"/>
                <w:u w:val="single"/>
                <w:lang w:bidi="ar"/>
                <w14:textFill>
                  <w14:solidFill>
                    <w14:schemeClr w14:val="tx1"/>
                  </w14:solidFill>
                </w14:textFill>
              </w:rPr>
              <w:t>等一般固废，暂存于</w:t>
            </w:r>
            <w:r>
              <w:rPr>
                <w:rFonts w:hint="eastAsia"/>
                <w:bCs/>
                <w:color w:val="000000" w:themeColor="text1"/>
                <w:highlight w:val="none"/>
                <w:u w:val="single"/>
                <w:lang w:val="en-US" w:eastAsia="zh-CN" w:bidi="ar"/>
                <w14:textFill>
                  <w14:solidFill>
                    <w14:schemeClr w14:val="tx1"/>
                  </w14:solidFill>
                </w14:textFill>
              </w:rPr>
              <w:t>一般</w:t>
            </w:r>
            <w:r>
              <w:rPr>
                <w:rFonts w:hint="eastAsia"/>
                <w:bCs/>
                <w:color w:val="000000" w:themeColor="text1"/>
                <w:highlight w:val="none"/>
                <w:u w:val="single"/>
                <w:lang w:bidi="ar"/>
                <w14:textFill>
                  <w14:solidFill>
                    <w14:schemeClr w14:val="tx1"/>
                  </w14:solidFill>
                </w14:textFill>
              </w:rPr>
              <w:t>固废暂存间</w:t>
            </w:r>
            <w:r>
              <w:rPr>
                <w:rFonts w:hint="eastAsia"/>
                <w:bCs/>
                <w:color w:val="000000" w:themeColor="text1"/>
                <w:highlight w:val="none"/>
                <w:u w:val="single"/>
                <w:lang w:eastAsia="zh-CN" w:bidi="ar"/>
                <w14:textFill>
                  <w14:solidFill>
                    <w14:schemeClr w14:val="tx1"/>
                  </w14:solidFill>
                </w14:textFill>
              </w:rPr>
              <w:t>，</w:t>
            </w:r>
            <w:r>
              <w:rPr>
                <w:rFonts w:hint="eastAsia"/>
                <w:bCs/>
                <w:color w:val="000000" w:themeColor="text1"/>
                <w:highlight w:val="none"/>
                <w:u w:val="single"/>
                <w:lang w:val="en-US" w:eastAsia="zh-CN" w:bidi="ar"/>
                <w14:textFill>
                  <w14:solidFill>
                    <w14:schemeClr w14:val="tx1"/>
                  </w14:solidFill>
                </w14:textFill>
              </w:rPr>
              <w:t>废包装材料与</w:t>
            </w:r>
            <w:r>
              <w:rPr>
                <w:rFonts w:hint="eastAsia"/>
                <w:bCs/>
                <w:color w:val="000000" w:themeColor="text1"/>
                <w:highlight w:val="none"/>
                <w:u w:val="single"/>
                <w:lang w:bidi="ar"/>
                <w14:textFill>
                  <w14:solidFill>
                    <w14:schemeClr w14:val="tx1"/>
                  </w14:solidFill>
                </w14:textFill>
              </w:rPr>
              <w:t>生活垃圾</w:t>
            </w:r>
            <w:r>
              <w:rPr>
                <w:rFonts w:hint="eastAsia"/>
                <w:bCs/>
                <w:color w:val="000000" w:themeColor="text1"/>
                <w:highlight w:val="none"/>
                <w:u w:val="single"/>
                <w:lang w:val="en-US" w:eastAsia="zh-CN" w:bidi="ar"/>
                <w14:textFill>
                  <w14:solidFill>
                    <w14:schemeClr w14:val="tx1"/>
                  </w14:solidFill>
                </w14:textFill>
              </w:rPr>
              <w:t>一起</w:t>
            </w:r>
            <w:r>
              <w:rPr>
                <w:rFonts w:hint="eastAsia"/>
                <w:bCs/>
                <w:color w:val="000000" w:themeColor="text1"/>
                <w:highlight w:val="none"/>
                <w:u w:val="single"/>
                <w:lang w:bidi="ar"/>
                <w14:textFill>
                  <w14:solidFill>
                    <w14:schemeClr w14:val="tx1"/>
                  </w14:solidFill>
                </w14:textFill>
              </w:rPr>
              <w:t>委托环卫</w:t>
            </w:r>
            <w:r>
              <w:rPr>
                <w:rFonts w:hint="eastAsia"/>
                <w:bCs/>
                <w:color w:val="000000" w:themeColor="text1"/>
                <w:highlight w:val="none"/>
                <w:u w:val="single"/>
                <w14:textFill>
                  <w14:solidFill>
                    <w14:schemeClr w14:val="tx1"/>
                  </w14:solidFill>
                </w14:textFill>
              </w:rPr>
              <w:t>部门统一处理</w:t>
            </w:r>
            <w:r>
              <w:rPr>
                <w:rFonts w:hint="eastAsia"/>
                <w:bCs/>
                <w:color w:val="000000" w:themeColor="text1"/>
                <w:highlight w:val="none"/>
                <w:u w:val="single"/>
                <w:lang w:eastAsia="zh-CN"/>
                <w14:textFill>
                  <w14:solidFill>
                    <w14:schemeClr w14:val="tx1"/>
                  </w14:solidFill>
                </w14:textFill>
              </w:rPr>
              <w:t>，</w:t>
            </w:r>
            <w:r>
              <w:rPr>
                <w:rFonts w:hint="eastAsia"/>
                <w:bCs/>
                <w:color w:val="000000" w:themeColor="text1"/>
                <w:highlight w:val="none"/>
                <w:u w:val="single"/>
                <w:lang w:val="en-US" w:eastAsia="zh-CN"/>
                <w14:textFill>
                  <w14:solidFill>
                    <w14:schemeClr w14:val="tx1"/>
                  </w14:solidFill>
                </w14:textFill>
              </w:rPr>
              <w:t>污泥送与周边居民做菜地农肥</w:t>
            </w:r>
            <w:r>
              <w:rPr>
                <w:rFonts w:hint="eastAsia"/>
                <w:bCs/>
                <w:color w:val="000000" w:themeColor="text1"/>
                <w:highlight w:val="none"/>
                <w:u w:val="single"/>
                <w:lang w:eastAsia="zh-CN"/>
                <w14:textFill>
                  <w14:solidFill>
                    <w14:schemeClr w14:val="tx1"/>
                  </w14:solidFill>
                </w14:textFill>
              </w:rPr>
              <w:t>；</w:t>
            </w:r>
            <w:r>
              <w:rPr>
                <w:rFonts w:hint="eastAsia"/>
                <w:bCs/>
                <w:color w:val="000000" w:themeColor="text1"/>
                <w:highlight w:val="none"/>
                <w:u w:val="single"/>
                <w:lang w:val="en-US" w:eastAsia="zh-CN"/>
                <w14:textFill>
                  <w14:solidFill>
                    <w14:schemeClr w14:val="tx1"/>
                  </w14:solidFill>
                </w14:textFill>
              </w:rPr>
              <w:t>废机油、废机油桶分类收集暂存于危废暂存间内，定期交由有资质单位处置</w:t>
            </w:r>
            <w:r>
              <w:rPr>
                <w:rFonts w:hint="eastAsia"/>
                <w:bCs/>
                <w:color w:val="000000" w:themeColor="text1"/>
                <w:highlight w:val="none"/>
                <w:u w:val="singl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土壤及地下水污染防治措施</w:t>
            </w:r>
          </w:p>
        </w:tc>
        <w:tc>
          <w:tcPr>
            <w:tcW w:w="4334" w:type="pct"/>
            <w:gridSpan w:val="4"/>
          </w:tcPr>
          <w:p>
            <w:pPr>
              <w:spacing w:line="360" w:lineRule="auto"/>
              <w:jc w:val="both"/>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落实源头控制措施及分区管控要求：</w:t>
            </w:r>
            <w:r>
              <w:rPr>
                <w:rFonts w:hint="eastAsia"/>
                <w:color w:val="000000" w:themeColor="text1"/>
                <w:highlight w:val="none"/>
                <w:u w:val="single"/>
                <w:lang w:val="en-US" w:eastAsia="zh-CN"/>
                <w14:textFill>
                  <w14:solidFill>
                    <w14:schemeClr w14:val="tx1"/>
                  </w14:solidFill>
                </w14:textFill>
              </w:rPr>
              <w:t>药剂仓库、水处理间、发电机房以及危废暂存间等</w:t>
            </w:r>
            <w:r>
              <w:rPr>
                <w:rFonts w:hint="eastAsia"/>
                <w:color w:val="000000" w:themeColor="text1"/>
                <w:highlight w:val="none"/>
                <w:u w:val="single"/>
                <w14:textFill>
                  <w14:solidFill>
                    <w14:schemeClr w14:val="tx1"/>
                  </w14:solidFill>
                </w14:textFill>
              </w:rPr>
              <w:t>为重点防渗区，要求等效黏土防渗层Mb≥6.0m，渗透系数K≤1×10</w:t>
            </w:r>
            <w:r>
              <w:rPr>
                <w:color w:val="000000" w:themeColor="text1"/>
                <w:highlight w:val="none"/>
                <w:u w:val="single"/>
                <w:vertAlign w:val="superscript"/>
                <w14:textFill>
                  <w14:solidFill>
                    <w14:schemeClr w14:val="tx1"/>
                  </w14:solidFill>
                </w14:textFill>
              </w:rPr>
              <w:t>-10</w:t>
            </w:r>
            <w:r>
              <w:rPr>
                <w:color w:val="000000" w:themeColor="text1"/>
                <w:highlight w:val="none"/>
                <w:u w:val="single"/>
                <w14:textFill>
                  <w14:solidFill>
                    <w14:schemeClr w14:val="tx1"/>
                  </w14:solidFill>
                </w14:textFill>
              </w:rPr>
              <w:t>cm/s</w:t>
            </w:r>
            <w:r>
              <w:rPr>
                <w:rFonts w:hint="eastAsia"/>
                <w:color w:val="000000" w:themeColor="text1"/>
                <w:highlight w:val="none"/>
                <w:u w:val="single"/>
                <w14:textFill>
                  <w14:solidFill>
                    <w14:schemeClr w14:val="tx1"/>
                  </w14:solidFill>
                </w14:textFill>
              </w:rPr>
              <w:t>；</w:t>
            </w:r>
            <w:r>
              <w:rPr>
                <w:rFonts w:hint="eastAsia"/>
                <w:color w:val="000000" w:themeColor="text1"/>
                <w:highlight w:val="none"/>
                <w:u w:val="single"/>
                <w:lang w:val="en-US" w:eastAsia="zh-CN"/>
                <w14:textFill>
                  <w14:solidFill>
                    <w14:schemeClr w14:val="tx1"/>
                  </w14:solidFill>
                </w14:textFill>
              </w:rPr>
              <w:t>一般</w:t>
            </w:r>
            <w:r>
              <w:rPr>
                <w:rFonts w:hint="eastAsia"/>
                <w:color w:val="000000" w:themeColor="text1"/>
                <w:highlight w:val="none"/>
                <w:u w:val="single"/>
                <w14:textFill>
                  <w14:solidFill>
                    <w14:schemeClr w14:val="tx1"/>
                  </w14:solidFill>
                </w14:textFill>
              </w:rPr>
              <w:t>固废暂存间</w:t>
            </w:r>
            <w:r>
              <w:rPr>
                <w:rFonts w:hint="eastAsia"/>
                <w:color w:val="000000" w:themeColor="text1"/>
                <w:highlight w:val="none"/>
                <w:u w:val="single"/>
                <w14:textFill>
                  <w14:solidFill>
                    <w14:schemeClr w14:val="tx1"/>
                  </w14:solidFill>
                </w14:textFill>
              </w:rPr>
              <w:t>、</w:t>
            </w:r>
            <w:r>
              <w:rPr>
                <w:rFonts w:hint="eastAsia"/>
                <w:color w:val="000000" w:themeColor="text1"/>
                <w:highlight w:val="none"/>
                <w:u w:val="single"/>
                <w:lang w:val="en-US" w:eastAsia="zh-CN"/>
                <w14:textFill>
                  <w14:solidFill>
                    <w14:schemeClr w14:val="tx1"/>
                  </w14:solidFill>
                </w14:textFill>
              </w:rPr>
              <w:t>厂区地面</w:t>
            </w:r>
            <w:r>
              <w:rPr>
                <w:rFonts w:hint="eastAsia"/>
                <w:color w:val="000000" w:themeColor="text1"/>
                <w:highlight w:val="none"/>
                <w:u w:val="single"/>
                <w14:textFill>
                  <w14:solidFill>
                    <w14:schemeClr w14:val="tx1"/>
                  </w14:solidFill>
                </w14:textFill>
              </w:rPr>
              <w:t>为一般防渗区，要求等效黏土防渗层厚度≥1.5m，渗透系数≤10</w:t>
            </w:r>
            <w:r>
              <w:rPr>
                <w:color w:val="000000" w:themeColor="text1"/>
                <w:highlight w:val="none"/>
                <w:u w:val="single"/>
                <w:vertAlign w:val="superscript"/>
                <w14:textFill>
                  <w14:solidFill>
                    <w14:schemeClr w14:val="tx1"/>
                  </w14:solidFill>
                </w14:textFill>
              </w:rPr>
              <w:t>-7</w:t>
            </w:r>
            <w:r>
              <w:rPr>
                <w:color w:val="000000" w:themeColor="text1"/>
                <w:highlight w:val="none"/>
                <w:u w:val="single"/>
                <w14:textFill>
                  <w14:solidFill>
                    <w14:schemeClr w14:val="tx1"/>
                  </w14:solidFill>
                </w14:textFill>
              </w:rPr>
              <w:t>cm/s</w:t>
            </w:r>
            <w:r>
              <w:rPr>
                <w:rFonts w:hint="eastAsia"/>
                <w:color w:val="000000" w:themeColor="text1"/>
                <w:highlight w:val="none"/>
                <w:u w:val="single"/>
                <w14:textFill>
                  <w14:solidFill>
                    <w14:schemeClr w14:val="tx1"/>
                  </w14:solidFill>
                </w14:textFill>
              </w:rPr>
              <w:t>；办公室、食堂、宿舍及其他道路地面等其他区域进行一般地面硬化处理。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生态保护措施</w:t>
            </w:r>
          </w:p>
        </w:tc>
        <w:tc>
          <w:tcPr>
            <w:tcW w:w="4334" w:type="pct"/>
            <w:gridSpan w:val="4"/>
            <w:vAlign w:val="center"/>
          </w:tcPr>
          <w:p>
            <w:pPr>
              <w:spacing w:line="360" w:lineRule="auto"/>
              <w:jc w:val="left"/>
              <w:rPr>
                <w:rFonts w:hint="eastAsia"/>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木形水库</w:t>
            </w:r>
            <w:r>
              <w:rPr>
                <w:rFonts w:hint="eastAsia"/>
                <w:color w:val="000000" w:themeColor="text1"/>
                <w:highlight w:val="none"/>
                <w:u w:val="single"/>
                <w:lang w:val="en-US"/>
                <w14:textFill>
                  <w14:solidFill>
                    <w14:schemeClr w14:val="tx1"/>
                  </w14:solidFill>
                </w14:textFill>
              </w:rPr>
              <w:t>按饮用水水源保护区要求执行相关规定并采取相应保护措施：</w:t>
            </w:r>
          </w:p>
          <w:p>
            <w:pPr>
              <w:spacing w:line="360" w:lineRule="auto"/>
              <w:jc w:val="left"/>
              <w:rPr>
                <w:rFonts w:hint="eastAsia"/>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一、一级保护区内禁止新建、扩建与供水设施和保护水源无关的建设项目；禁止向水域排放污水，已设置的排污口必须拆除</w:t>
            </w:r>
            <w:r>
              <w:rPr>
                <w:rFonts w:hint="eastAsia"/>
                <w:color w:val="000000" w:themeColor="text1"/>
                <w:highlight w:val="none"/>
                <w:u w:val="single"/>
                <w:lang w:val="en-US" w:eastAsia="zh-CN"/>
                <w14:textFill>
                  <w14:solidFill>
                    <w14:schemeClr w14:val="tx1"/>
                  </w14:solidFill>
                </w14:textFill>
              </w:rPr>
              <w:t>（根据现场勘查，本项目及木形水库周边无排污口）</w:t>
            </w:r>
            <w:r>
              <w:rPr>
                <w:rFonts w:hint="eastAsia"/>
                <w:color w:val="000000" w:themeColor="text1"/>
                <w:highlight w:val="none"/>
                <w:u w:val="single"/>
                <w:lang w:val="en-US"/>
                <w14:textFill>
                  <w14:solidFill>
                    <w14:schemeClr w14:val="tx1"/>
                  </w14:solidFill>
                </w14:textFill>
              </w:rPr>
              <w:t>；不得设置与供水需要无关的码头，禁止停靠船舶；禁止堆置和存放工业废渣、城市垃圾、粪便和其他废弃物；禁止设置油库；禁止从事种植、放养禽畜，严格控制网箱养殖活动；禁止可能污染水源的旅游活动和其他活动。</w:t>
            </w:r>
          </w:p>
          <w:p>
            <w:pPr>
              <w:spacing w:line="360" w:lineRule="auto"/>
              <w:jc w:val="left"/>
              <w:rPr>
                <w:rFonts w:hint="eastAsia"/>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二、二级保护区内不准新建、扩建向水体排放污染物的建设项目。禁止设立装卸垃圾、粪便、油类和有毒物品的码头。</w:t>
            </w:r>
          </w:p>
          <w:p>
            <w:pPr>
              <w:spacing w:line="360" w:lineRule="auto"/>
              <w:jc w:val="left"/>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eastAsia="zh-CN"/>
                <w14:textFill>
                  <w14:solidFill>
                    <w14:schemeClr w14:val="tx1"/>
                  </w14:solidFill>
                </w14:textFill>
              </w:rPr>
              <w:t>三、</w:t>
            </w:r>
            <w:r>
              <w:rPr>
                <w:rFonts w:hint="eastAsia"/>
                <w:color w:val="000000" w:themeColor="text1"/>
                <w:highlight w:val="none"/>
                <w:u w:val="single"/>
                <w:lang w:val="en-US"/>
                <w14:textFill>
                  <w14:solidFill>
                    <w14:schemeClr w14:val="tx1"/>
                  </w14:solidFill>
                </w14:textFill>
              </w:rPr>
              <w:t>禁止一切破坏水环境生态平衡的活动以及破坏水源林、护岸林、与水源保护相关植被的活动；禁止向水域倾倒工业废渣、城市垃圾、粪便及其它废弃物；禁止使用剧毒和高残留农药，不得滥用化肥，不得使用炸药、毒品捕杀鱼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环境风险防范措施</w:t>
            </w:r>
          </w:p>
        </w:tc>
        <w:tc>
          <w:tcPr>
            <w:tcW w:w="4334" w:type="pct"/>
            <w:gridSpan w:val="4"/>
          </w:tcPr>
          <w:p>
            <w:pPr>
              <w:spacing w:line="360" w:lineRule="auto"/>
              <w:jc w:val="both"/>
              <w:rPr>
                <w:rFonts w:hint="eastAsia" w:cs="Times New Roman"/>
                <w:color w:val="000000" w:themeColor="text1"/>
                <w:highlight w:val="none"/>
                <w:u w:val="single"/>
                <w:lang w:val="en-US"/>
                <w14:textFill>
                  <w14:solidFill>
                    <w14:schemeClr w14:val="tx1"/>
                  </w14:solidFill>
                </w14:textFill>
              </w:rPr>
            </w:pPr>
            <w:r>
              <w:rPr>
                <w:rFonts w:hint="eastAsia" w:cs="Times New Roman"/>
                <w:color w:val="000000" w:themeColor="text1"/>
                <w:highlight w:val="none"/>
                <w:u w:val="single"/>
                <w:lang w:val="en-US"/>
                <w14:textFill>
                  <w14:solidFill>
                    <w14:schemeClr w14:val="tx1"/>
                  </w14:solidFill>
                </w14:textFill>
              </w:rPr>
              <w:t>①加药间设置严格的管理制度，配备消防、防盗、通风等防护设施，严禁烟火，地面做好基础的防渗、防潮、防漏处理。</w:t>
            </w:r>
          </w:p>
          <w:p>
            <w:pPr>
              <w:spacing w:line="360" w:lineRule="auto"/>
              <w:jc w:val="both"/>
              <w:rPr>
                <w:rFonts w:hint="eastAsia" w:cs="Times New Roman"/>
                <w:color w:val="000000" w:themeColor="text1"/>
                <w:highlight w:val="none"/>
                <w:u w:val="single"/>
                <w:lang w:val="en-US"/>
                <w14:textFill>
                  <w14:solidFill>
                    <w14:schemeClr w14:val="tx1"/>
                  </w14:solidFill>
                </w14:textFill>
              </w:rPr>
            </w:pPr>
            <w:r>
              <w:rPr>
                <w:rFonts w:hint="eastAsia" w:cs="Times New Roman"/>
                <w:color w:val="000000" w:themeColor="text1"/>
                <w:highlight w:val="none"/>
                <w:u w:val="single"/>
                <w:lang w:val="en-US"/>
                <w14:textFill>
                  <w14:solidFill>
                    <w14:schemeClr w14:val="tx1"/>
                  </w14:solidFill>
                </w14:textFill>
              </w:rPr>
              <w:t>②生产时应注意加药管道、接口等部位的密闭性，避免泄漏。</w:t>
            </w:r>
          </w:p>
          <w:p>
            <w:pPr>
              <w:spacing w:line="360" w:lineRule="auto"/>
              <w:jc w:val="both"/>
              <w:rPr>
                <w:rFonts w:hint="eastAsia" w:cs="Times New Roman"/>
                <w:color w:val="000000" w:themeColor="text1"/>
                <w:highlight w:val="none"/>
                <w:u w:val="single"/>
                <w:lang w:val="en-US"/>
                <w14:textFill>
                  <w14:solidFill>
                    <w14:schemeClr w14:val="tx1"/>
                  </w14:solidFill>
                </w14:textFill>
              </w:rPr>
            </w:pPr>
            <w:r>
              <w:rPr>
                <w:rFonts w:hint="eastAsia" w:cs="Times New Roman"/>
                <w:color w:val="000000" w:themeColor="text1"/>
                <w:highlight w:val="none"/>
                <w:u w:val="single"/>
                <w:lang w:val="en-US"/>
                <w14:textFill>
                  <w14:solidFill>
                    <w14:schemeClr w14:val="tx1"/>
                  </w14:solidFill>
                </w14:textFill>
              </w:rPr>
              <w:t>③加药间设置惰性吸附材料吸附剂，若发生泄漏，采用惰性吸附材料吸附剂吸附，并放入核实的封闭的容器中，作为危废处理。</w:t>
            </w:r>
          </w:p>
          <w:p>
            <w:pPr>
              <w:spacing w:line="360" w:lineRule="auto"/>
              <w:jc w:val="both"/>
              <w:rPr>
                <w:rFonts w:hint="eastAsia" w:cs="Times New Roman"/>
                <w:color w:val="000000" w:themeColor="text1"/>
                <w:highlight w:val="none"/>
                <w:u w:val="single"/>
                <w:lang w:val="en-US"/>
                <w14:textFill>
                  <w14:solidFill>
                    <w14:schemeClr w14:val="tx1"/>
                  </w14:solidFill>
                </w14:textFill>
              </w:rPr>
            </w:pPr>
            <w:r>
              <w:rPr>
                <w:rFonts w:hint="eastAsia" w:cs="Times New Roman"/>
                <w:color w:val="000000" w:themeColor="text1"/>
                <w:highlight w:val="none"/>
                <w:u w:val="single"/>
                <w:lang w:val="en-US"/>
                <w14:textFill>
                  <w14:solidFill>
                    <w14:schemeClr w14:val="tx1"/>
                  </w14:solidFill>
                </w14:textFill>
              </w:rPr>
              <w:t>④加强员工教育，指定安全操作规章流程，加强违章操作处罚力度，使员工严格按照规章制度安全操作。</w:t>
            </w:r>
          </w:p>
          <w:p>
            <w:pPr>
              <w:pStyle w:val="2"/>
              <w:jc w:val="both"/>
              <w:rPr>
                <w:rFonts w:hint="eastAsia"/>
                <w:sz w:val="24"/>
                <w:szCs w:val="24"/>
                <w:highlight w:val="none"/>
                <w:lang w:val="en-US"/>
              </w:rPr>
            </w:pPr>
            <w:r>
              <w:rPr>
                <w:rFonts w:hint="eastAsia" w:ascii="宋体" w:hAnsi="宋体" w:eastAsia="宋体" w:cs="宋体"/>
                <w:color w:val="000000" w:themeColor="text1"/>
                <w:sz w:val="24"/>
                <w:szCs w:val="24"/>
                <w:highlight w:val="none"/>
                <w:u w:val="single"/>
                <w:lang w:val="en-US"/>
                <w14:textFill>
                  <w14:solidFill>
                    <w14:schemeClr w14:val="tx1"/>
                  </w14:solidFill>
                </w14:textFill>
              </w:rPr>
              <w:t>⑤</w:t>
            </w:r>
            <w:r>
              <w:rPr>
                <w:rFonts w:hint="eastAsia" w:ascii="宋体" w:hAnsi="宋体" w:eastAsia="宋体" w:cs="宋体"/>
                <w:sz w:val="24"/>
                <w:szCs w:val="24"/>
                <w:highlight w:val="none"/>
                <w:lang w:val="en-US" w:eastAsia="zh-CN"/>
              </w:rPr>
              <w:t>危废间地面按要求做好防渗、防漏措施，地面建设导流沟或围堰；不定期对危废间进行巡视检查等。</w:t>
            </w:r>
          </w:p>
          <w:p>
            <w:pPr>
              <w:spacing w:line="360" w:lineRule="auto"/>
              <w:jc w:val="both"/>
              <w:rPr>
                <w:color w:val="000000" w:themeColor="text1"/>
                <w:sz w:val="24"/>
                <w:szCs w:val="24"/>
                <w:highlight w:val="none"/>
                <w:u w:val="single"/>
                <w14:textFill>
                  <w14:solidFill>
                    <w14:schemeClr w14:val="tx1"/>
                  </w14:solidFill>
                </w14:textFill>
              </w:rPr>
            </w:pPr>
            <w:r>
              <w:rPr>
                <w:rFonts w:hint="eastAsia" w:ascii="宋体" w:hAnsi="宋体" w:eastAsia="宋体" w:cs="宋体"/>
                <w:color w:val="000000" w:themeColor="text1"/>
                <w:highlight w:val="none"/>
                <w:u w:val="single"/>
                <w:lang w:val="en-US"/>
                <w14:textFill>
                  <w14:solidFill>
                    <w14:schemeClr w14:val="tx1"/>
                  </w14:solidFill>
                </w14:textFill>
              </w:rPr>
              <w:t>⑥设立饮用水源保护区</w:t>
            </w:r>
            <w:r>
              <w:rPr>
                <w:rFonts w:hint="eastAsia" w:ascii="宋体" w:hAnsi="宋体" w:cs="宋体"/>
                <w:color w:val="000000" w:themeColor="text1"/>
                <w:highlight w:val="none"/>
                <w:u w:val="single"/>
                <w:lang w:val="en-US" w:eastAsia="zh-CN"/>
                <w14:textFill>
                  <w14:solidFill>
                    <w14:schemeClr w14:val="tx1"/>
                  </w14:solidFill>
                </w14:textFill>
              </w:rPr>
              <w:t>，落实饮用水源保护区规范化建设与管理要求</w:t>
            </w:r>
            <w:r>
              <w:rPr>
                <w:rFonts w:hint="eastAsia" w:ascii="宋体" w:hAnsi="宋体" w:eastAsia="宋体" w:cs="宋体"/>
                <w:color w:val="000000" w:themeColor="text1"/>
                <w:highlight w:val="none"/>
                <w:u w:val="single"/>
                <w:lang w:val="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电磁辐射</w:t>
            </w:r>
          </w:p>
        </w:tc>
        <w:tc>
          <w:tcPr>
            <w:tcW w:w="4334" w:type="pct"/>
            <w:gridSpan w:val="4"/>
            <w:vAlign w:val="center"/>
          </w:tcPr>
          <w:p>
            <w:pPr>
              <w:pStyle w:val="38"/>
              <w:widowControl w:val="0"/>
              <w:spacing w:line="240" w:lineRule="auto"/>
              <w:jc w:val="center"/>
              <w:rPr>
                <w:color w:val="000000" w:themeColor="text1"/>
                <w:sz w:val="24"/>
                <w:szCs w:val="24"/>
                <w:highlight w:val="none"/>
                <w:u w:val="single"/>
                <w14:textFill>
                  <w14:solidFill>
                    <w14:schemeClr w14:val="tx1"/>
                  </w14:solidFill>
                </w14:textFill>
              </w:rPr>
            </w:pPr>
            <w:r>
              <w:rPr>
                <w:color w:val="000000" w:themeColor="text1"/>
                <w:sz w:val="24"/>
                <w:szCs w:val="24"/>
                <w:highlight w:val="none"/>
                <w:u w:val="singl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Align w:val="center"/>
          </w:tcPr>
          <w:p>
            <w:pPr>
              <w:spacing w:line="276" w:lineRule="auto"/>
              <w:jc w:val="center"/>
              <w:rPr>
                <w:color w:val="000000" w:themeColor="text1"/>
                <w:highlight w:val="none"/>
                <w:u w:val="single"/>
                <w:lang w:val="en-US"/>
                <w14:textFill>
                  <w14:solidFill>
                    <w14:schemeClr w14:val="tx1"/>
                  </w14:solidFill>
                </w14:textFill>
              </w:rPr>
            </w:pPr>
            <w:r>
              <w:rPr>
                <w:rFonts w:hint="eastAsia"/>
                <w:color w:val="000000" w:themeColor="text1"/>
                <w:highlight w:val="none"/>
                <w:u w:val="single"/>
                <w:lang w:val="en-US"/>
                <w14:textFill>
                  <w14:solidFill>
                    <w14:schemeClr w14:val="tx1"/>
                  </w14:solidFill>
                </w14:textFill>
              </w:rPr>
              <w:t>其他环境管理要求</w:t>
            </w:r>
          </w:p>
        </w:tc>
        <w:tc>
          <w:tcPr>
            <w:tcW w:w="4334" w:type="pct"/>
            <w:gridSpan w:val="4"/>
          </w:tcPr>
          <w:p>
            <w:pPr>
              <w:spacing w:line="360" w:lineRule="auto"/>
              <w:ind w:firstLine="480" w:firstLineChars="200"/>
              <w:jc w:val="both"/>
              <w:rPr>
                <w:rFonts w:cs="Times New Roman"/>
                <w:color w:val="000000" w:themeColor="text1"/>
                <w:highlight w:val="none"/>
                <w:u w:val="single"/>
                <w:lang w:val="en-US"/>
                <w14:textFill>
                  <w14:solidFill>
                    <w14:schemeClr w14:val="tx1"/>
                  </w14:solidFill>
                </w14:textFill>
              </w:rPr>
            </w:pPr>
            <w:r>
              <w:rPr>
                <w:rFonts w:hint="eastAsia" w:cs="Times New Roman"/>
                <w:color w:val="000000" w:themeColor="text1"/>
                <w:highlight w:val="none"/>
                <w:u w:val="single"/>
                <w:lang w:val="en-US"/>
                <w14:textFill>
                  <w14:solidFill>
                    <w14:schemeClr w14:val="tx1"/>
                  </w14:solidFill>
                </w14:textFill>
              </w:rPr>
              <w:t>参考《排污许可证申请与核发技术规范  总则》（HJ942-2018）</w:t>
            </w:r>
            <w:r>
              <w:rPr>
                <w:rFonts w:hint="eastAsia" w:cs="Times New Roman"/>
                <w:color w:val="000000" w:themeColor="text1"/>
                <w:highlight w:val="none"/>
                <w:u w:val="single"/>
                <w:lang w:val="en-US" w:eastAsia="zh-CN"/>
                <w14:textFill>
                  <w14:solidFill>
                    <w14:schemeClr w14:val="tx1"/>
                  </w14:solidFill>
                </w14:textFill>
              </w:rPr>
              <w:t>进行排污许可登记</w:t>
            </w:r>
            <w:r>
              <w:rPr>
                <w:rFonts w:hint="eastAsia" w:cs="Times New Roman"/>
                <w:color w:val="000000" w:themeColor="text1"/>
                <w:highlight w:val="none"/>
                <w:u w:val="single"/>
                <w:lang w:val="en-US"/>
                <w14:textFill>
                  <w14:solidFill>
                    <w14:schemeClr w14:val="tx1"/>
                  </w14:solidFill>
                </w14:textFill>
              </w:rPr>
              <w:t>。本项目建成后，排污须依照名录要求办理排污许可证，依证排污</w:t>
            </w:r>
            <w:r>
              <w:rPr>
                <w:rFonts w:hint="eastAsia" w:cs="Times New Roman"/>
                <w:color w:val="000000" w:themeColor="text1"/>
                <w:highlight w:val="none"/>
                <w:u w:val="single"/>
                <w:lang w:val="en-US" w:eastAsia="zh-CN"/>
                <w14:textFill>
                  <w14:solidFill>
                    <w14:schemeClr w14:val="tx1"/>
                  </w14:solidFill>
                </w14:textFill>
              </w:rPr>
              <w:t>，并按照国务院环境保护行政主管部门规定的标准和程序，对配套建设的环境保护设施进行验收，编制验收报告</w:t>
            </w:r>
            <w:r>
              <w:rPr>
                <w:rFonts w:hint="eastAsia" w:cs="Times New Roman"/>
                <w:color w:val="000000" w:themeColor="text1"/>
                <w:highlight w:val="none"/>
                <w:u w:val="single"/>
                <w:lang w:val="en-US"/>
                <w14:textFill>
                  <w14:solidFill>
                    <w14:schemeClr w14:val="tx1"/>
                  </w14:solidFill>
                </w14:textFill>
              </w:rPr>
              <w:t>。</w:t>
            </w:r>
          </w:p>
          <w:p>
            <w:pPr>
              <w:spacing w:line="360" w:lineRule="auto"/>
              <w:ind w:firstLine="480" w:firstLineChars="200"/>
              <w:jc w:val="both"/>
              <w:rPr>
                <w:rFonts w:cs="Times New Roman"/>
                <w:color w:val="000000" w:themeColor="text1"/>
                <w:highlight w:val="none"/>
                <w:u w:val="single"/>
                <w14:textFill>
                  <w14:solidFill>
                    <w14:schemeClr w14:val="tx1"/>
                  </w14:solidFill>
                </w14:textFill>
              </w:rPr>
            </w:pPr>
            <w:r>
              <w:rPr>
                <w:rFonts w:cs="Times New Roman"/>
                <w:color w:val="000000" w:themeColor="text1"/>
                <w:highlight w:val="none"/>
                <w:u w:val="single"/>
                <w14:textFill>
                  <w14:solidFill>
                    <w14:schemeClr w14:val="tx1"/>
                  </w14:solidFill>
                </w14:textFill>
              </w:rPr>
              <w:t>建设单位应加强项目的环境管理，按照本报告提出的污染防治措施和对策，制定出切实可行的环境污染防治办法和措施；加强与生态环境管理部门的沟通，主动接受环境保护主管部门的管理、指导和监督。</w:t>
            </w:r>
          </w:p>
          <w:p>
            <w:pPr>
              <w:spacing w:line="360" w:lineRule="auto"/>
              <w:ind w:firstLine="480" w:firstLineChars="200"/>
              <w:jc w:val="both"/>
              <w:rPr>
                <w:rFonts w:hint="eastAsia" w:eastAsia="宋体"/>
                <w:highlight w:val="none"/>
                <w:u w:val="single"/>
                <w:lang w:val="en-US" w:eastAsia="zh-CN"/>
              </w:rPr>
            </w:pPr>
            <w:r>
              <w:rPr>
                <w:rFonts w:hint="eastAsia" w:cs="Times New Roman"/>
                <w:color w:val="000000" w:themeColor="text1"/>
                <w:highlight w:val="none"/>
                <w:u w:val="single"/>
                <w14:textFill>
                  <w14:solidFill>
                    <w14:schemeClr w14:val="tx1"/>
                  </w14:solidFill>
                </w14:textFill>
              </w:rPr>
              <w:t>本项目竣工后，建设单位应当按照国务院环境保护行政主管部门规定的标准和程序，编制突发环境事件应急预案，并完成备案</w:t>
            </w:r>
            <w:r>
              <w:rPr>
                <w:rFonts w:hint="eastAsia" w:cs="Times New Roman"/>
                <w:color w:val="000000" w:themeColor="text1"/>
                <w:highlight w:val="none"/>
                <w:u w:val="single"/>
                <w:lang w:eastAsia="zh-CN"/>
                <w14:textFill>
                  <w14:solidFill>
                    <w14:schemeClr w14:val="tx1"/>
                  </w14:solidFill>
                </w14:textFill>
              </w:rPr>
              <w:t>。</w:t>
            </w:r>
          </w:p>
        </w:tc>
      </w:tr>
    </w:tbl>
    <w:p>
      <w:pPr>
        <w:outlineLvl w:val="9"/>
        <w:rPr>
          <w:color w:val="000000" w:themeColor="text1"/>
          <w:highlight w:val="none"/>
          <w:lang w:val="en-US"/>
          <w14:textFill>
            <w14:solidFill>
              <w14:schemeClr w14:val="tx1"/>
            </w14:solidFill>
          </w14:textFill>
        </w:rPr>
      </w:pPr>
      <w:r>
        <w:rPr>
          <w:color w:val="000000" w:themeColor="text1"/>
          <w:highlight w:val="none"/>
          <w:lang w:val="en-US"/>
          <w14:textFill>
            <w14:solidFill>
              <w14:schemeClr w14:val="tx1"/>
            </w14:solidFill>
          </w14:textFill>
        </w:rPr>
        <w:br w:type="page"/>
      </w:r>
    </w:p>
    <w:p>
      <w:pPr>
        <w:pStyle w:val="3"/>
        <w:rPr>
          <w:color w:val="000000" w:themeColor="text1"/>
          <w:highlight w:val="none"/>
          <w:lang w:val="en-US"/>
          <w14:textFill>
            <w14:solidFill>
              <w14:schemeClr w14:val="tx1"/>
            </w14:solidFill>
          </w14:textFill>
        </w:rPr>
      </w:pPr>
      <w:bookmarkStart w:id="15" w:name="_Toc136591188"/>
      <w:r>
        <w:rPr>
          <w:rFonts w:hint="eastAsia"/>
          <w:color w:val="000000" w:themeColor="text1"/>
          <w:highlight w:val="none"/>
          <w:lang w:val="en-US"/>
          <w14:textFill>
            <w14:solidFill>
              <w14:schemeClr w14:val="tx1"/>
            </w14:solidFill>
          </w14:textFill>
        </w:rPr>
        <w:t>六、结论</w:t>
      </w:r>
      <w:bookmarkEnd w:id="15"/>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84" w:hRule="atLeast"/>
        </w:trPr>
        <w:tc>
          <w:tcPr>
            <w:tcW w:w="5000" w:type="pct"/>
          </w:tcPr>
          <w:p>
            <w:pPr>
              <w:pStyle w:val="5"/>
              <w:widowControl w:val="0"/>
              <w:spacing w:line="360" w:lineRule="auto"/>
              <w:ind w:firstLine="480"/>
              <w:rPr>
                <w:color w:val="000000" w:themeColor="text1"/>
                <w:highlight w:val="none"/>
                <w14:textFill>
                  <w14:solidFill>
                    <w14:schemeClr w14:val="tx1"/>
                  </w14:solidFill>
                </w14:textFill>
              </w:rPr>
            </w:pPr>
            <w:r>
              <w:rPr>
                <w:rFonts w:hint="eastAsia"/>
                <w:color w:val="000000" w:themeColor="text1"/>
                <w:highlight w:val="none"/>
                <w:lang w:bidi="zh-CN"/>
                <w14:textFill>
                  <w14:solidFill>
                    <w14:schemeClr w14:val="tx1"/>
                  </w14:solidFill>
                </w14:textFill>
              </w:rPr>
              <w:t>临湘市忠防镇木形片区集中供水工程（一期）项目</w:t>
            </w:r>
            <w:r>
              <w:rPr>
                <w:rFonts w:hint="eastAsia"/>
                <w:color w:val="000000" w:themeColor="text1"/>
                <w:highlight w:val="none"/>
                <w14:textFill>
                  <w14:solidFill>
                    <w14:schemeClr w14:val="tx1"/>
                  </w14:solidFill>
                </w14:textFill>
              </w:rPr>
              <w:t>符合国家产业政策，选址合理，符合地方总体规划要求。该项目建成后在严格执行各项环境保护措施的前提下，确保各污染物稳定达标排放，对周边环境影响小，且不会降低评价区域原有环境质量功能级别。同时，项目满足“三线一单”相关规定，不存在明显的环境问题及制约因素。</w:t>
            </w:r>
          </w:p>
          <w:p>
            <w:pPr>
              <w:pStyle w:val="5"/>
              <w:widowControl w:val="0"/>
              <w:spacing w:line="360"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因此从环境影响的角度分析，本项目的选址建设可行。</w:t>
            </w:r>
          </w:p>
          <w:p>
            <w:pPr>
              <w:jc w:val="both"/>
              <w:rPr>
                <w:color w:val="000000" w:themeColor="text1"/>
                <w:highlight w:val="none"/>
                <w:lang w:val="en-US"/>
                <w14:textFill>
                  <w14:solidFill>
                    <w14:schemeClr w14:val="tx1"/>
                  </w14:solidFill>
                </w14:textFill>
              </w:rPr>
            </w:pPr>
          </w:p>
        </w:tc>
      </w:tr>
    </w:tbl>
    <w:p>
      <w:pPr>
        <w:rPr>
          <w:color w:val="000000" w:themeColor="text1"/>
          <w:highlight w:val="none"/>
          <w:lang w:val="en-US"/>
          <w14:textFill>
            <w14:solidFill>
              <w14:schemeClr w14:val="tx1"/>
            </w14:solidFill>
          </w14:textFill>
        </w:rPr>
        <w:sectPr>
          <w:pgSz w:w="11906" w:h="16838"/>
          <w:pgMar w:top="1440" w:right="1080" w:bottom="1440" w:left="1080" w:header="850" w:footer="992" w:gutter="0"/>
          <w:pgNumType w:start="1"/>
          <w:cols w:space="425" w:num="1"/>
          <w:docGrid w:type="lines" w:linePitch="312" w:charSpace="0"/>
        </w:sectPr>
      </w:pPr>
    </w:p>
    <w:p>
      <w:pPr>
        <w:rPr>
          <w:b/>
          <w:bCs/>
          <w:color w:val="000000" w:themeColor="text1"/>
          <w:highlight w:val="none"/>
          <w:lang w:val="en-US"/>
          <w14:textFill>
            <w14:solidFill>
              <w14:schemeClr w14:val="tx1"/>
            </w14:solidFill>
          </w14:textFill>
        </w:rPr>
      </w:pPr>
      <w:r>
        <w:rPr>
          <w:rFonts w:hint="eastAsia"/>
          <w:b/>
          <w:bCs/>
          <w:color w:val="000000" w:themeColor="text1"/>
          <w:highlight w:val="none"/>
          <w:lang w:val="en-US"/>
          <w14:textFill>
            <w14:solidFill>
              <w14:schemeClr w14:val="tx1"/>
            </w14:solidFill>
          </w14:textFill>
        </w:rPr>
        <w:t>附表</w:t>
      </w:r>
    </w:p>
    <w:p>
      <w:pPr>
        <w:spacing w:line="276" w:lineRule="auto"/>
        <w:jc w:val="center"/>
        <w:rPr>
          <w:rFonts w:cs="Times New Roman"/>
          <w:b/>
          <w:bCs/>
          <w:color w:val="000000" w:themeColor="text1"/>
          <w:sz w:val="32"/>
          <w:szCs w:val="32"/>
          <w:highlight w:val="none"/>
          <w14:textFill>
            <w14:solidFill>
              <w14:schemeClr w14:val="tx1"/>
            </w14:solidFill>
          </w14:textFill>
        </w:rPr>
      </w:pPr>
      <w:r>
        <w:rPr>
          <w:rFonts w:hint="eastAsia" w:cs="Times New Roman"/>
          <w:b/>
          <w:bCs/>
          <w:color w:val="000000" w:themeColor="text1"/>
          <w:sz w:val="30"/>
          <w:szCs w:val="30"/>
          <w:highlight w:val="none"/>
          <w14:textFill>
            <w14:solidFill>
              <w14:schemeClr w14:val="tx1"/>
            </w14:solidFill>
          </w14:textFill>
        </w:rPr>
        <w:t>建设项目污染物排放量汇总表（单位：t/a）</w:t>
      </w:r>
    </w:p>
    <w:tbl>
      <w:tblPr>
        <w:tblStyle w:val="27"/>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09"/>
        <w:gridCol w:w="1545"/>
        <w:gridCol w:w="1725"/>
        <w:gridCol w:w="1725"/>
        <w:gridCol w:w="1725"/>
        <w:gridCol w:w="1725"/>
        <w:gridCol w:w="1725"/>
        <w:gridCol w:w="1726"/>
        <w:gridCol w:w="172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376" w:type="pct"/>
            <w:tcBorders>
              <w:tl2br w:val="single" w:color="auto" w:sz="4" w:space="0"/>
            </w:tcBorders>
            <w:tcMar>
              <w:left w:w="28" w:type="dxa"/>
              <w:right w:w="28" w:type="dxa"/>
            </w:tcMar>
            <w:vAlign w:val="center"/>
          </w:tcPr>
          <w:p>
            <w:pPr>
              <w:pStyle w:val="38"/>
              <w:spacing w:line="240" w:lineRule="auto"/>
              <w:jc w:val="right"/>
              <w:rPr>
                <w:snapToGrid w:val="0"/>
                <w:color w:val="000000" w:themeColor="text1"/>
                <w:highlight w:val="none"/>
                <w:u w:val="none"/>
                <w14:textFill>
                  <w14:solidFill>
                    <w14:schemeClr w14:val="tx1"/>
                  </w14:solidFill>
                </w14:textFill>
              </w:rPr>
            </w:pPr>
            <w:r>
              <w:rPr>
                <w:rFonts w:hint="eastAsia"/>
                <w:snapToGrid w:val="0"/>
                <w:color w:val="000000" w:themeColor="text1"/>
                <w:highlight w:val="none"/>
                <w:u w:val="none"/>
                <w14:textFill>
                  <w14:solidFill>
                    <w14:schemeClr w14:val="tx1"/>
                  </w14:solidFill>
                </w14:textFill>
              </w:rPr>
              <w:t>项目</w:t>
            </w:r>
          </w:p>
          <w:p>
            <w:pPr>
              <w:pStyle w:val="38"/>
              <w:spacing w:line="240" w:lineRule="auto"/>
              <w:jc w:val="left"/>
              <w:rPr>
                <w:snapToGrid w:val="0"/>
                <w:color w:val="000000" w:themeColor="text1"/>
                <w:highlight w:val="none"/>
                <w:u w:val="none"/>
                <w14:textFill>
                  <w14:solidFill>
                    <w14:schemeClr w14:val="tx1"/>
                  </w14:solidFill>
                </w14:textFill>
              </w:rPr>
            </w:pPr>
            <w:r>
              <w:rPr>
                <w:rFonts w:hint="eastAsia"/>
                <w:snapToGrid w:val="0"/>
                <w:color w:val="000000" w:themeColor="text1"/>
                <w:highlight w:val="none"/>
                <w:u w:val="none"/>
                <w14:textFill>
                  <w14:solidFill>
                    <w14:schemeClr w14:val="tx1"/>
                  </w14:solidFill>
                </w14:textFill>
              </w:rPr>
              <w:t>分类</w:t>
            </w:r>
          </w:p>
        </w:tc>
        <w:tc>
          <w:tcPr>
            <w:tcW w:w="524" w:type="pct"/>
            <w:tcMar>
              <w:left w:w="28" w:type="dxa"/>
              <w:right w:w="28" w:type="dxa"/>
            </w:tcMar>
            <w:vAlign w:val="center"/>
          </w:tcPr>
          <w:p>
            <w:pPr>
              <w:pStyle w:val="38"/>
              <w:spacing w:line="240" w:lineRule="auto"/>
              <w:rPr>
                <w:snapToGrid w:val="0"/>
                <w:color w:val="000000" w:themeColor="text1"/>
                <w:highlight w:val="none"/>
                <w:u w:val="none"/>
                <w14:textFill>
                  <w14:solidFill>
                    <w14:schemeClr w14:val="tx1"/>
                  </w14:solidFill>
                </w14:textFill>
              </w:rPr>
            </w:pPr>
            <w:r>
              <w:rPr>
                <w:rFonts w:hint="eastAsia"/>
                <w:snapToGrid w:val="0"/>
                <w:color w:val="000000" w:themeColor="text1"/>
                <w:highlight w:val="none"/>
                <w:u w:val="none"/>
                <w14:textFill>
                  <w14:solidFill>
                    <w14:schemeClr w14:val="tx1"/>
                  </w14:solidFill>
                </w14:textFill>
              </w:rPr>
              <w:t>污染物名称</w:t>
            </w:r>
          </w:p>
        </w:tc>
        <w:tc>
          <w:tcPr>
            <w:tcW w:w="585" w:type="pct"/>
            <w:tcMar>
              <w:left w:w="28" w:type="dxa"/>
              <w:right w:w="28" w:type="dxa"/>
            </w:tcMar>
            <w:vAlign w:val="center"/>
          </w:tcPr>
          <w:p>
            <w:pPr>
              <w:pStyle w:val="38"/>
              <w:spacing w:line="240" w:lineRule="auto"/>
              <w:rPr>
                <w:snapToGrid w:val="0"/>
                <w:color w:val="000000" w:themeColor="text1"/>
                <w:highlight w:val="none"/>
                <w:u w:val="none"/>
                <w14:textFill>
                  <w14:solidFill>
                    <w14:schemeClr w14:val="tx1"/>
                  </w14:solidFill>
                </w14:textFill>
              </w:rPr>
            </w:pPr>
            <w:r>
              <w:rPr>
                <w:rFonts w:hint="eastAsia"/>
                <w:snapToGrid w:val="0"/>
                <w:color w:val="000000" w:themeColor="text1"/>
                <w:highlight w:val="none"/>
                <w:u w:val="none"/>
                <w14:textFill>
                  <w14:solidFill>
                    <w14:schemeClr w14:val="tx1"/>
                  </w14:solidFill>
                </w14:textFill>
              </w:rPr>
              <w:t>现有工程排放量（固体废物产生量）</w:t>
            </w:r>
            <w:r>
              <w:rPr>
                <w:snapToGrid w:val="0"/>
                <w:color w:val="000000" w:themeColor="text1"/>
                <w:highlight w:val="none"/>
                <w:u w:val="none"/>
                <w14:textFill>
                  <w14:solidFill>
                    <w14:schemeClr w14:val="tx1"/>
                  </w14:solidFill>
                </w14:textFill>
              </w:rPr>
              <w:fldChar w:fldCharType="begin"/>
            </w:r>
            <w:r>
              <w:rPr>
                <w:snapToGrid w:val="0"/>
                <w:color w:val="000000" w:themeColor="text1"/>
                <w:highlight w:val="none"/>
                <w:u w:val="none"/>
                <w14:textFill>
                  <w14:solidFill>
                    <w14:schemeClr w14:val="tx1"/>
                  </w14:solidFill>
                </w14:textFill>
              </w:rPr>
              <w:instrText xml:space="preserve"> = 1 \* GB3 \* MERGEFORMAT </w:instrText>
            </w:r>
            <w:r>
              <w:rPr>
                <w:snapToGrid w:val="0"/>
                <w:color w:val="000000" w:themeColor="text1"/>
                <w:highlight w:val="none"/>
                <w:u w:val="none"/>
                <w14:textFill>
                  <w14:solidFill>
                    <w14:schemeClr w14:val="tx1"/>
                  </w14:solidFill>
                </w14:textFill>
              </w:rPr>
              <w:fldChar w:fldCharType="separate"/>
            </w:r>
            <w:r>
              <w:rPr>
                <w:rFonts w:hint="eastAsia" w:ascii="宋体" w:cs="宋体"/>
                <w:color w:val="000000" w:themeColor="text1"/>
                <w:kern w:val="2"/>
                <w:highlight w:val="none"/>
                <w:u w:val="none"/>
                <w14:textFill>
                  <w14:solidFill>
                    <w14:schemeClr w14:val="tx1"/>
                  </w14:solidFill>
                </w14:textFill>
              </w:rPr>
              <w:t>①</w:t>
            </w:r>
            <w:r>
              <w:rPr>
                <w:snapToGrid w:val="0"/>
                <w:color w:val="000000" w:themeColor="text1"/>
                <w:highlight w:val="none"/>
                <w:u w:val="none"/>
                <w14:textFill>
                  <w14:solidFill>
                    <w14:schemeClr w14:val="tx1"/>
                  </w14:solidFill>
                </w14:textFill>
              </w:rPr>
              <w:fldChar w:fldCharType="end"/>
            </w:r>
          </w:p>
        </w:tc>
        <w:tc>
          <w:tcPr>
            <w:tcW w:w="585" w:type="pct"/>
            <w:tcMar>
              <w:left w:w="28" w:type="dxa"/>
              <w:right w:w="28" w:type="dxa"/>
            </w:tcMar>
            <w:vAlign w:val="center"/>
          </w:tcPr>
          <w:p>
            <w:pPr>
              <w:pStyle w:val="38"/>
              <w:spacing w:line="240" w:lineRule="auto"/>
              <w:rPr>
                <w:snapToGrid w:val="0"/>
                <w:color w:val="000000" w:themeColor="text1"/>
                <w:highlight w:val="none"/>
                <w:u w:val="none"/>
                <w14:textFill>
                  <w14:solidFill>
                    <w14:schemeClr w14:val="tx1"/>
                  </w14:solidFill>
                </w14:textFill>
              </w:rPr>
            </w:pPr>
            <w:r>
              <w:rPr>
                <w:rFonts w:hint="eastAsia"/>
                <w:snapToGrid w:val="0"/>
                <w:color w:val="000000" w:themeColor="text1"/>
                <w:highlight w:val="none"/>
                <w:u w:val="none"/>
                <w14:textFill>
                  <w14:solidFill>
                    <w14:schemeClr w14:val="tx1"/>
                  </w14:solidFill>
                </w14:textFill>
              </w:rPr>
              <w:t>现有工程许可排放量</w:t>
            </w:r>
            <w:r>
              <w:rPr>
                <w:snapToGrid w:val="0"/>
                <w:color w:val="000000" w:themeColor="text1"/>
                <w:highlight w:val="none"/>
                <w:u w:val="none"/>
                <w14:textFill>
                  <w14:solidFill>
                    <w14:schemeClr w14:val="tx1"/>
                  </w14:solidFill>
                </w14:textFill>
              </w:rPr>
              <w:fldChar w:fldCharType="begin"/>
            </w:r>
            <w:r>
              <w:rPr>
                <w:snapToGrid w:val="0"/>
                <w:color w:val="000000" w:themeColor="text1"/>
                <w:highlight w:val="none"/>
                <w:u w:val="none"/>
                <w14:textFill>
                  <w14:solidFill>
                    <w14:schemeClr w14:val="tx1"/>
                  </w14:solidFill>
                </w14:textFill>
              </w:rPr>
              <w:instrText xml:space="preserve"> = 2 \* GB3 \* MERGEFORMAT </w:instrText>
            </w:r>
            <w:r>
              <w:rPr>
                <w:snapToGrid w:val="0"/>
                <w:color w:val="000000" w:themeColor="text1"/>
                <w:highlight w:val="none"/>
                <w:u w:val="none"/>
                <w14:textFill>
                  <w14:solidFill>
                    <w14:schemeClr w14:val="tx1"/>
                  </w14:solidFill>
                </w14:textFill>
              </w:rPr>
              <w:fldChar w:fldCharType="separate"/>
            </w:r>
            <w:r>
              <w:rPr>
                <w:rFonts w:hint="eastAsia" w:ascii="宋体" w:cs="宋体"/>
                <w:snapToGrid w:val="0"/>
                <w:color w:val="000000" w:themeColor="text1"/>
                <w:highlight w:val="none"/>
                <w:u w:val="none"/>
                <w14:textFill>
                  <w14:solidFill>
                    <w14:schemeClr w14:val="tx1"/>
                  </w14:solidFill>
                </w14:textFill>
              </w:rPr>
              <w:t>②</w:t>
            </w:r>
            <w:r>
              <w:rPr>
                <w:snapToGrid w:val="0"/>
                <w:color w:val="000000" w:themeColor="text1"/>
                <w:highlight w:val="none"/>
                <w:u w:val="none"/>
                <w14:textFill>
                  <w14:solidFill>
                    <w14:schemeClr w14:val="tx1"/>
                  </w14:solidFill>
                </w14:textFill>
              </w:rPr>
              <w:fldChar w:fldCharType="end"/>
            </w:r>
          </w:p>
        </w:tc>
        <w:tc>
          <w:tcPr>
            <w:tcW w:w="585" w:type="pct"/>
            <w:tcMar>
              <w:left w:w="28" w:type="dxa"/>
              <w:right w:w="28" w:type="dxa"/>
            </w:tcMar>
            <w:vAlign w:val="center"/>
          </w:tcPr>
          <w:p>
            <w:pPr>
              <w:pStyle w:val="38"/>
              <w:spacing w:line="240" w:lineRule="auto"/>
              <w:rPr>
                <w:snapToGrid w:val="0"/>
                <w:color w:val="000000" w:themeColor="text1"/>
                <w:highlight w:val="none"/>
                <w:u w:val="none"/>
                <w14:textFill>
                  <w14:solidFill>
                    <w14:schemeClr w14:val="tx1"/>
                  </w14:solidFill>
                </w14:textFill>
              </w:rPr>
            </w:pPr>
            <w:r>
              <w:rPr>
                <w:rFonts w:hint="eastAsia"/>
                <w:snapToGrid w:val="0"/>
                <w:color w:val="000000" w:themeColor="text1"/>
                <w:highlight w:val="none"/>
                <w:u w:val="none"/>
                <w14:textFill>
                  <w14:solidFill>
                    <w14:schemeClr w14:val="tx1"/>
                  </w14:solidFill>
                </w14:textFill>
              </w:rPr>
              <w:t>在建工程排放量（固体废物产生量）</w:t>
            </w:r>
            <w:r>
              <w:rPr>
                <w:snapToGrid w:val="0"/>
                <w:color w:val="000000" w:themeColor="text1"/>
                <w:highlight w:val="none"/>
                <w:u w:val="none"/>
                <w14:textFill>
                  <w14:solidFill>
                    <w14:schemeClr w14:val="tx1"/>
                  </w14:solidFill>
                </w14:textFill>
              </w:rPr>
              <w:fldChar w:fldCharType="begin"/>
            </w:r>
            <w:r>
              <w:rPr>
                <w:snapToGrid w:val="0"/>
                <w:color w:val="000000" w:themeColor="text1"/>
                <w:highlight w:val="none"/>
                <w:u w:val="none"/>
                <w14:textFill>
                  <w14:solidFill>
                    <w14:schemeClr w14:val="tx1"/>
                  </w14:solidFill>
                </w14:textFill>
              </w:rPr>
              <w:instrText xml:space="preserve"> = 3 \* GB3 \* MERGEFORMAT </w:instrText>
            </w:r>
            <w:r>
              <w:rPr>
                <w:snapToGrid w:val="0"/>
                <w:color w:val="000000" w:themeColor="text1"/>
                <w:highlight w:val="none"/>
                <w:u w:val="none"/>
                <w14:textFill>
                  <w14:solidFill>
                    <w14:schemeClr w14:val="tx1"/>
                  </w14:solidFill>
                </w14:textFill>
              </w:rPr>
              <w:fldChar w:fldCharType="separate"/>
            </w:r>
            <w:r>
              <w:rPr>
                <w:rFonts w:hint="eastAsia" w:ascii="宋体" w:cs="宋体"/>
                <w:color w:val="000000" w:themeColor="text1"/>
                <w:kern w:val="2"/>
                <w:highlight w:val="none"/>
                <w:u w:val="none"/>
                <w14:textFill>
                  <w14:solidFill>
                    <w14:schemeClr w14:val="tx1"/>
                  </w14:solidFill>
                </w14:textFill>
              </w:rPr>
              <w:t>③</w:t>
            </w:r>
            <w:r>
              <w:rPr>
                <w:snapToGrid w:val="0"/>
                <w:color w:val="000000" w:themeColor="text1"/>
                <w:highlight w:val="none"/>
                <w:u w:val="none"/>
                <w14:textFill>
                  <w14:solidFill>
                    <w14:schemeClr w14:val="tx1"/>
                  </w14:solidFill>
                </w14:textFill>
              </w:rPr>
              <w:fldChar w:fldCharType="end"/>
            </w:r>
          </w:p>
        </w:tc>
        <w:tc>
          <w:tcPr>
            <w:tcW w:w="585" w:type="pct"/>
            <w:tcMar>
              <w:left w:w="28" w:type="dxa"/>
              <w:right w:w="28" w:type="dxa"/>
            </w:tcMar>
            <w:vAlign w:val="center"/>
          </w:tcPr>
          <w:p>
            <w:pPr>
              <w:pStyle w:val="38"/>
              <w:spacing w:line="240" w:lineRule="auto"/>
              <w:rPr>
                <w:snapToGrid w:val="0"/>
                <w:color w:val="000000" w:themeColor="text1"/>
                <w:highlight w:val="none"/>
                <w:u w:val="none"/>
                <w14:textFill>
                  <w14:solidFill>
                    <w14:schemeClr w14:val="tx1"/>
                  </w14:solidFill>
                </w14:textFill>
              </w:rPr>
            </w:pPr>
            <w:r>
              <w:rPr>
                <w:rFonts w:hint="eastAsia"/>
                <w:snapToGrid w:val="0"/>
                <w:color w:val="000000" w:themeColor="text1"/>
                <w:highlight w:val="none"/>
                <w:u w:val="none"/>
                <w14:textFill>
                  <w14:solidFill>
                    <w14:schemeClr w14:val="tx1"/>
                  </w14:solidFill>
                </w14:textFill>
              </w:rPr>
              <w:t>本项目排放量（固体废物产生量）</w:t>
            </w:r>
            <w:r>
              <w:rPr>
                <w:snapToGrid w:val="0"/>
                <w:color w:val="000000" w:themeColor="text1"/>
                <w:highlight w:val="none"/>
                <w:u w:val="none"/>
                <w14:textFill>
                  <w14:solidFill>
                    <w14:schemeClr w14:val="tx1"/>
                  </w14:solidFill>
                </w14:textFill>
              </w:rPr>
              <w:fldChar w:fldCharType="begin"/>
            </w:r>
            <w:r>
              <w:rPr>
                <w:snapToGrid w:val="0"/>
                <w:color w:val="000000" w:themeColor="text1"/>
                <w:highlight w:val="none"/>
                <w:u w:val="none"/>
                <w14:textFill>
                  <w14:solidFill>
                    <w14:schemeClr w14:val="tx1"/>
                  </w14:solidFill>
                </w14:textFill>
              </w:rPr>
              <w:instrText xml:space="preserve"> = 4 \* GB3 \* MERGEFORMAT </w:instrText>
            </w:r>
            <w:r>
              <w:rPr>
                <w:snapToGrid w:val="0"/>
                <w:color w:val="000000" w:themeColor="text1"/>
                <w:highlight w:val="none"/>
                <w:u w:val="none"/>
                <w14:textFill>
                  <w14:solidFill>
                    <w14:schemeClr w14:val="tx1"/>
                  </w14:solidFill>
                </w14:textFill>
              </w:rPr>
              <w:fldChar w:fldCharType="separate"/>
            </w:r>
            <w:r>
              <w:rPr>
                <w:rFonts w:hint="eastAsia" w:ascii="宋体" w:cs="宋体"/>
                <w:color w:val="000000" w:themeColor="text1"/>
                <w:kern w:val="2"/>
                <w:highlight w:val="none"/>
                <w:u w:val="none"/>
                <w14:textFill>
                  <w14:solidFill>
                    <w14:schemeClr w14:val="tx1"/>
                  </w14:solidFill>
                </w14:textFill>
              </w:rPr>
              <w:t>④</w:t>
            </w:r>
            <w:r>
              <w:rPr>
                <w:snapToGrid w:val="0"/>
                <w:color w:val="000000" w:themeColor="text1"/>
                <w:highlight w:val="none"/>
                <w:u w:val="none"/>
                <w14:textFill>
                  <w14:solidFill>
                    <w14:schemeClr w14:val="tx1"/>
                  </w14:solidFill>
                </w14:textFill>
              </w:rPr>
              <w:fldChar w:fldCharType="end"/>
            </w:r>
          </w:p>
        </w:tc>
        <w:tc>
          <w:tcPr>
            <w:tcW w:w="585" w:type="pct"/>
            <w:tcMar>
              <w:left w:w="28" w:type="dxa"/>
              <w:right w:w="28" w:type="dxa"/>
            </w:tcMar>
            <w:vAlign w:val="center"/>
          </w:tcPr>
          <w:p>
            <w:pPr>
              <w:pStyle w:val="38"/>
              <w:spacing w:line="240" w:lineRule="auto"/>
              <w:rPr>
                <w:snapToGrid w:val="0"/>
                <w:color w:val="000000" w:themeColor="text1"/>
                <w:highlight w:val="none"/>
                <w:u w:val="none"/>
                <w14:textFill>
                  <w14:solidFill>
                    <w14:schemeClr w14:val="tx1"/>
                  </w14:solidFill>
                </w14:textFill>
              </w:rPr>
            </w:pPr>
            <w:r>
              <w:rPr>
                <w:rFonts w:hint="eastAsia"/>
                <w:snapToGrid w:val="0"/>
                <w:color w:val="000000" w:themeColor="text1"/>
                <w:highlight w:val="none"/>
                <w:u w:val="none"/>
                <w14:textFill>
                  <w14:solidFill>
                    <w14:schemeClr w14:val="tx1"/>
                  </w14:solidFill>
                </w14:textFill>
              </w:rPr>
              <w:t>以新带老削减量（新建项目不填）</w:t>
            </w:r>
            <w:r>
              <w:rPr>
                <w:snapToGrid w:val="0"/>
                <w:color w:val="000000" w:themeColor="text1"/>
                <w:highlight w:val="none"/>
                <w:u w:val="none"/>
                <w14:textFill>
                  <w14:solidFill>
                    <w14:schemeClr w14:val="tx1"/>
                  </w14:solidFill>
                </w14:textFill>
              </w:rPr>
              <w:fldChar w:fldCharType="begin"/>
            </w:r>
            <w:r>
              <w:rPr>
                <w:snapToGrid w:val="0"/>
                <w:color w:val="000000" w:themeColor="text1"/>
                <w:highlight w:val="none"/>
                <w:u w:val="none"/>
                <w14:textFill>
                  <w14:solidFill>
                    <w14:schemeClr w14:val="tx1"/>
                  </w14:solidFill>
                </w14:textFill>
              </w:rPr>
              <w:instrText xml:space="preserve"> = 5 \* GB3 \* MERGEFORMAT </w:instrText>
            </w:r>
            <w:r>
              <w:rPr>
                <w:snapToGrid w:val="0"/>
                <w:color w:val="000000" w:themeColor="text1"/>
                <w:highlight w:val="none"/>
                <w:u w:val="none"/>
                <w14:textFill>
                  <w14:solidFill>
                    <w14:schemeClr w14:val="tx1"/>
                  </w14:solidFill>
                </w14:textFill>
              </w:rPr>
              <w:fldChar w:fldCharType="separate"/>
            </w:r>
            <w:r>
              <w:rPr>
                <w:rFonts w:hint="eastAsia" w:ascii="宋体" w:cs="宋体"/>
                <w:color w:val="000000" w:themeColor="text1"/>
                <w:kern w:val="2"/>
                <w:highlight w:val="none"/>
                <w:u w:val="none"/>
                <w14:textFill>
                  <w14:solidFill>
                    <w14:schemeClr w14:val="tx1"/>
                  </w14:solidFill>
                </w14:textFill>
              </w:rPr>
              <w:t>⑤</w:t>
            </w:r>
            <w:r>
              <w:rPr>
                <w:snapToGrid w:val="0"/>
                <w:color w:val="000000" w:themeColor="text1"/>
                <w:highlight w:val="none"/>
                <w:u w:val="none"/>
                <w14:textFill>
                  <w14:solidFill>
                    <w14:schemeClr w14:val="tx1"/>
                  </w14:solidFill>
                </w14:textFill>
              </w:rPr>
              <w:fldChar w:fldCharType="end"/>
            </w:r>
          </w:p>
        </w:tc>
        <w:tc>
          <w:tcPr>
            <w:tcW w:w="585" w:type="pct"/>
            <w:tcMar>
              <w:left w:w="28" w:type="dxa"/>
              <w:right w:w="28" w:type="dxa"/>
            </w:tcMar>
            <w:vAlign w:val="center"/>
          </w:tcPr>
          <w:p>
            <w:pPr>
              <w:pStyle w:val="38"/>
              <w:spacing w:line="240" w:lineRule="auto"/>
              <w:rPr>
                <w:snapToGrid w:val="0"/>
                <w:color w:val="000000" w:themeColor="text1"/>
                <w:highlight w:val="none"/>
                <w:u w:val="none"/>
                <w14:textFill>
                  <w14:solidFill>
                    <w14:schemeClr w14:val="tx1"/>
                  </w14:solidFill>
                </w14:textFill>
              </w:rPr>
            </w:pPr>
            <w:r>
              <w:rPr>
                <w:rFonts w:hint="eastAsia"/>
                <w:snapToGrid w:val="0"/>
                <w:color w:val="000000" w:themeColor="text1"/>
                <w:highlight w:val="none"/>
                <w:u w:val="none"/>
                <w14:textFill>
                  <w14:solidFill>
                    <w14:schemeClr w14:val="tx1"/>
                  </w14:solidFill>
                </w14:textFill>
              </w:rPr>
              <w:t>本项目建成后全厂排放量（固体废物产生量）</w:t>
            </w:r>
            <w:r>
              <w:rPr>
                <w:snapToGrid w:val="0"/>
                <w:color w:val="000000" w:themeColor="text1"/>
                <w:highlight w:val="none"/>
                <w:u w:val="none"/>
                <w14:textFill>
                  <w14:solidFill>
                    <w14:schemeClr w14:val="tx1"/>
                  </w14:solidFill>
                </w14:textFill>
              </w:rPr>
              <w:fldChar w:fldCharType="begin"/>
            </w:r>
            <w:r>
              <w:rPr>
                <w:snapToGrid w:val="0"/>
                <w:color w:val="000000" w:themeColor="text1"/>
                <w:highlight w:val="none"/>
                <w:u w:val="none"/>
                <w14:textFill>
                  <w14:solidFill>
                    <w14:schemeClr w14:val="tx1"/>
                  </w14:solidFill>
                </w14:textFill>
              </w:rPr>
              <w:instrText xml:space="preserve"> = 6 \* GB3 \* MERGEFORMAT </w:instrText>
            </w:r>
            <w:r>
              <w:rPr>
                <w:snapToGrid w:val="0"/>
                <w:color w:val="000000" w:themeColor="text1"/>
                <w:highlight w:val="none"/>
                <w:u w:val="none"/>
                <w14:textFill>
                  <w14:solidFill>
                    <w14:schemeClr w14:val="tx1"/>
                  </w14:solidFill>
                </w14:textFill>
              </w:rPr>
              <w:fldChar w:fldCharType="separate"/>
            </w:r>
            <w:r>
              <w:rPr>
                <w:rFonts w:hint="eastAsia" w:ascii="宋体" w:cs="宋体"/>
                <w:color w:val="000000" w:themeColor="text1"/>
                <w:kern w:val="2"/>
                <w:highlight w:val="none"/>
                <w:u w:val="none"/>
                <w14:textFill>
                  <w14:solidFill>
                    <w14:schemeClr w14:val="tx1"/>
                  </w14:solidFill>
                </w14:textFill>
              </w:rPr>
              <w:t>⑥</w:t>
            </w:r>
            <w:r>
              <w:rPr>
                <w:snapToGrid w:val="0"/>
                <w:color w:val="000000" w:themeColor="text1"/>
                <w:highlight w:val="none"/>
                <w:u w:val="none"/>
                <w14:textFill>
                  <w14:solidFill>
                    <w14:schemeClr w14:val="tx1"/>
                  </w14:solidFill>
                </w14:textFill>
              </w:rPr>
              <w:fldChar w:fldCharType="end"/>
            </w:r>
          </w:p>
        </w:tc>
        <w:tc>
          <w:tcPr>
            <w:tcW w:w="586" w:type="pct"/>
            <w:tcMar>
              <w:left w:w="28" w:type="dxa"/>
              <w:right w:w="28" w:type="dxa"/>
            </w:tcMar>
            <w:vAlign w:val="center"/>
          </w:tcPr>
          <w:p>
            <w:pPr>
              <w:pStyle w:val="38"/>
              <w:spacing w:line="240" w:lineRule="auto"/>
              <w:rPr>
                <w:snapToGrid w:val="0"/>
                <w:color w:val="000000" w:themeColor="text1"/>
                <w:highlight w:val="none"/>
                <w:u w:val="none"/>
                <w14:textFill>
                  <w14:solidFill>
                    <w14:schemeClr w14:val="tx1"/>
                  </w14:solidFill>
                </w14:textFill>
              </w:rPr>
            </w:pPr>
            <w:r>
              <w:rPr>
                <w:rFonts w:hint="eastAsia"/>
                <w:snapToGrid w:val="0"/>
                <w:color w:val="000000" w:themeColor="text1"/>
                <w:highlight w:val="none"/>
                <w:u w:val="none"/>
                <w14:textFill>
                  <w14:solidFill>
                    <w14:schemeClr w14:val="tx1"/>
                  </w14:solidFill>
                </w14:textFill>
              </w:rPr>
              <w:t>变化量</w:t>
            </w:r>
            <w:r>
              <w:rPr>
                <w:snapToGrid w:val="0"/>
                <w:color w:val="000000" w:themeColor="text1"/>
                <w:highlight w:val="none"/>
                <w:u w:val="none"/>
                <w14:textFill>
                  <w14:solidFill>
                    <w14:schemeClr w14:val="tx1"/>
                  </w14:solidFill>
                </w14:textFill>
              </w:rPr>
              <w:fldChar w:fldCharType="begin"/>
            </w:r>
            <w:r>
              <w:rPr>
                <w:snapToGrid w:val="0"/>
                <w:color w:val="000000" w:themeColor="text1"/>
                <w:highlight w:val="none"/>
                <w:u w:val="none"/>
                <w14:textFill>
                  <w14:solidFill>
                    <w14:schemeClr w14:val="tx1"/>
                  </w14:solidFill>
                </w14:textFill>
              </w:rPr>
              <w:instrText xml:space="preserve"> = 7 \* GB3 \* MERGEFORMAT </w:instrText>
            </w:r>
            <w:r>
              <w:rPr>
                <w:snapToGrid w:val="0"/>
                <w:color w:val="000000" w:themeColor="text1"/>
                <w:highlight w:val="none"/>
                <w:u w:val="none"/>
                <w14:textFill>
                  <w14:solidFill>
                    <w14:schemeClr w14:val="tx1"/>
                  </w14:solidFill>
                </w14:textFill>
              </w:rPr>
              <w:fldChar w:fldCharType="separate"/>
            </w:r>
            <w:r>
              <w:rPr>
                <w:rFonts w:hint="eastAsia" w:ascii="宋体" w:cs="宋体"/>
                <w:color w:val="000000" w:themeColor="text1"/>
                <w:kern w:val="2"/>
                <w:highlight w:val="none"/>
                <w:u w:val="none"/>
                <w14:textFill>
                  <w14:solidFill>
                    <w14:schemeClr w14:val="tx1"/>
                  </w14:solidFill>
                </w14:textFill>
              </w:rPr>
              <w:t>⑦</w:t>
            </w:r>
            <w:r>
              <w:rPr>
                <w:snapToGrid w:val="0"/>
                <w:color w:val="000000" w:themeColor="text1"/>
                <w:highlight w:val="none"/>
                <w:u w:val="none"/>
                <w14:textFill>
                  <w14:solidFill>
                    <w14:schemeClr w14:val="tx1"/>
                  </w14:solidFill>
                </w14:textFill>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376" w:type="pct"/>
            <w:vAlign w:val="center"/>
          </w:tcPr>
          <w:p>
            <w:pPr>
              <w:pStyle w:val="38"/>
              <w:spacing w:line="240" w:lineRule="auto"/>
              <w:rPr>
                <w:snapToGrid w:val="0"/>
                <w:color w:val="000000" w:themeColor="text1"/>
                <w:highlight w:val="none"/>
                <w:u w:val="none"/>
                <w14:textFill>
                  <w14:solidFill>
                    <w14:schemeClr w14:val="tx1"/>
                  </w14:solidFill>
                </w14:textFill>
              </w:rPr>
            </w:pPr>
            <w:r>
              <w:rPr>
                <w:rFonts w:hint="eastAsia"/>
                <w:snapToGrid w:val="0"/>
                <w:color w:val="000000" w:themeColor="text1"/>
                <w:highlight w:val="none"/>
                <w:u w:val="none"/>
                <w14:textFill>
                  <w14:solidFill>
                    <w14:schemeClr w14:val="tx1"/>
                  </w14:solidFill>
                </w14:textFill>
              </w:rPr>
              <w:t>废气</w:t>
            </w:r>
          </w:p>
        </w:tc>
        <w:tc>
          <w:tcPr>
            <w:tcW w:w="524"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eastAsia" w:cs="Times New Roman"/>
                <w:color w:val="000000" w:themeColor="text1"/>
                <w:highlight w:val="none"/>
                <w:u w:val="none"/>
                <w:lang w:val="en-US" w:bidi="zh-CN"/>
                <w14:textFill>
                  <w14:solidFill>
                    <w14:schemeClr w14:val="tx1"/>
                  </w14:solidFill>
                </w14:textFill>
              </w:rPr>
              <w:t>油烟</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eastAsia="宋体" w:cs="Times New Roman"/>
                <w:snapToGrid w:val="0"/>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0.0005</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eastAsia="宋体" w:cs="Times New Roman"/>
                <w:snapToGrid w:val="0"/>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0.0005</w:t>
            </w:r>
          </w:p>
        </w:tc>
        <w:tc>
          <w:tcPr>
            <w:tcW w:w="586" w:type="pct"/>
            <w:vAlign w:val="center"/>
          </w:tcPr>
          <w:p>
            <w:pPr>
              <w:pStyle w:val="38"/>
              <w:spacing w:line="240" w:lineRule="auto"/>
              <w:rPr>
                <w:rFonts w:hint="eastAsia" w:ascii="Times New Roman" w:hAnsi="Times New Roman" w:eastAsia="宋体" w:cs="Times New Roman"/>
                <w:snapToGrid w:val="0"/>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+0.0005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376" w:type="pct"/>
            <w:vMerge w:val="restart"/>
            <w:vAlign w:val="center"/>
          </w:tcPr>
          <w:p>
            <w:pPr>
              <w:pStyle w:val="38"/>
              <w:spacing w:line="240" w:lineRule="auto"/>
              <w:rPr>
                <w:snapToGrid w:val="0"/>
                <w:color w:val="000000" w:themeColor="text1"/>
                <w:highlight w:val="none"/>
                <w:u w:val="none"/>
                <w14:textFill>
                  <w14:solidFill>
                    <w14:schemeClr w14:val="tx1"/>
                  </w14:solidFill>
                </w14:textFill>
              </w:rPr>
            </w:pPr>
            <w:r>
              <w:rPr>
                <w:rFonts w:hint="eastAsia"/>
                <w:snapToGrid w:val="0"/>
                <w:color w:val="000000" w:themeColor="text1"/>
                <w:highlight w:val="none"/>
                <w:u w:val="none"/>
                <w14:textFill>
                  <w14:solidFill>
                    <w14:schemeClr w14:val="tx1"/>
                  </w14:solidFill>
                </w14:textFill>
              </w:rPr>
              <w:t>废水</w:t>
            </w:r>
          </w:p>
        </w:tc>
        <w:tc>
          <w:tcPr>
            <w:tcW w:w="524" w:type="pct"/>
            <w:vAlign w:val="center"/>
          </w:tcPr>
          <w:p>
            <w:pPr>
              <w:pStyle w:val="38"/>
              <w:spacing w:line="240" w:lineRule="auto"/>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水量</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lang w:val="en-US"/>
                <w14:textFill>
                  <w14:solidFill>
                    <w14:schemeClr w14:val="tx1"/>
                  </w14:solidFill>
                </w14:textFill>
              </w:rPr>
            </w:pPr>
            <w:r>
              <w:rPr>
                <w:rFonts w:hint="eastAsia" w:cs="Times New Roman"/>
                <w:color w:val="000000" w:themeColor="text1"/>
                <w:highlight w:val="none"/>
                <w:u w:val="none"/>
                <w:lang w:val="en-US" w:bidi="zh-CN"/>
                <w14:textFill>
                  <w14:solidFill>
                    <w14:schemeClr w14:val="tx1"/>
                  </w14:solidFill>
                </w14:textFill>
              </w:rPr>
              <w:t>0</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lang w:val="en-US"/>
                <w14:textFill>
                  <w14:solidFill>
                    <w14:schemeClr w14:val="tx1"/>
                  </w14:solidFill>
                </w14:textFill>
              </w:rPr>
            </w:pPr>
            <w:r>
              <w:rPr>
                <w:rFonts w:hint="eastAsia" w:cs="Times New Roman"/>
                <w:color w:val="000000" w:themeColor="text1"/>
                <w:highlight w:val="none"/>
                <w:u w:val="none"/>
                <w:lang w:val="en-US" w:bidi="zh-CN"/>
                <w14:textFill>
                  <w14:solidFill>
                    <w14:schemeClr w14:val="tx1"/>
                  </w14:solidFill>
                </w14:textFill>
              </w:rPr>
              <w:t>0</w:t>
            </w:r>
            <w:r>
              <w:rPr>
                <w:rFonts w:hint="eastAsia" w:cs="Times New Roman"/>
                <w:color w:val="000000" w:themeColor="text1"/>
                <w:highlight w:val="none"/>
                <w:u w:val="none"/>
                <w:lang w:val="en-US" w:eastAsia="zh-CN"/>
                <w14:textFill>
                  <w14:solidFill>
                    <w14:schemeClr w14:val="tx1"/>
                  </w14:solidFill>
                </w14:textFill>
              </w:rPr>
              <w:t xml:space="preserve"> </w:t>
            </w:r>
          </w:p>
        </w:tc>
        <w:tc>
          <w:tcPr>
            <w:tcW w:w="586" w:type="pct"/>
            <w:vAlign w:val="center"/>
          </w:tcPr>
          <w:p>
            <w:pPr>
              <w:pStyle w:val="38"/>
              <w:spacing w:line="240" w:lineRule="auto"/>
              <w:rPr>
                <w:rFonts w:hint="default" w:ascii="Times New Roman" w:hAnsi="Times New Roman" w:cs="Times New Roman"/>
                <w:color w:val="000000" w:themeColor="text1"/>
                <w:highlight w:val="none"/>
                <w:u w:val="none"/>
                <w:lang w:val="en-US"/>
                <w14:textFill>
                  <w14:solidFill>
                    <w14:schemeClr w14:val="tx1"/>
                  </w14:solidFill>
                </w14:textFill>
              </w:rPr>
            </w:pPr>
            <w:r>
              <w:rPr>
                <w:rFonts w:hint="eastAsia" w:cs="Times New Roman"/>
                <w:color w:val="000000" w:themeColor="text1"/>
                <w:highlight w:val="none"/>
                <w:u w:val="none"/>
                <w:lang w:val="en-US" w:bidi="zh-CN"/>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376" w:type="pct"/>
            <w:vMerge w:val="continue"/>
            <w:vAlign w:val="center"/>
          </w:tcPr>
          <w:p>
            <w:pPr>
              <w:pStyle w:val="38"/>
              <w:spacing w:line="240" w:lineRule="auto"/>
              <w:rPr>
                <w:snapToGrid w:val="0"/>
                <w:color w:val="000000" w:themeColor="text1"/>
                <w:highlight w:val="none"/>
                <w:u w:val="none"/>
                <w14:textFill>
                  <w14:solidFill>
                    <w14:schemeClr w14:val="tx1"/>
                  </w14:solidFill>
                </w14:textFill>
              </w:rPr>
            </w:pPr>
          </w:p>
        </w:tc>
        <w:tc>
          <w:tcPr>
            <w:tcW w:w="524"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COD</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lang w:val="en-US"/>
                <w14:textFill>
                  <w14:solidFill>
                    <w14:schemeClr w14:val="tx1"/>
                  </w14:solidFill>
                </w14:textFill>
              </w:rPr>
            </w:pPr>
            <w:r>
              <w:rPr>
                <w:rFonts w:hint="eastAsia" w:cs="Times New Roman"/>
                <w:color w:val="000000" w:themeColor="text1"/>
                <w:highlight w:val="none"/>
                <w:u w:val="none"/>
                <w:lang w:val="en-US" w:bidi="zh-CN"/>
                <w14:textFill>
                  <w14:solidFill>
                    <w14:schemeClr w14:val="tx1"/>
                  </w14:solidFill>
                </w14:textFill>
              </w:rPr>
              <w:t>0</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lang w:val="en-US"/>
                <w14:textFill>
                  <w14:solidFill>
                    <w14:schemeClr w14:val="tx1"/>
                  </w14:solidFill>
                </w14:textFill>
              </w:rPr>
            </w:pPr>
            <w:r>
              <w:rPr>
                <w:rFonts w:hint="eastAsia" w:cs="Times New Roman"/>
                <w:color w:val="000000" w:themeColor="text1"/>
                <w:highlight w:val="none"/>
                <w:u w:val="none"/>
                <w:lang w:val="en-US" w:bidi="zh-CN"/>
                <w14:textFill>
                  <w14:solidFill>
                    <w14:schemeClr w14:val="tx1"/>
                  </w14:solidFill>
                </w14:textFill>
              </w:rPr>
              <w:t>0</w:t>
            </w:r>
          </w:p>
        </w:tc>
        <w:tc>
          <w:tcPr>
            <w:tcW w:w="586" w:type="pct"/>
            <w:vAlign w:val="center"/>
          </w:tcPr>
          <w:p>
            <w:pPr>
              <w:pStyle w:val="38"/>
              <w:spacing w:line="240" w:lineRule="auto"/>
              <w:rPr>
                <w:rFonts w:hint="default" w:ascii="Times New Roman" w:hAnsi="Times New Roman" w:cs="Times New Roman"/>
                <w:snapToGrid w:val="0"/>
                <w:color w:val="000000" w:themeColor="text1"/>
                <w:highlight w:val="none"/>
                <w:u w:val="none"/>
                <w:lang w:val="en-US"/>
                <w14:textFill>
                  <w14:solidFill>
                    <w14:schemeClr w14:val="tx1"/>
                  </w14:solidFill>
                </w14:textFill>
              </w:rPr>
            </w:pPr>
            <w:r>
              <w:rPr>
                <w:rFonts w:hint="default" w:ascii="Times New Roman" w:hAnsi="Times New Roman" w:cs="Times New Roman"/>
                <w:color w:val="000000" w:themeColor="text1"/>
                <w:highlight w:val="none"/>
                <w:u w:val="none"/>
                <w:lang w:val="en-US" w:bidi="zh-CN"/>
                <w14:textFill>
                  <w14:solidFill>
                    <w14:schemeClr w14:val="tx1"/>
                  </w14:solidFill>
                </w14:textFill>
              </w:rPr>
              <w:t>+</w:t>
            </w:r>
            <w:r>
              <w:rPr>
                <w:rFonts w:hint="eastAsia" w:cs="Times New Roman"/>
                <w:color w:val="000000" w:themeColor="text1"/>
                <w:highlight w:val="none"/>
                <w:u w:val="none"/>
                <w:lang w:val="en-US" w:bidi="zh-CN"/>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376" w:type="pct"/>
            <w:vMerge w:val="continue"/>
            <w:vAlign w:val="center"/>
          </w:tcPr>
          <w:p>
            <w:pPr>
              <w:pStyle w:val="38"/>
              <w:spacing w:line="240" w:lineRule="auto"/>
              <w:rPr>
                <w:snapToGrid w:val="0"/>
                <w:color w:val="000000" w:themeColor="text1"/>
                <w:highlight w:val="none"/>
                <w:u w:val="none"/>
                <w14:textFill>
                  <w14:solidFill>
                    <w14:schemeClr w14:val="tx1"/>
                  </w14:solidFill>
                </w14:textFill>
              </w:rPr>
            </w:pPr>
          </w:p>
        </w:tc>
        <w:tc>
          <w:tcPr>
            <w:tcW w:w="524"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NH</w:t>
            </w:r>
            <w:r>
              <w:rPr>
                <w:rFonts w:hint="default" w:ascii="Times New Roman" w:hAnsi="Times New Roman" w:cs="Times New Roman"/>
                <w:color w:val="000000" w:themeColor="text1"/>
                <w:highlight w:val="none"/>
                <w:u w:val="none"/>
                <w:vertAlign w:val="subscript"/>
                <w14:textFill>
                  <w14:solidFill>
                    <w14:schemeClr w14:val="tx1"/>
                  </w14:solidFill>
                </w14:textFill>
              </w:rPr>
              <w:t>3</w:t>
            </w:r>
            <w:r>
              <w:rPr>
                <w:rFonts w:hint="default" w:ascii="Times New Roman" w:hAnsi="Times New Roman" w:cs="Times New Roman"/>
                <w:color w:val="000000" w:themeColor="text1"/>
                <w:highlight w:val="none"/>
                <w:u w:val="none"/>
                <w14:textFill>
                  <w14:solidFill>
                    <w14:schemeClr w14:val="tx1"/>
                  </w14:solidFill>
                </w14:textFill>
              </w:rPr>
              <w:t>-N</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lang w:val="en-US"/>
                <w14:textFill>
                  <w14:solidFill>
                    <w14:schemeClr w14:val="tx1"/>
                  </w14:solidFill>
                </w14:textFill>
              </w:rPr>
            </w:pPr>
            <w:r>
              <w:rPr>
                <w:rFonts w:hint="eastAsia" w:cs="Times New Roman"/>
                <w:color w:val="000000" w:themeColor="text1"/>
                <w:highlight w:val="none"/>
                <w:u w:val="none"/>
                <w:lang w:val="en-US" w:bidi="zh-CN"/>
                <w14:textFill>
                  <w14:solidFill>
                    <w14:schemeClr w14:val="tx1"/>
                  </w14:solidFill>
                </w14:textFill>
              </w:rPr>
              <w:t>0</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lang w:val="en-US"/>
                <w14:textFill>
                  <w14:solidFill>
                    <w14:schemeClr w14:val="tx1"/>
                  </w14:solidFill>
                </w14:textFill>
              </w:rPr>
            </w:pPr>
            <w:r>
              <w:rPr>
                <w:rFonts w:hint="eastAsia" w:cs="Times New Roman"/>
                <w:color w:val="000000" w:themeColor="text1"/>
                <w:highlight w:val="none"/>
                <w:u w:val="none"/>
                <w:lang w:val="en-US" w:bidi="zh-CN"/>
                <w14:textFill>
                  <w14:solidFill>
                    <w14:schemeClr w14:val="tx1"/>
                  </w14:solidFill>
                </w14:textFill>
              </w:rPr>
              <w:t>0</w:t>
            </w:r>
          </w:p>
        </w:tc>
        <w:tc>
          <w:tcPr>
            <w:tcW w:w="586" w:type="pct"/>
            <w:vAlign w:val="center"/>
          </w:tcPr>
          <w:p>
            <w:pPr>
              <w:pStyle w:val="38"/>
              <w:spacing w:line="240" w:lineRule="auto"/>
              <w:rPr>
                <w:rFonts w:hint="default" w:ascii="Times New Roman" w:hAnsi="Times New Roman" w:cs="Times New Roman"/>
                <w:snapToGrid w:val="0"/>
                <w:color w:val="000000" w:themeColor="text1"/>
                <w:highlight w:val="none"/>
                <w:u w:val="none"/>
                <w:lang w:val="en-US"/>
                <w14:textFill>
                  <w14:solidFill>
                    <w14:schemeClr w14:val="tx1"/>
                  </w14:solidFill>
                </w14:textFill>
              </w:rPr>
            </w:pPr>
            <w:r>
              <w:rPr>
                <w:rFonts w:hint="default" w:ascii="Times New Roman" w:hAnsi="Times New Roman" w:cs="Times New Roman"/>
                <w:color w:val="000000" w:themeColor="text1"/>
                <w:highlight w:val="none"/>
                <w:u w:val="none"/>
                <w:lang w:val="en-US" w:bidi="zh-CN"/>
                <w14:textFill>
                  <w14:solidFill>
                    <w14:schemeClr w14:val="tx1"/>
                  </w14:solidFill>
                </w14:textFill>
              </w:rPr>
              <w:t>+</w:t>
            </w:r>
            <w:r>
              <w:rPr>
                <w:rFonts w:hint="eastAsia" w:cs="Times New Roman"/>
                <w:color w:val="000000" w:themeColor="text1"/>
                <w:highlight w:val="none"/>
                <w:u w:val="none"/>
                <w:lang w:val="en-US" w:bidi="zh-CN"/>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376" w:type="pct"/>
            <w:vMerge w:val="restart"/>
            <w:vAlign w:val="center"/>
          </w:tcPr>
          <w:p>
            <w:pPr>
              <w:pStyle w:val="38"/>
              <w:spacing w:line="240" w:lineRule="auto"/>
              <w:rPr>
                <w:snapToGrid w:val="0"/>
                <w:color w:val="000000" w:themeColor="text1"/>
                <w:highlight w:val="none"/>
                <w:u w:val="none"/>
                <w14:textFill>
                  <w14:solidFill>
                    <w14:schemeClr w14:val="tx1"/>
                  </w14:solidFill>
                </w14:textFill>
              </w:rPr>
            </w:pPr>
            <w:r>
              <w:rPr>
                <w:rFonts w:hint="eastAsia"/>
                <w:snapToGrid w:val="0"/>
                <w:color w:val="000000" w:themeColor="text1"/>
                <w:highlight w:val="none"/>
                <w:u w:val="none"/>
                <w14:textFill>
                  <w14:solidFill>
                    <w14:schemeClr w14:val="tx1"/>
                  </w14:solidFill>
                </w14:textFill>
              </w:rPr>
              <w:t>一般工业固体废物</w:t>
            </w:r>
          </w:p>
        </w:tc>
        <w:tc>
          <w:tcPr>
            <w:tcW w:w="524" w:type="pct"/>
            <w:vAlign w:val="center"/>
          </w:tcPr>
          <w:p>
            <w:pPr>
              <w:pStyle w:val="38"/>
              <w:spacing w:line="240" w:lineRule="auto"/>
              <w:rPr>
                <w:rFonts w:hint="default" w:ascii="Times New Roman" w:hAnsi="Times New Roman" w:cs="Times New Roman"/>
                <w:bCs/>
                <w:color w:val="000000" w:themeColor="text1"/>
                <w:highlight w:val="none"/>
                <w:u w:val="none"/>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生活垃圾</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bCs/>
                <w:color w:val="000000" w:themeColor="text1"/>
                <w:highlight w:val="none"/>
                <w:u w:val="none"/>
                <w:lang w:val="en-US"/>
                <w14:textFill>
                  <w14:solidFill>
                    <w14:schemeClr w14:val="tx1"/>
                  </w14:solidFill>
                </w14:textFill>
              </w:rPr>
            </w:pPr>
            <w:r>
              <w:rPr>
                <w:rFonts w:hint="eastAsia" w:cs="Times New Roman"/>
                <w:bCs/>
                <w:color w:val="000000" w:themeColor="text1"/>
                <w:highlight w:val="none"/>
                <w:u w:val="none"/>
                <w:lang w:val="en-US" w:bidi="zh-CN"/>
                <w14:textFill>
                  <w14:solidFill>
                    <w14:schemeClr w14:val="tx1"/>
                  </w14:solidFill>
                </w14:textFill>
              </w:rPr>
              <w:t>1.095</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bCs/>
                <w:color w:val="000000" w:themeColor="text1"/>
                <w:highlight w:val="none"/>
                <w:u w:val="none"/>
                <w:lang w:val="en-US"/>
                <w14:textFill>
                  <w14:solidFill>
                    <w14:schemeClr w14:val="tx1"/>
                  </w14:solidFill>
                </w14:textFill>
              </w:rPr>
            </w:pPr>
            <w:r>
              <w:rPr>
                <w:rFonts w:hint="eastAsia" w:cs="Times New Roman"/>
                <w:bCs/>
                <w:color w:val="000000" w:themeColor="text1"/>
                <w:highlight w:val="none"/>
                <w:u w:val="none"/>
                <w:lang w:val="en-US" w:bidi="zh-CN"/>
                <w14:textFill>
                  <w14:solidFill>
                    <w14:schemeClr w14:val="tx1"/>
                  </w14:solidFill>
                </w14:textFill>
              </w:rPr>
              <w:t>1.095</w:t>
            </w:r>
          </w:p>
        </w:tc>
        <w:tc>
          <w:tcPr>
            <w:tcW w:w="586" w:type="pct"/>
            <w:vAlign w:val="center"/>
          </w:tcPr>
          <w:p>
            <w:pPr>
              <w:pStyle w:val="38"/>
              <w:spacing w:line="240" w:lineRule="auto"/>
              <w:rPr>
                <w:rFonts w:hint="default" w:ascii="Times New Roman" w:hAnsi="Times New Roman" w:cs="Times New Roman"/>
                <w:bCs/>
                <w:color w:val="000000" w:themeColor="text1"/>
                <w:highlight w:val="none"/>
                <w:u w:val="none"/>
                <w:lang w:val="en-US"/>
                <w14:textFill>
                  <w14:solidFill>
                    <w14:schemeClr w14:val="tx1"/>
                  </w14:solidFill>
                </w14:textFill>
              </w:rPr>
            </w:pPr>
            <w:r>
              <w:rPr>
                <w:rFonts w:hint="default" w:ascii="Times New Roman" w:hAnsi="Times New Roman" w:cs="Times New Roman"/>
                <w:bCs/>
                <w:color w:val="000000" w:themeColor="text1"/>
                <w:highlight w:val="none"/>
                <w:u w:val="none"/>
                <w:lang w:bidi="zh-CN"/>
                <w14:textFill>
                  <w14:solidFill>
                    <w14:schemeClr w14:val="tx1"/>
                  </w14:solidFill>
                </w14:textFill>
              </w:rPr>
              <w:t>+1.</w:t>
            </w:r>
            <w:r>
              <w:rPr>
                <w:rFonts w:hint="eastAsia" w:cs="Times New Roman"/>
                <w:bCs/>
                <w:color w:val="000000" w:themeColor="text1"/>
                <w:highlight w:val="none"/>
                <w:u w:val="none"/>
                <w:lang w:val="en-US" w:bidi="zh-CN"/>
                <w14:textFill>
                  <w14:solidFill>
                    <w14:schemeClr w14:val="tx1"/>
                  </w14:solidFill>
                </w14:textFill>
              </w:rPr>
              <w:t>095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376" w:type="pct"/>
            <w:vMerge w:val="continue"/>
            <w:vAlign w:val="center"/>
          </w:tcPr>
          <w:p>
            <w:pPr>
              <w:pStyle w:val="38"/>
              <w:spacing w:line="240" w:lineRule="auto"/>
              <w:rPr>
                <w:snapToGrid w:val="0"/>
                <w:color w:val="000000" w:themeColor="text1"/>
                <w:highlight w:val="none"/>
                <w:u w:val="none"/>
                <w14:textFill>
                  <w14:solidFill>
                    <w14:schemeClr w14:val="tx1"/>
                  </w14:solidFill>
                </w14:textFill>
              </w:rPr>
            </w:pPr>
          </w:p>
        </w:tc>
        <w:tc>
          <w:tcPr>
            <w:tcW w:w="524" w:type="pct"/>
            <w:vAlign w:val="center"/>
          </w:tcPr>
          <w:p>
            <w:pPr>
              <w:pStyle w:val="38"/>
              <w:spacing w:line="240" w:lineRule="auto"/>
              <w:rPr>
                <w:rFonts w:hint="default" w:ascii="Times New Roman" w:hAnsi="Times New Roman" w:cs="Times New Roman"/>
                <w:bCs/>
                <w:color w:val="000000" w:themeColor="text1"/>
                <w:highlight w:val="none"/>
                <w:u w:val="none"/>
                <w:lang w:val="en-US"/>
                <w14:textFill>
                  <w14:solidFill>
                    <w14:schemeClr w14:val="tx1"/>
                  </w14:solidFill>
                </w14:textFill>
              </w:rPr>
            </w:pPr>
            <w:r>
              <w:rPr>
                <w:rFonts w:hint="default" w:ascii="Times New Roman" w:hAnsi="Times New Roman" w:cs="Times New Roman"/>
                <w:color w:val="000000" w:themeColor="text1"/>
                <w:highlight w:val="none"/>
                <w:u w:val="none"/>
                <w:lang w:bidi="zh-CN"/>
                <w14:textFill>
                  <w14:solidFill>
                    <w14:schemeClr w14:val="tx1"/>
                  </w14:solidFill>
                </w14:textFill>
              </w:rPr>
              <w:t>废</w:t>
            </w:r>
            <w:r>
              <w:rPr>
                <w:rFonts w:hint="eastAsia" w:cs="Times New Roman"/>
                <w:color w:val="000000" w:themeColor="text1"/>
                <w:highlight w:val="none"/>
                <w:u w:val="none"/>
                <w:lang w:val="en-US" w:bidi="zh-CN"/>
                <w14:textFill>
                  <w14:solidFill>
                    <w14:schemeClr w14:val="tx1"/>
                  </w14:solidFill>
                </w14:textFill>
              </w:rPr>
              <w:t>包装材料</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cs="Times New Roman"/>
                <w:snapToGrid w:val="0"/>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eastAsia="宋体" w:cs="Times New Roman"/>
                <w:bCs/>
                <w:color w:val="000000" w:themeColor="text1"/>
                <w:highlight w:val="none"/>
                <w:u w:val="none"/>
                <w:lang w:val="en-US" w:eastAsia="zh-CN"/>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0.</w:t>
            </w:r>
            <w:r>
              <w:rPr>
                <w:rFonts w:hint="eastAsia" w:cs="Times New Roman"/>
                <w:color w:val="000000" w:themeColor="text1"/>
                <w:highlight w:val="none"/>
                <w:u w:val="none"/>
                <w:lang w:val="en-US" w:eastAsia="zh-CN"/>
                <w14:textFill>
                  <w14:solidFill>
                    <w14:schemeClr w14:val="tx1"/>
                  </w14:solidFill>
                </w14:textFill>
              </w:rPr>
              <w:t>115</w:t>
            </w:r>
          </w:p>
        </w:tc>
        <w:tc>
          <w:tcPr>
            <w:tcW w:w="585" w:type="pct"/>
            <w:vAlign w:val="center"/>
          </w:tcPr>
          <w:p>
            <w:pPr>
              <w:pStyle w:val="38"/>
              <w:spacing w:line="240" w:lineRule="auto"/>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snapToGrid w:val="0"/>
                <w:color w:val="000000" w:themeColor="text1"/>
                <w:highlight w:val="none"/>
                <w:u w:val="none"/>
                <w14:textFill>
                  <w14:solidFill>
                    <w14:schemeClr w14:val="tx1"/>
                  </w14:solidFill>
                </w14:textFill>
              </w:rPr>
              <w:t>/</w:t>
            </w:r>
          </w:p>
        </w:tc>
        <w:tc>
          <w:tcPr>
            <w:tcW w:w="585" w:type="pct"/>
            <w:vAlign w:val="center"/>
          </w:tcPr>
          <w:p>
            <w:pPr>
              <w:pStyle w:val="38"/>
              <w:spacing w:line="240" w:lineRule="auto"/>
              <w:rPr>
                <w:rFonts w:hint="default" w:ascii="Times New Roman" w:hAnsi="Times New Roman" w:eastAsia="宋体" w:cs="Times New Roman"/>
                <w:bCs/>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0.115</w:t>
            </w:r>
          </w:p>
        </w:tc>
        <w:tc>
          <w:tcPr>
            <w:tcW w:w="586" w:type="pct"/>
            <w:vAlign w:val="center"/>
          </w:tcPr>
          <w:p>
            <w:pPr>
              <w:pStyle w:val="38"/>
              <w:spacing w:line="240" w:lineRule="auto"/>
              <w:rPr>
                <w:rFonts w:hint="default" w:ascii="Times New Roman" w:hAnsi="Times New Roman" w:eastAsia="宋体" w:cs="Times New Roman"/>
                <w:bCs/>
                <w:color w:val="000000" w:themeColor="text1"/>
                <w:highlight w:val="none"/>
                <w:u w:val="none"/>
                <w:lang w:val="en-US" w:eastAsia="zh-CN"/>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+0.</w:t>
            </w:r>
            <w:r>
              <w:rPr>
                <w:rFonts w:hint="eastAsia" w:cs="Times New Roman"/>
                <w:color w:val="000000" w:themeColor="text1"/>
                <w:highlight w:val="none"/>
                <w:u w:val="none"/>
                <w:lang w:val="en-US" w:eastAsia="zh-CN"/>
                <w14:textFill>
                  <w14:solidFill>
                    <w14:schemeClr w14:val="tx1"/>
                  </w14:solidFill>
                </w14:textFill>
              </w:rPr>
              <w:t>115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376" w:type="pct"/>
            <w:vMerge w:val="continue"/>
            <w:vAlign w:val="center"/>
          </w:tcPr>
          <w:p>
            <w:pPr>
              <w:pStyle w:val="38"/>
              <w:spacing w:line="240" w:lineRule="auto"/>
              <w:rPr>
                <w:snapToGrid w:val="0"/>
                <w:color w:val="000000" w:themeColor="text1"/>
                <w:highlight w:val="none"/>
                <w:u w:val="none"/>
                <w14:textFill>
                  <w14:solidFill>
                    <w14:schemeClr w14:val="tx1"/>
                  </w14:solidFill>
                </w14:textFill>
              </w:rPr>
            </w:pPr>
            <w:bookmarkStart w:id="16" w:name="_Toc24217"/>
          </w:p>
        </w:tc>
        <w:tc>
          <w:tcPr>
            <w:tcW w:w="524" w:type="pct"/>
            <w:vAlign w:val="center"/>
          </w:tcPr>
          <w:p>
            <w:pPr>
              <w:pStyle w:val="38"/>
              <w:spacing w:line="240" w:lineRule="auto"/>
              <w:rPr>
                <w:rFonts w:hint="default" w:ascii="Times New Roman" w:hAnsi="Times New Roman" w:cs="Times New Roman"/>
                <w:color w:val="000000" w:themeColor="text1"/>
                <w:highlight w:val="none"/>
                <w:u w:val="none"/>
                <w:lang w:val="en-US" w:bidi="zh-CN"/>
                <w14:textFill>
                  <w14:solidFill>
                    <w14:schemeClr w14:val="tx1"/>
                  </w14:solidFill>
                </w14:textFill>
              </w:rPr>
            </w:pPr>
            <w:r>
              <w:rPr>
                <w:rFonts w:hint="eastAsia" w:cs="Times New Roman"/>
                <w:color w:val="000000" w:themeColor="text1"/>
                <w:highlight w:val="none"/>
                <w:u w:val="none"/>
                <w:lang w:val="en-US" w:bidi="zh-CN"/>
                <w14:textFill>
                  <w14:solidFill>
                    <w14:schemeClr w14:val="tx1"/>
                  </w14:solidFill>
                </w14:textFill>
              </w:rPr>
              <w:t>污泥</w:t>
            </w:r>
          </w:p>
        </w:tc>
        <w:tc>
          <w:tcPr>
            <w:tcW w:w="585" w:type="pct"/>
            <w:vAlign w:val="center"/>
          </w:tcPr>
          <w:p>
            <w:pPr>
              <w:pStyle w:val="38"/>
              <w:spacing w:line="240" w:lineRule="auto"/>
              <w:rPr>
                <w:rFonts w:hint="eastAsia" w:ascii="Times New Roman" w:hAnsi="Times New Roman" w:eastAsia="宋体" w:cs="Times New Roman"/>
                <w:snapToGrid w:val="0"/>
                <w:color w:val="000000" w:themeColor="text1"/>
                <w:highlight w:val="none"/>
                <w:u w:val="none"/>
                <w:lang w:val="en-US" w:eastAsia="zh-CN"/>
                <w14:textFill>
                  <w14:solidFill>
                    <w14:schemeClr w14:val="tx1"/>
                  </w14:solidFill>
                </w14:textFill>
              </w:rPr>
            </w:pPr>
            <w:r>
              <w:rPr>
                <w:rFonts w:hint="eastAsia" w:cs="Times New Roman"/>
                <w:snapToGrid w:val="0"/>
                <w:color w:val="000000" w:themeColor="text1"/>
                <w:highlight w:val="none"/>
                <w:u w:val="none"/>
                <w:lang w:val="en-US" w:eastAsia="zh-CN"/>
                <w14:textFill>
                  <w14:solidFill>
                    <w14:schemeClr w14:val="tx1"/>
                  </w14:solidFill>
                </w14:textFill>
              </w:rPr>
              <w:t>/</w:t>
            </w:r>
          </w:p>
        </w:tc>
        <w:tc>
          <w:tcPr>
            <w:tcW w:w="585" w:type="pct"/>
            <w:vAlign w:val="center"/>
          </w:tcPr>
          <w:p>
            <w:pPr>
              <w:pStyle w:val="38"/>
              <w:spacing w:line="240" w:lineRule="auto"/>
              <w:rPr>
                <w:rFonts w:hint="eastAsia" w:ascii="Times New Roman" w:hAnsi="Times New Roman" w:eastAsia="宋体" w:cs="Times New Roman"/>
                <w:snapToGrid w:val="0"/>
                <w:color w:val="000000" w:themeColor="text1"/>
                <w:highlight w:val="none"/>
                <w:u w:val="none"/>
                <w:lang w:val="en-US" w:eastAsia="zh-CN"/>
                <w14:textFill>
                  <w14:solidFill>
                    <w14:schemeClr w14:val="tx1"/>
                  </w14:solidFill>
                </w14:textFill>
              </w:rPr>
            </w:pPr>
            <w:r>
              <w:rPr>
                <w:rFonts w:hint="eastAsia" w:cs="Times New Roman"/>
                <w:snapToGrid w:val="0"/>
                <w:color w:val="000000" w:themeColor="text1"/>
                <w:highlight w:val="none"/>
                <w:u w:val="none"/>
                <w:lang w:val="en-US" w:eastAsia="zh-CN"/>
                <w14:textFill>
                  <w14:solidFill>
                    <w14:schemeClr w14:val="tx1"/>
                  </w14:solidFill>
                </w14:textFill>
              </w:rPr>
              <w:t>/</w:t>
            </w:r>
          </w:p>
        </w:tc>
        <w:tc>
          <w:tcPr>
            <w:tcW w:w="585" w:type="pct"/>
            <w:vAlign w:val="center"/>
          </w:tcPr>
          <w:p>
            <w:pPr>
              <w:pStyle w:val="38"/>
              <w:spacing w:line="240" w:lineRule="auto"/>
              <w:rPr>
                <w:rFonts w:hint="eastAsia" w:ascii="Times New Roman" w:hAnsi="Times New Roman" w:eastAsia="宋体" w:cs="Times New Roman"/>
                <w:snapToGrid w:val="0"/>
                <w:color w:val="000000" w:themeColor="text1"/>
                <w:highlight w:val="none"/>
                <w:u w:val="none"/>
                <w:lang w:val="en-US" w:eastAsia="zh-CN"/>
                <w14:textFill>
                  <w14:solidFill>
                    <w14:schemeClr w14:val="tx1"/>
                  </w14:solidFill>
                </w14:textFill>
              </w:rPr>
            </w:pPr>
            <w:r>
              <w:rPr>
                <w:rFonts w:hint="eastAsia" w:cs="Times New Roman"/>
                <w:snapToGrid w:val="0"/>
                <w:color w:val="000000" w:themeColor="text1"/>
                <w:highlight w:val="none"/>
                <w:u w:val="none"/>
                <w:lang w:val="en-US" w:eastAsia="zh-CN"/>
                <w14:textFill>
                  <w14:solidFill>
                    <w14:schemeClr w14:val="tx1"/>
                  </w14:solidFill>
                </w14:textFill>
              </w:rPr>
              <w:t>/</w:t>
            </w:r>
          </w:p>
        </w:tc>
        <w:tc>
          <w:tcPr>
            <w:tcW w:w="585" w:type="pct"/>
            <w:vAlign w:val="center"/>
          </w:tcPr>
          <w:p>
            <w:pPr>
              <w:pStyle w:val="38"/>
              <w:spacing w:line="240" w:lineRule="auto"/>
              <w:rPr>
                <w:rFonts w:hint="default" w:ascii="Times New Roman" w:hAnsi="Times New Roman" w:eastAsia="宋体" w:cs="Times New Roman"/>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107.9</w:t>
            </w:r>
          </w:p>
        </w:tc>
        <w:tc>
          <w:tcPr>
            <w:tcW w:w="585" w:type="pct"/>
            <w:vAlign w:val="center"/>
          </w:tcPr>
          <w:p>
            <w:pPr>
              <w:pStyle w:val="38"/>
              <w:spacing w:line="240" w:lineRule="auto"/>
              <w:rPr>
                <w:rFonts w:hint="eastAsia" w:ascii="Times New Roman" w:hAnsi="Times New Roman" w:eastAsia="宋体" w:cs="Times New Roman"/>
                <w:snapToGrid w:val="0"/>
                <w:color w:val="000000" w:themeColor="text1"/>
                <w:highlight w:val="none"/>
                <w:u w:val="none"/>
                <w:lang w:val="en-US" w:eastAsia="zh-CN"/>
                <w14:textFill>
                  <w14:solidFill>
                    <w14:schemeClr w14:val="tx1"/>
                  </w14:solidFill>
                </w14:textFill>
              </w:rPr>
            </w:pPr>
            <w:r>
              <w:rPr>
                <w:rFonts w:hint="eastAsia" w:cs="Times New Roman"/>
                <w:snapToGrid w:val="0"/>
                <w:color w:val="000000" w:themeColor="text1"/>
                <w:highlight w:val="none"/>
                <w:u w:val="none"/>
                <w:lang w:val="en-US" w:eastAsia="zh-CN"/>
                <w14:textFill>
                  <w14:solidFill>
                    <w14:schemeClr w14:val="tx1"/>
                  </w14:solidFill>
                </w14:textFill>
              </w:rPr>
              <w:t>/</w:t>
            </w:r>
          </w:p>
        </w:tc>
        <w:tc>
          <w:tcPr>
            <w:tcW w:w="585" w:type="pct"/>
            <w:vAlign w:val="center"/>
          </w:tcPr>
          <w:p>
            <w:pPr>
              <w:pStyle w:val="38"/>
              <w:spacing w:line="240" w:lineRule="auto"/>
              <w:rPr>
                <w:rFonts w:hint="default" w:ascii="Times New Roman" w:hAnsi="Times New Roman" w:eastAsia="宋体" w:cs="Times New Roman"/>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107.9</w:t>
            </w:r>
          </w:p>
        </w:tc>
        <w:tc>
          <w:tcPr>
            <w:tcW w:w="586" w:type="pct"/>
            <w:vAlign w:val="center"/>
          </w:tcPr>
          <w:p>
            <w:pPr>
              <w:pStyle w:val="38"/>
              <w:spacing w:line="240" w:lineRule="auto"/>
              <w:rPr>
                <w:rFonts w:hint="default" w:ascii="Times New Roman" w:hAnsi="Times New Roman" w:eastAsia="宋体" w:cs="Times New Roman"/>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+107.9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376" w:type="pct"/>
            <w:vMerge w:val="restart"/>
            <w:vAlign w:val="center"/>
          </w:tcPr>
          <w:p>
            <w:pPr>
              <w:pStyle w:val="38"/>
              <w:spacing w:line="240" w:lineRule="auto"/>
              <w:rPr>
                <w:rFonts w:hint="default" w:eastAsia="宋体"/>
                <w:snapToGrid w:val="0"/>
                <w:color w:val="000000" w:themeColor="text1"/>
                <w:highlight w:val="none"/>
                <w:u w:val="none"/>
                <w:lang w:val="en-US" w:eastAsia="zh-CN"/>
                <w14:textFill>
                  <w14:solidFill>
                    <w14:schemeClr w14:val="tx1"/>
                  </w14:solidFill>
                </w14:textFill>
              </w:rPr>
            </w:pPr>
            <w:r>
              <w:rPr>
                <w:rFonts w:hint="eastAsia"/>
                <w:snapToGrid w:val="0"/>
                <w:color w:val="000000" w:themeColor="text1"/>
                <w:highlight w:val="none"/>
                <w:u w:val="none"/>
                <w:lang w:val="en-US" w:eastAsia="zh-CN"/>
                <w14:textFill>
                  <w14:solidFill>
                    <w14:schemeClr w14:val="tx1"/>
                  </w14:solidFill>
                </w14:textFill>
              </w:rPr>
              <w:t>危险废物</w:t>
            </w:r>
          </w:p>
        </w:tc>
        <w:tc>
          <w:tcPr>
            <w:tcW w:w="524" w:type="pct"/>
            <w:vAlign w:val="center"/>
          </w:tcPr>
          <w:p>
            <w:pPr>
              <w:pStyle w:val="38"/>
              <w:spacing w:line="240" w:lineRule="auto"/>
              <w:rPr>
                <w:rFonts w:hint="default" w:cs="Times New Roman"/>
                <w:color w:val="000000" w:themeColor="text1"/>
                <w:highlight w:val="none"/>
                <w:u w:val="none"/>
                <w:lang w:val="en-US" w:bidi="zh-CN"/>
                <w14:textFill>
                  <w14:solidFill>
                    <w14:schemeClr w14:val="tx1"/>
                  </w14:solidFill>
                </w14:textFill>
              </w:rPr>
            </w:pPr>
            <w:r>
              <w:rPr>
                <w:rFonts w:hint="eastAsia" w:cs="Times New Roman"/>
                <w:color w:val="000000" w:themeColor="text1"/>
                <w:highlight w:val="none"/>
                <w:u w:val="none"/>
                <w:lang w:val="en-US" w:bidi="zh-CN"/>
                <w14:textFill>
                  <w14:solidFill>
                    <w14:schemeClr w14:val="tx1"/>
                  </w14:solidFill>
                </w14:textFill>
              </w:rPr>
              <w:t>废机油</w:t>
            </w:r>
          </w:p>
        </w:tc>
        <w:tc>
          <w:tcPr>
            <w:tcW w:w="585" w:type="pct"/>
            <w:vAlign w:val="center"/>
          </w:tcPr>
          <w:p>
            <w:pPr>
              <w:pStyle w:val="38"/>
              <w:spacing w:line="240" w:lineRule="auto"/>
              <w:rPr>
                <w:rFonts w:hint="default" w:cs="Times New Roman"/>
                <w:snapToGrid w:val="0"/>
                <w:color w:val="000000" w:themeColor="text1"/>
                <w:highlight w:val="none"/>
                <w:u w:val="none"/>
                <w:lang w:val="en-US" w:eastAsia="zh-CN"/>
                <w14:textFill>
                  <w14:solidFill>
                    <w14:schemeClr w14:val="tx1"/>
                  </w14:solidFill>
                </w14:textFill>
              </w:rPr>
            </w:pPr>
            <w:r>
              <w:rPr>
                <w:rFonts w:hint="eastAsia" w:cs="Times New Roman"/>
                <w:snapToGrid w:val="0"/>
                <w:color w:val="000000" w:themeColor="text1"/>
                <w:highlight w:val="none"/>
                <w:u w:val="none"/>
                <w:lang w:val="en-US" w:eastAsia="zh-CN"/>
                <w14:textFill>
                  <w14:solidFill>
                    <w14:schemeClr w14:val="tx1"/>
                  </w14:solidFill>
                </w14:textFill>
              </w:rPr>
              <w:t>/</w:t>
            </w:r>
          </w:p>
        </w:tc>
        <w:tc>
          <w:tcPr>
            <w:tcW w:w="585" w:type="pct"/>
            <w:vAlign w:val="center"/>
          </w:tcPr>
          <w:p>
            <w:pPr>
              <w:pStyle w:val="38"/>
              <w:spacing w:line="240" w:lineRule="auto"/>
              <w:rPr>
                <w:rFonts w:hint="default" w:cs="Times New Roman"/>
                <w:snapToGrid w:val="0"/>
                <w:color w:val="000000" w:themeColor="text1"/>
                <w:highlight w:val="none"/>
                <w:u w:val="none"/>
                <w:lang w:val="en-US" w:eastAsia="zh-CN"/>
                <w14:textFill>
                  <w14:solidFill>
                    <w14:schemeClr w14:val="tx1"/>
                  </w14:solidFill>
                </w14:textFill>
              </w:rPr>
            </w:pPr>
            <w:r>
              <w:rPr>
                <w:rFonts w:hint="eastAsia" w:cs="Times New Roman"/>
                <w:snapToGrid w:val="0"/>
                <w:color w:val="000000" w:themeColor="text1"/>
                <w:highlight w:val="none"/>
                <w:u w:val="none"/>
                <w:lang w:val="en-US" w:eastAsia="zh-CN"/>
                <w14:textFill>
                  <w14:solidFill>
                    <w14:schemeClr w14:val="tx1"/>
                  </w14:solidFill>
                </w14:textFill>
              </w:rPr>
              <w:t>/</w:t>
            </w:r>
          </w:p>
        </w:tc>
        <w:tc>
          <w:tcPr>
            <w:tcW w:w="585" w:type="pct"/>
            <w:vAlign w:val="center"/>
          </w:tcPr>
          <w:p>
            <w:pPr>
              <w:pStyle w:val="38"/>
              <w:spacing w:line="240" w:lineRule="auto"/>
              <w:rPr>
                <w:rFonts w:hint="default" w:cs="Times New Roman"/>
                <w:snapToGrid w:val="0"/>
                <w:color w:val="000000" w:themeColor="text1"/>
                <w:highlight w:val="none"/>
                <w:u w:val="none"/>
                <w:lang w:val="en-US" w:eastAsia="zh-CN"/>
                <w14:textFill>
                  <w14:solidFill>
                    <w14:schemeClr w14:val="tx1"/>
                  </w14:solidFill>
                </w14:textFill>
              </w:rPr>
            </w:pPr>
            <w:r>
              <w:rPr>
                <w:rFonts w:hint="eastAsia" w:cs="Times New Roman"/>
                <w:snapToGrid w:val="0"/>
                <w:color w:val="000000" w:themeColor="text1"/>
                <w:highlight w:val="none"/>
                <w:u w:val="none"/>
                <w:lang w:val="en-US" w:eastAsia="zh-CN"/>
                <w14:textFill>
                  <w14:solidFill>
                    <w14:schemeClr w14:val="tx1"/>
                  </w14:solidFill>
                </w14:textFill>
              </w:rPr>
              <w:t>/</w:t>
            </w:r>
          </w:p>
        </w:tc>
        <w:tc>
          <w:tcPr>
            <w:tcW w:w="585" w:type="pct"/>
            <w:vAlign w:val="center"/>
          </w:tcPr>
          <w:p>
            <w:pPr>
              <w:pStyle w:val="38"/>
              <w:spacing w:line="240" w:lineRule="auto"/>
              <w:rPr>
                <w:rFonts w:hint="default" w:cs="Times New Roman"/>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0.1</w:t>
            </w:r>
          </w:p>
        </w:tc>
        <w:tc>
          <w:tcPr>
            <w:tcW w:w="585" w:type="pct"/>
            <w:vAlign w:val="center"/>
          </w:tcPr>
          <w:p>
            <w:pPr>
              <w:pStyle w:val="38"/>
              <w:spacing w:line="240" w:lineRule="auto"/>
              <w:rPr>
                <w:rFonts w:hint="default" w:cs="Times New Roman"/>
                <w:snapToGrid w:val="0"/>
                <w:color w:val="000000" w:themeColor="text1"/>
                <w:highlight w:val="none"/>
                <w:u w:val="none"/>
                <w:lang w:val="en-US" w:eastAsia="zh-CN"/>
                <w14:textFill>
                  <w14:solidFill>
                    <w14:schemeClr w14:val="tx1"/>
                  </w14:solidFill>
                </w14:textFill>
              </w:rPr>
            </w:pPr>
            <w:r>
              <w:rPr>
                <w:rFonts w:hint="eastAsia" w:cs="Times New Roman"/>
                <w:snapToGrid w:val="0"/>
                <w:color w:val="000000" w:themeColor="text1"/>
                <w:highlight w:val="none"/>
                <w:u w:val="none"/>
                <w:lang w:val="en-US" w:eastAsia="zh-CN"/>
                <w14:textFill>
                  <w14:solidFill>
                    <w14:schemeClr w14:val="tx1"/>
                  </w14:solidFill>
                </w14:textFill>
              </w:rPr>
              <w:t>/</w:t>
            </w:r>
          </w:p>
        </w:tc>
        <w:tc>
          <w:tcPr>
            <w:tcW w:w="585" w:type="pct"/>
            <w:vAlign w:val="center"/>
          </w:tcPr>
          <w:p>
            <w:pPr>
              <w:pStyle w:val="38"/>
              <w:spacing w:line="240" w:lineRule="auto"/>
              <w:rPr>
                <w:rFonts w:hint="default" w:cs="Times New Roman"/>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 xml:space="preserve">0.1 </w:t>
            </w:r>
          </w:p>
        </w:tc>
        <w:tc>
          <w:tcPr>
            <w:tcW w:w="586" w:type="pct"/>
            <w:vAlign w:val="center"/>
          </w:tcPr>
          <w:p>
            <w:pPr>
              <w:pStyle w:val="38"/>
              <w:spacing w:line="240" w:lineRule="auto"/>
              <w:rPr>
                <w:rFonts w:hint="default" w:cs="Times New Roman"/>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376" w:type="pct"/>
            <w:vMerge w:val="continue"/>
            <w:vAlign w:val="center"/>
          </w:tcPr>
          <w:p>
            <w:pPr>
              <w:pStyle w:val="38"/>
              <w:spacing w:line="240" w:lineRule="auto"/>
              <w:rPr>
                <w:snapToGrid w:val="0"/>
                <w:color w:val="000000" w:themeColor="text1"/>
                <w:highlight w:val="none"/>
                <w:u w:val="none"/>
                <w14:textFill>
                  <w14:solidFill>
                    <w14:schemeClr w14:val="tx1"/>
                  </w14:solidFill>
                </w14:textFill>
              </w:rPr>
            </w:pPr>
          </w:p>
        </w:tc>
        <w:tc>
          <w:tcPr>
            <w:tcW w:w="524" w:type="pct"/>
            <w:vAlign w:val="center"/>
          </w:tcPr>
          <w:p>
            <w:pPr>
              <w:pStyle w:val="38"/>
              <w:spacing w:line="240" w:lineRule="auto"/>
              <w:rPr>
                <w:rFonts w:hint="default" w:cs="Times New Roman"/>
                <w:color w:val="000000" w:themeColor="text1"/>
                <w:highlight w:val="none"/>
                <w:u w:val="none"/>
                <w:lang w:val="en-US" w:bidi="zh-CN"/>
                <w14:textFill>
                  <w14:solidFill>
                    <w14:schemeClr w14:val="tx1"/>
                  </w14:solidFill>
                </w14:textFill>
              </w:rPr>
            </w:pPr>
            <w:r>
              <w:rPr>
                <w:rFonts w:hint="eastAsia" w:cs="Times New Roman"/>
                <w:color w:val="000000" w:themeColor="text1"/>
                <w:highlight w:val="none"/>
                <w:u w:val="none"/>
                <w:lang w:val="en-US" w:bidi="zh-CN"/>
                <w14:textFill>
                  <w14:solidFill>
                    <w14:schemeClr w14:val="tx1"/>
                  </w14:solidFill>
                </w14:textFill>
              </w:rPr>
              <w:t>废机油桶</w:t>
            </w:r>
          </w:p>
        </w:tc>
        <w:tc>
          <w:tcPr>
            <w:tcW w:w="585" w:type="pct"/>
            <w:vAlign w:val="center"/>
          </w:tcPr>
          <w:p>
            <w:pPr>
              <w:pStyle w:val="38"/>
              <w:spacing w:line="240" w:lineRule="auto"/>
              <w:rPr>
                <w:rFonts w:hint="default" w:cs="Times New Roman"/>
                <w:snapToGrid w:val="0"/>
                <w:color w:val="000000" w:themeColor="text1"/>
                <w:highlight w:val="none"/>
                <w:u w:val="none"/>
                <w:lang w:val="en-US" w:eastAsia="zh-CN"/>
                <w14:textFill>
                  <w14:solidFill>
                    <w14:schemeClr w14:val="tx1"/>
                  </w14:solidFill>
                </w14:textFill>
              </w:rPr>
            </w:pPr>
            <w:r>
              <w:rPr>
                <w:rFonts w:hint="eastAsia" w:cs="Times New Roman"/>
                <w:snapToGrid w:val="0"/>
                <w:color w:val="000000" w:themeColor="text1"/>
                <w:highlight w:val="none"/>
                <w:u w:val="none"/>
                <w:lang w:val="en-US" w:eastAsia="zh-CN"/>
                <w14:textFill>
                  <w14:solidFill>
                    <w14:schemeClr w14:val="tx1"/>
                  </w14:solidFill>
                </w14:textFill>
              </w:rPr>
              <w:t>/</w:t>
            </w:r>
          </w:p>
        </w:tc>
        <w:tc>
          <w:tcPr>
            <w:tcW w:w="585" w:type="pct"/>
            <w:vAlign w:val="center"/>
          </w:tcPr>
          <w:p>
            <w:pPr>
              <w:pStyle w:val="38"/>
              <w:spacing w:line="240" w:lineRule="auto"/>
              <w:rPr>
                <w:rFonts w:hint="default" w:cs="Times New Roman"/>
                <w:snapToGrid w:val="0"/>
                <w:color w:val="000000" w:themeColor="text1"/>
                <w:highlight w:val="none"/>
                <w:u w:val="none"/>
                <w:lang w:val="en-US" w:eastAsia="zh-CN"/>
                <w14:textFill>
                  <w14:solidFill>
                    <w14:schemeClr w14:val="tx1"/>
                  </w14:solidFill>
                </w14:textFill>
              </w:rPr>
            </w:pPr>
            <w:r>
              <w:rPr>
                <w:rFonts w:hint="eastAsia" w:cs="Times New Roman"/>
                <w:snapToGrid w:val="0"/>
                <w:color w:val="000000" w:themeColor="text1"/>
                <w:highlight w:val="none"/>
                <w:u w:val="none"/>
                <w:lang w:val="en-US" w:eastAsia="zh-CN"/>
                <w14:textFill>
                  <w14:solidFill>
                    <w14:schemeClr w14:val="tx1"/>
                  </w14:solidFill>
                </w14:textFill>
              </w:rPr>
              <w:t>/</w:t>
            </w:r>
          </w:p>
        </w:tc>
        <w:tc>
          <w:tcPr>
            <w:tcW w:w="585" w:type="pct"/>
            <w:vAlign w:val="center"/>
          </w:tcPr>
          <w:p>
            <w:pPr>
              <w:pStyle w:val="38"/>
              <w:spacing w:line="240" w:lineRule="auto"/>
              <w:rPr>
                <w:rFonts w:hint="default" w:cs="Times New Roman"/>
                <w:snapToGrid w:val="0"/>
                <w:color w:val="000000" w:themeColor="text1"/>
                <w:highlight w:val="none"/>
                <w:u w:val="none"/>
                <w:lang w:val="en-US" w:eastAsia="zh-CN"/>
                <w14:textFill>
                  <w14:solidFill>
                    <w14:schemeClr w14:val="tx1"/>
                  </w14:solidFill>
                </w14:textFill>
              </w:rPr>
            </w:pPr>
            <w:r>
              <w:rPr>
                <w:rFonts w:hint="eastAsia" w:cs="Times New Roman"/>
                <w:snapToGrid w:val="0"/>
                <w:color w:val="000000" w:themeColor="text1"/>
                <w:highlight w:val="none"/>
                <w:u w:val="none"/>
                <w:lang w:val="en-US" w:eastAsia="zh-CN"/>
                <w14:textFill>
                  <w14:solidFill>
                    <w14:schemeClr w14:val="tx1"/>
                  </w14:solidFill>
                </w14:textFill>
              </w:rPr>
              <w:t>/</w:t>
            </w:r>
          </w:p>
        </w:tc>
        <w:tc>
          <w:tcPr>
            <w:tcW w:w="585" w:type="pct"/>
            <w:vAlign w:val="center"/>
          </w:tcPr>
          <w:p>
            <w:pPr>
              <w:pStyle w:val="38"/>
              <w:spacing w:line="240" w:lineRule="auto"/>
              <w:rPr>
                <w:rFonts w:hint="default" w:cs="Times New Roman"/>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0.01</w:t>
            </w:r>
          </w:p>
        </w:tc>
        <w:tc>
          <w:tcPr>
            <w:tcW w:w="585" w:type="pct"/>
            <w:vAlign w:val="center"/>
          </w:tcPr>
          <w:p>
            <w:pPr>
              <w:pStyle w:val="38"/>
              <w:spacing w:line="240" w:lineRule="auto"/>
              <w:rPr>
                <w:rFonts w:hint="default" w:cs="Times New Roman"/>
                <w:snapToGrid w:val="0"/>
                <w:color w:val="000000" w:themeColor="text1"/>
                <w:highlight w:val="none"/>
                <w:u w:val="none"/>
                <w:lang w:val="en-US" w:eastAsia="zh-CN"/>
                <w14:textFill>
                  <w14:solidFill>
                    <w14:schemeClr w14:val="tx1"/>
                  </w14:solidFill>
                </w14:textFill>
              </w:rPr>
            </w:pPr>
            <w:r>
              <w:rPr>
                <w:rFonts w:hint="eastAsia" w:cs="Times New Roman"/>
                <w:snapToGrid w:val="0"/>
                <w:color w:val="000000" w:themeColor="text1"/>
                <w:highlight w:val="none"/>
                <w:u w:val="none"/>
                <w:lang w:val="en-US" w:eastAsia="zh-CN"/>
                <w14:textFill>
                  <w14:solidFill>
                    <w14:schemeClr w14:val="tx1"/>
                  </w14:solidFill>
                </w14:textFill>
              </w:rPr>
              <w:t>/</w:t>
            </w:r>
          </w:p>
        </w:tc>
        <w:tc>
          <w:tcPr>
            <w:tcW w:w="585" w:type="pct"/>
            <w:vAlign w:val="center"/>
          </w:tcPr>
          <w:p>
            <w:pPr>
              <w:pStyle w:val="38"/>
              <w:spacing w:line="240" w:lineRule="auto"/>
              <w:rPr>
                <w:rFonts w:hint="default" w:cs="Times New Roman"/>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 xml:space="preserve">0.01 </w:t>
            </w:r>
          </w:p>
        </w:tc>
        <w:tc>
          <w:tcPr>
            <w:tcW w:w="586" w:type="pct"/>
            <w:vAlign w:val="center"/>
          </w:tcPr>
          <w:p>
            <w:pPr>
              <w:pStyle w:val="38"/>
              <w:spacing w:line="240" w:lineRule="auto"/>
              <w:rPr>
                <w:rFonts w:hint="default" w:cs="Times New Roman"/>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+0.01</w:t>
            </w:r>
          </w:p>
        </w:tc>
      </w:tr>
    </w:tbl>
    <w:p>
      <w:pPr>
        <w:spacing w:before="69"/>
        <w:ind w:left="151"/>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pPr>
      <w:r>
        <w:rPr>
          <w:rFonts w:hint="eastAsia" w:cs="Times New Roman"/>
          <w:color w:val="000000" w:themeColor="text1"/>
          <w:highlight w:val="none"/>
          <w14:textFill>
            <w14:solidFill>
              <w14:schemeClr w14:val="tx1"/>
            </w14:solidFill>
          </w14:textFill>
        </w:rPr>
        <w:t>注</w:t>
      </w:r>
      <w:r>
        <w:rPr>
          <w:rFonts w:hint="eastAsia" w:cs="Times New Roman"/>
          <w:color w:val="000000" w:themeColor="text1"/>
          <w:highlight w:val="none"/>
          <w:lang w:val="en-US"/>
          <w14:textFill>
            <w14:solidFill>
              <w14:schemeClr w14:val="tx1"/>
            </w14:solidFill>
          </w14:textFill>
        </w:rPr>
        <w:t>：</w:t>
      </w:r>
      <w:r>
        <w:rPr>
          <w:rFonts w:hint="eastAsia" w:ascii="宋体" w:hAnsi="宋体"/>
          <w:color w:val="000000" w:themeColor="text1"/>
          <w:highlight w:val="none"/>
          <w:lang w:val="en-US"/>
          <w14:textFill>
            <w14:solidFill>
              <w14:schemeClr w14:val="tx1"/>
            </w14:solidFill>
          </w14:textFill>
        </w:rPr>
        <w:t>⑥</w:t>
      </w:r>
      <w:r>
        <w:rPr>
          <w:rFonts w:cs="Times New Roman"/>
          <w:color w:val="000000" w:themeColor="text1"/>
          <w:highlight w:val="none"/>
          <w:lang w:val="en-US"/>
          <w14:textFill>
            <w14:solidFill>
              <w14:schemeClr w14:val="tx1"/>
            </w14:solidFill>
          </w14:textFill>
        </w:rPr>
        <w:t>=</w:t>
      </w:r>
      <w:r>
        <w:rPr>
          <w:rFonts w:hint="eastAsia" w:ascii="宋体" w:hAnsi="宋体"/>
          <w:color w:val="000000" w:themeColor="text1"/>
          <w:highlight w:val="none"/>
          <w:lang w:val="en-US"/>
          <w14:textFill>
            <w14:solidFill>
              <w14:schemeClr w14:val="tx1"/>
            </w14:solidFill>
          </w14:textFill>
        </w:rPr>
        <w:t>①</w:t>
      </w:r>
      <w:r>
        <w:rPr>
          <w:rFonts w:cs="Times New Roman"/>
          <w:color w:val="000000" w:themeColor="text1"/>
          <w:highlight w:val="none"/>
          <w:lang w:val="en-US"/>
          <w14:textFill>
            <w14:solidFill>
              <w14:schemeClr w14:val="tx1"/>
            </w14:solidFill>
          </w14:textFill>
        </w:rPr>
        <w:t>+</w:t>
      </w:r>
      <w:r>
        <w:rPr>
          <w:rFonts w:hint="eastAsia" w:ascii="宋体" w:hAnsi="宋体"/>
          <w:color w:val="000000" w:themeColor="text1"/>
          <w:highlight w:val="none"/>
          <w:lang w:val="en-US"/>
          <w14:textFill>
            <w14:solidFill>
              <w14:schemeClr w14:val="tx1"/>
            </w14:solidFill>
          </w14:textFill>
        </w:rPr>
        <w:t>③</w:t>
      </w:r>
      <w:r>
        <w:rPr>
          <w:rFonts w:cs="Times New Roman"/>
          <w:color w:val="000000" w:themeColor="text1"/>
          <w:highlight w:val="none"/>
          <w:lang w:val="en-US"/>
          <w14:textFill>
            <w14:solidFill>
              <w14:schemeClr w14:val="tx1"/>
            </w14:solidFill>
          </w14:textFill>
        </w:rPr>
        <w:t>+</w:t>
      </w:r>
      <w:r>
        <w:rPr>
          <w:rFonts w:hint="eastAsia" w:ascii="宋体" w:hAnsi="宋体"/>
          <w:color w:val="000000" w:themeColor="text1"/>
          <w:highlight w:val="none"/>
          <w:lang w:val="en-US"/>
          <w14:textFill>
            <w14:solidFill>
              <w14:schemeClr w14:val="tx1"/>
            </w14:solidFill>
          </w14:textFill>
        </w:rPr>
        <w:t>④</w:t>
      </w:r>
      <w:r>
        <w:rPr>
          <w:rFonts w:cs="Times New Roman"/>
          <w:color w:val="000000" w:themeColor="text1"/>
          <w:highlight w:val="none"/>
          <w:lang w:val="en-US"/>
          <w14:textFill>
            <w14:solidFill>
              <w14:schemeClr w14:val="tx1"/>
            </w14:solidFill>
          </w14:textFill>
        </w:rPr>
        <w:t>-</w:t>
      </w:r>
      <w:r>
        <w:rPr>
          <w:rFonts w:hint="eastAsia" w:ascii="宋体" w:hAnsi="宋体"/>
          <w:color w:val="000000" w:themeColor="text1"/>
          <w:highlight w:val="none"/>
          <w:lang w:val="en-US"/>
          <w14:textFill>
            <w14:solidFill>
              <w14:schemeClr w14:val="tx1"/>
            </w14:solidFill>
          </w14:textFill>
        </w:rPr>
        <w:t>⑤</w:t>
      </w:r>
      <w:r>
        <w:rPr>
          <w:rFonts w:hint="eastAsia" w:cs="Times New Roman"/>
          <w:color w:val="000000" w:themeColor="text1"/>
          <w:highlight w:val="none"/>
          <w:lang w:val="en-US"/>
          <w14:textFill>
            <w14:solidFill>
              <w14:schemeClr w14:val="tx1"/>
            </w14:solidFill>
          </w14:textFill>
        </w:rPr>
        <w:t>；</w:t>
      </w:r>
      <w:r>
        <w:rPr>
          <w:rFonts w:hint="eastAsia" w:ascii="宋体" w:hAnsi="宋体"/>
          <w:color w:val="000000" w:themeColor="text1"/>
          <w:highlight w:val="none"/>
          <w:lang w:val="en-US"/>
          <w14:textFill>
            <w14:solidFill>
              <w14:schemeClr w14:val="tx1"/>
            </w14:solidFill>
          </w14:textFill>
        </w:rPr>
        <w:t>⑦</w:t>
      </w:r>
      <w:r>
        <w:rPr>
          <w:rFonts w:cs="Times New Roman"/>
          <w:color w:val="000000" w:themeColor="text1"/>
          <w:highlight w:val="none"/>
          <w:lang w:val="en-US"/>
          <w14:textFill>
            <w14:solidFill>
              <w14:schemeClr w14:val="tx1"/>
            </w14:solidFill>
          </w14:textFill>
        </w:rPr>
        <w:t>=</w:t>
      </w:r>
      <w:r>
        <w:rPr>
          <w:rFonts w:hint="eastAsia" w:ascii="宋体" w:hAnsi="宋体"/>
          <w:color w:val="000000" w:themeColor="text1"/>
          <w:highlight w:val="none"/>
          <w:lang w:val="en-US"/>
          <w14:textFill>
            <w14:solidFill>
              <w14:schemeClr w14:val="tx1"/>
            </w14:solidFill>
          </w14:textFill>
        </w:rPr>
        <w:t>⑥</w:t>
      </w:r>
      <w:r>
        <w:rPr>
          <w:rFonts w:cs="Times New Roman"/>
          <w:color w:val="000000" w:themeColor="text1"/>
          <w:highlight w:val="none"/>
          <w:lang w:val="en-US"/>
          <w14:textFill>
            <w14:solidFill>
              <w14:schemeClr w14:val="tx1"/>
            </w14:solidFill>
          </w14:textFill>
        </w:rPr>
        <w:t>-</w:t>
      </w:r>
      <w:r>
        <w:rPr>
          <w:rFonts w:hint="eastAsia" w:ascii="宋体" w:hAnsi="宋体"/>
          <w:color w:val="000000" w:themeColor="text1"/>
          <w:highlight w:val="none"/>
          <w:lang w:val="en-US"/>
          <w14:textFill>
            <w14:solidFill>
              <w14:schemeClr w14:val="tx1"/>
            </w14:solidFill>
          </w14:textFill>
        </w:rPr>
        <w:t>①</w:t>
      </w:r>
      <w:bookmarkEnd w:id="16"/>
    </w:p>
    <w:p>
      <w:pPr>
        <w:rPr>
          <w:rFonts w:hint="default"/>
          <w:color w:val="000000" w:themeColor="text1"/>
          <w:highlight w:val="none"/>
          <w:lang w:val="en-US" w:eastAsia="zh-CN"/>
          <w14:textFill>
            <w14:solidFill>
              <w14:schemeClr w14:val="tx1"/>
            </w14:solidFill>
          </w14:textFill>
        </w:rPr>
        <w:sectPr>
          <w:pgSz w:w="16838" w:h="11906" w:orient="landscape"/>
          <w:pgMar w:top="1440" w:right="1080" w:bottom="1440" w:left="1080" w:header="851" w:footer="992" w:gutter="0"/>
          <w:cols w:space="425" w:num="1"/>
          <w:docGrid w:type="lines" w:linePitch="312" w:charSpace="0"/>
        </w:sectPr>
      </w:pPr>
    </w:p>
    <w:p>
      <w:pPr>
        <w:pStyle w:val="7"/>
        <w:jc w:val="center"/>
        <w:outlineLvl w:val="9"/>
        <w:rPr>
          <w:highlight w:val="none"/>
        </w:rPr>
      </w:pPr>
      <w:r>
        <w:rPr>
          <w:sz w:val="21"/>
          <w:highlight w:val="none"/>
        </w:rPr>
        <mc:AlternateContent>
          <mc:Choice Requires="wps">
            <w:drawing>
              <wp:anchor distT="0" distB="0" distL="114300" distR="114300" simplePos="0" relativeHeight="251661312" behindDoc="0" locked="0" layoutInCell="1" allowOverlap="1">
                <wp:simplePos x="0" y="0"/>
                <wp:positionH relativeFrom="column">
                  <wp:posOffset>4100195</wp:posOffset>
                </wp:positionH>
                <wp:positionV relativeFrom="paragraph">
                  <wp:posOffset>4182745</wp:posOffset>
                </wp:positionV>
                <wp:extent cx="2416810" cy="636270"/>
                <wp:effectExtent l="840105" t="6350" r="19685" b="919480"/>
                <wp:wrapNone/>
                <wp:docPr id="94" name="圆角矩形标注 94"/>
                <wp:cNvGraphicFramePr/>
                <a:graphic xmlns:a="http://schemas.openxmlformats.org/drawingml/2006/main">
                  <a:graphicData uri="http://schemas.microsoft.com/office/word/2010/wordprocessingShape">
                    <wps:wsp>
                      <wps:cNvSpPr/>
                      <wps:spPr>
                        <a:xfrm>
                          <a:off x="4520565" y="6111240"/>
                          <a:ext cx="2416810" cy="636270"/>
                        </a:xfrm>
                        <a:prstGeom prst="wedgeRoundRectCallout">
                          <a:avLst>
                            <a:gd name="adj1" fmla="val -82923"/>
                            <a:gd name="adj2" fmla="val 188917"/>
                            <a:gd name="adj3" fmla="val 1666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本项目位置</w:t>
                            </w:r>
                          </w:p>
                          <w:p>
                            <w:pPr>
                              <w:pStyle w:val="2"/>
                              <w:spacing w:line="240" w:lineRule="auto"/>
                              <w:rPr>
                                <w:rFonts w:hint="default"/>
                                <w:b/>
                                <w:bCs/>
                                <w:lang w:val="en-US" w:eastAsia="zh-CN"/>
                              </w:rPr>
                            </w:pPr>
                            <w:r>
                              <w:rPr>
                                <w:rFonts w:hint="default" w:ascii="Times New Roman" w:hAnsi="Times New Roman" w:cs="Times New Roman"/>
                                <w:b/>
                                <w:bCs/>
                                <w:color w:val="000000" w:themeColor="text1"/>
                                <w:lang w:val="en-US" w:eastAsia="zh-CN"/>
                                <w14:textFill>
                                  <w14:solidFill>
                                    <w14:schemeClr w14:val="tx1"/>
                                  </w14:solidFill>
                                </w14:textFill>
                              </w:rPr>
                              <w:t>113°</w:t>
                            </w:r>
                            <w:r>
                              <w:rPr>
                                <w:rFonts w:hint="eastAsia" w:ascii="Times New Roman" w:hAnsi="Times New Roman" w:cs="Times New Roman"/>
                                <w:b/>
                                <w:bCs/>
                                <w:color w:val="000000" w:themeColor="text1"/>
                                <w:lang w:val="en-US" w:eastAsia="zh-CN"/>
                                <w14:textFill>
                                  <w14:solidFill>
                                    <w14:schemeClr w14:val="tx1"/>
                                  </w14:solidFill>
                                </w14:textFill>
                              </w:rPr>
                              <w:t>31</w:t>
                            </w:r>
                            <w:r>
                              <w:rPr>
                                <w:rFonts w:hint="default" w:ascii="Times New Roman" w:hAnsi="Times New Roman" w:cs="Times New Roman"/>
                                <w:b/>
                                <w:bCs/>
                                <w:color w:val="000000" w:themeColor="text1"/>
                                <w:lang w:val="en-US" w:eastAsia="zh-CN"/>
                                <w14:textFill>
                                  <w14:solidFill>
                                    <w14:schemeClr w14:val="tx1"/>
                                  </w14:solidFill>
                                </w14:textFill>
                              </w:rPr>
                              <w:t>′</w:t>
                            </w:r>
                            <w:r>
                              <w:rPr>
                                <w:rFonts w:hint="eastAsia" w:ascii="Times New Roman" w:hAnsi="Times New Roman" w:cs="Times New Roman"/>
                                <w:b/>
                                <w:bCs/>
                                <w:color w:val="000000" w:themeColor="text1"/>
                                <w:lang w:val="en-US" w:eastAsia="zh-CN"/>
                                <w14:textFill>
                                  <w14:solidFill>
                                    <w14:schemeClr w14:val="tx1"/>
                                  </w14:solidFill>
                                </w14:textFill>
                              </w:rPr>
                              <w:t>49.624</w:t>
                            </w:r>
                            <w:r>
                              <w:rPr>
                                <w:rFonts w:hint="default" w:ascii="Times New Roman" w:hAnsi="Times New Roman" w:cs="Times New Roman"/>
                                <w:b/>
                                <w:bCs/>
                                <w:color w:val="000000" w:themeColor="text1"/>
                                <w:lang w:val="en-US" w:eastAsia="zh-CN"/>
                                <w14:textFill>
                                  <w14:solidFill>
                                    <w14:schemeClr w14:val="tx1"/>
                                  </w14:solidFill>
                                </w14:textFill>
                              </w:rPr>
                              <w:t>″</w:t>
                            </w:r>
                            <w:r>
                              <w:rPr>
                                <w:rFonts w:hint="eastAsia" w:ascii="Times New Roman" w:hAnsi="Times New Roman" w:cs="Times New Roman"/>
                                <w:b/>
                                <w:bCs/>
                                <w:color w:val="000000" w:themeColor="text1"/>
                                <w:lang w:val="en-US" w:eastAsia="zh-CN"/>
                                <w14:textFill>
                                  <w14:solidFill>
                                    <w14:schemeClr w14:val="tx1"/>
                                  </w14:solidFill>
                                </w14:textFill>
                              </w:rPr>
                              <w:t>，29</w:t>
                            </w:r>
                            <w:r>
                              <w:rPr>
                                <w:rFonts w:hint="default" w:ascii="Times New Roman" w:hAnsi="Times New Roman" w:cs="Times New Roman"/>
                                <w:b/>
                                <w:bCs/>
                                <w:color w:val="000000" w:themeColor="text1"/>
                                <w:lang w:val="en-US" w:eastAsia="zh-CN"/>
                                <w14:textFill>
                                  <w14:solidFill>
                                    <w14:schemeClr w14:val="tx1"/>
                                  </w14:solidFill>
                                </w14:textFill>
                              </w:rPr>
                              <w:t>°</w:t>
                            </w:r>
                            <w:r>
                              <w:rPr>
                                <w:rFonts w:hint="eastAsia" w:ascii="Times New Roman" w:hAnsi="Times New Roman" w:cs="Times New Roman"/>
                                <w:b/>
                                <w:bCs/>
                                <w:color w:val="000000" w:themeColor="text1"/>
                                <w:lang w:val="en-US" w:eastAsia="zh-CN"/>
                                <w14:textFill>
                                  <w14:solidFill>
                                    <w14:schemeClr w14:val="tx1"/>
                                  </w14:solidFill>
                                </w14:textFill>
                              </w:rPr>
                              <w:t>22</w:t>
                            </w:r>
                            <w:r>
                              <w:rPr>
                                <w:rFonts w:hint="default" w:ascii="Times New Roman" w:hAnsi="Times New Roman" w:cs="Times New Roman"/>
                                <w:b/>
                                <w:bCs/>
                                <w:color w:val="000000" w:themeColor="text1"/>
                                <w:lang w:val="en-US" w:eastAsia="zh-CN"/>
                                <w14:textFill>
                                  <w14:solidFill>
                                    <w14:schemeClr w14:val="tx1"/>
                                  </w14:solidFill>
                                </w14:textFill>
                              </w:rPr>
                              <w:t>′</w:t>
                            </w:r>
                            <w:r>
                              <w:rPr>
                                <w:rFonts w:hint="eastAsia" w:ascii="Times New Roman" w:hAnsi="Times New Roman" w:cs="Times New Roman"/>
                                <w:b/>
                                <w:bCs/>
                                <w:color w:val="000000" w:themeColor="text1"/>
                                <w:lang w:val="en-US" w:eastAsia="zh-CN"/>
                                <w14:textFill>
                                  <w14:solidFill>
                                    <w14:schemeClr w14:val="tx1"/>
                                  </w14:solidFill>
                                </w14:textFill>
                              </w:rPr>
                              <w:t>50.518</w:t>
                            </w:r>
                            <w:r>
                              <w:rPr>
                                <w:rFonts w:hint="default" w:ascii="Times New Roman" w:hAnsi="Times New Roman" w:cs="Times New Roman"/>
                                <w:b/>
                                <w:bCs/>
                                <w:color w:val="000000" w:themeColor="text1"/>
                                <w:lang w:val="en-US" w:eastAsia="zh-CN"/>
                                <w14:textFill>
                                  <w14:solidFill>
                                    <w14:schemeClr w14:val="tx1"/>
                                  </w14:solidFill>
                                </w14:textFill>
                              </w:rPr>
                              <w:t>″</w:t>
                            </w:r>
                          </w:p>
                          <w:p>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2.85pt;margin-top:329.35pt;height:50.1pt;width:190.3pt;z-index:251661312;v-text-anchor:middle;mso-width-relative:page;mso-height-relative:page;" filled="f" stroked="t" coordsize="21600,21600" o:gfxdata="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" adj="-7111,51606,14400">
                <v:fill on="f" focussize="0,0"/>
                <v:stroke weight="1pt" color="#000000 [3213]" miterlimit="8" joinstyle="miter"/>
                <v:imagedata o:title=""/>
                <o:lock v:ext="edit" aspectratio="f"/>
                <v:textbox>
                  <w:txbxContent>
                    <w:p>
                      <w:pPr>
                        <w:jc w:val="cente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本项目位置</w:t>
                      </w:r>
                    </w:p>
                    <w:p>
                      <w:pPr>
                        <w:pStyle w:val="2"/>
                        <w:spacing w:line="240" w:lineRule="auto"/>
                        <w:rPr>
                          <w:rFonts w:hint="default"/>
                          <w:b/>
                          <w:bCs/>
                          <w:lang w:val="en-US" w:eastAsia="zh-CN"/>
                        </w:rPr>
                      </w:pPr>
                      <w:r>
                        <w:rPr>
                          <w:rFonts w:hint="default" w:ascii="Times New Roman" w:hAnsi="Times New Roman" w:cs="Times New Roman"/>
                          <w:b/>
                          <w:bCs/>
                          <w:color w:val="000000" w:themeColor="text1"/>
                          <w:lang w:val="en-US" w:eastAsia="zh-CN"/>
                          <w14:textFill>
                            <w14:solidFill>
                              <w14:schemeClr w14:val="tx1"/>
                            </w14:solidFill>
                          </w14:textFill>
                        </w:rPr>
                        <w:t>113°</w:t>
                      </w:r>
                      <w:r>
                        <w:rPr>
                          <w:rFonts w:hint="eastAsia" w:ascii="Times New Roman" w:hAnsi="Times New Roman" w:cs="Times New Roman"/>
                          <w:b/>
                          <w:bCs/>
                          <w:color w:val="000000" w:themeColor="text1"/>
                          <w:lang w:val="en-US" w:eastAsia="zh-CN"/>
                          <w14:textFill>
                            <w14:solidFill>
                              <w14:schemeClr w14:val="tx1"/>
                            </w14:solidFill>
                          </w14:textFill>
                        </w:rPr>
                        <w:t>31</w:t>
                      </w:r>
                      <w:r>
                        <w:rPr>
                          <w:rFonts w:hint="default" w:ascii="Times New Roman" w:hAnsi="Times New Roman" w:cs="Times New Roman"/>
                          <w:b/>
                          <w:bCs/>
                          <w:color w:val="000000" w:themeColor="text1"/>
                          <w:lang w:val="en-US" w:eastAsia="zh-CN"/>
                          <w14:textFill>
                            <w14:solidFill>
                              <w14:schemeClr w14:val="tx1"/>
                            </w14:solidFill>
                          </w14:textFill>
                        </w:rPr>
                        <w:t>′</w:t>
                      </w:r>
                      <w:r>
                        <w:rPr>
                          <w:rFonts w:hint="eastAsia" w:ascii="Times New Roman" w:hAnsi="Times New Roman" w:cs="Times New Roman"/>
                          <w:b/>
                          <w:bCs/>
                          <w:color w:val="000000" w:themeColor="text1"/>
                          <w:lang w:val="en-US" w:eastAsia="zh-CN"/>
                          <w14:textFill>
                            <w14:solidFill>
                              <w14:schemeClr w14:val="tx1"/>
                            </w14:solidFill>
                          </w14:textFill>
                        </w:rPr>
                        <w:t>49.624</w:t>
                      </w:r>
                      <w:r>
                        <w:rPr>
                          <w:rFonts w:hint="default" w:ascii="Times New Roman" w:hAnsi="Times New Roman" w:cs="Times New Roman"/>
                          <w:b/>
                          <w:bCs/>
                          <w:color w:val="000000" w:themeColor="text1"/>
                          <w:lang w:val="en-US" w:eastAsia="zh-CN"/>
                          <w14:textFill>
                            <w14:solidFill>
                              <w14:schemeClr w14:val="tx1"/>
                            </w14:solidFill>
                          </w14:textFill>
                        </w:rPr>
                        <w:t>″</w:t>
                      </w:r>
                      <w:r>
                        <w:rPr>
                          <w:rFonts w:hint="eastAsia" w:ascii="Times New Roman" w:hAnsi="Times New Roman" w:cs="Times New Roman"/>
                          <w:b/>
                          <w:bCs/>
                          <w:color w:val="000000" w:themeColor="text1"/>
                          <w:lang w:val="en-US" w:eastAsia="zh-CN"/>
                          <w14:textFill>
                            <w14:solidFill>
                              <w14:schemeClr w14:val="tx1"/>
                            </w14:solidFill>
                          </w14:textFill>
                        </w:rPr>
                        <w:t>，29</w:t>
                      </w:r>
                      <w:r>
                        <w:rPr>
                          <w:rFonts w:hint="default" w:ascii="Times New Roman" w:hAnsi="Times New Roman" w:cs="Times New Roman"/>
                          <w:b/>
                          <w:bCs/>
                          <w:color w:val="000000" w:themeColor="text1"/>
                          <w:lang w:val="en-US" w:eastAsia="zh-CN"/>
                          <w14:textFill>
                            <w14:solidFill>
                              <w14:schemeClr w14:val="tx1"/>
                            </w14:solidFill>
                          </w14:textFill>
                        </w:rPr>
                        <w:t>°</w:t>
                      </w:r>
                      <w:r>
                        <w:rPr>
                          <w:rFonts w:hint="eastAsia" w:ascii="Times New Roman" w:hAnsi="Times New Roman" w:cs="Times New Roman"/>
                          <w:b/>
                          <w:bCs/>
                          <w:color w:val="000000" w:themeColor="text1"/>
                          <w:lang w:val="en-US" w:eastAsia="zh-CN"/>
                          <w14:textFill>
                            <w14:solidFill>
                              <w14:schemeClr w14:val="tx1"/>
                            </w14:solidFill>
                          </w14:textFill>
                        </w:rPr>
                        <w:t>22</w:t>
                      </w:r>
                      <w:r>
                        <w:rPr>
                          <w:rFonts w:hint="default" w:ascii="Times New Roman" w:hAnsi="Times New Roman" w:cs="Times New Roman"/>
                          <w:b/>
                          <w:bCs/>
                          <w:color w:val="000000" w:themeColor="text1"/>
                          <w:lang w:val="en-US" w:eastAsia="zh-CN"/>
                          <w14:textFill>
                            <w14:solidFill>
                              <w14:schemeClr w14:val="tx1"/>
                            </w14:solidFill>
                          </w14:textFill>
                        </w:rPr>
                        <w:t>′</w:t>
                      </w:r>
                      <w:r>
                        <w:rPr>
                          <w:rFonts w:hint="eastAsia" w:ascii="Times New Roman" w:hAnsi="Times New Roman" w:cs="Times New Roman"/>
                          <w:b/>
                          <w:bCs/>
                          <w:color w:val="000000" w:themeColor="text1"/>
                          <w:lang w:val="en-US" w:eastAsia="zh-CN"/>
                          <w14:textFill>
                            <w14:solidFill>
                              <w14:schemeClr w14:val="tx1"/>
                            </w14:solidFill>
                          </w14:textFill>
                        </w:rPr>
                        <w:t>50.518</w:t>
                      </w:r>
                      <w:r>
                        <w:rPr>
                          <w:rFonts w:hint="default" w:ascii="Times New Roman" w:hAnsi="Times New Roman" w:cs="Times New Roman"/>
                          <w:b/>
                          <w:bCs/>
                          <w:color w:val="000000" w:themeColor="text1"/>
                          <w:lang w:val="en-US" w:eastAsia="zh-CN"/>
                          <w14:textFill>
                            <w14:solidFill>
                              <w14:schemeClr w14:val="tx1"/>
                            </w14:solidFill>
                          </w14:textFill>
                        </w:rPr>
                        <w:t>″</w:t>
                      </w:r>
                    </w:p>
                    <w:p>
                      <w:pPr>
                        <w:pStyle w:val="2"/>
                        <w:rPr>
                          <w:rFonts w:hint="default"/>
                          <w:lang w:val="en-US" w:eastAsia="zh-CN"/>
                        </w:rPr>
                      </w:pPr>
                    </w:p>
                  </w:txbxContent>
                </v:textbox>
              </v:shape>
            </w:pict>
          </mc:Fallback>
        </mc:AlternateContent>
      </w:r>
      <w:r>
        <w:rPr>
          <w:sz w:val="21"/>
          <w:highlight w:val="none"/>
        </w:rPr>
        <mc:AlternateContent>
          <mc:Choice Requires="wps">
            <w:drawing>
              <wp:anchor distT="0" distB="0" distL="114300" distR="114300" simplePos="0" relativeHeight="251660288" behindDoc="0" locked="0" layoutInCell="1" allowOverlap="1">
                <wp:simplePos x="0" y="0"/>
                <wp:positionH relativeFrom="column">
                  <wp:posOffset>3211195</wp:posOffset>
                </wp:positionH>
                <wp:positionV relativeFrom="paragraph">
                  <wp:posOffset>5687060</wp:posOffset>
                </wp:positionV>
                <wp:extent cx="104775" cy="99695"/>
                <wp:effectExtent l="6350" t="6350" r="22225" b="8255"/>
                <wp:wrapNone/>
                <wp:docPr id="93" name="椭圆 93"/>
                <wp:cNvGraphicFramePr/>
                <a:graphic xmlns:a="http://schemas.openxmlformats.org/drawingml/2006/main">
                  <a:graphicData uri="http://schemas.microsoft.com/office/word/2010/wordprocessingShape">
                    <wps:wsp>
                      <wps:cNvSpPr/>
                      <wps:spPr>
                        <a:xfrm>
                          <a:off x="3901440" y="6659245"/>
                          <a:ext cx="104775" cy="9969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2.85pt;margin-top:447.8pt;height:7.85pt;width:8.25pt;z-index:251660288;v-text-anchor:middle;mso-width-relative:page;mso-height-relative:page;" fillcolor="#FF0000" filled="t" stroked="t" coordsize="21600,21600" o:gfxdata="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bWRvDXAAAACwEAAA8AAAAAAAAAAQAgAAAAIgAA&#10;AGRycy9kb3ducmV2LnhtbFBLAQIUABQAAAAIAIdO4kAkr1XqewIAAAMFAAAOAAAAAAAAAAEAIAAA&#10;ACYBAABkcnMvZTJvRG9jLnhtbFBLBQYAAAAABgAGAFkBAAATBgAAAAA=&#10;">
                <v:fill on="t" focussize="0,0"/>
                <v:stroke weight="1pt" color="#FF0000 [2404]" miterlimit="8" joinstyle="miter"/>
                <v:imagedata o:title=""/>
                <o:lock v:ext="edit" aspectratio="f"/>
              </v:shape>
            </w:pict>
          </mc:Fallback>
        </mc:AlternateContent>
      </w:r>
      <w:r>
        <w:rPr>
          <w:highlight w:val="none"/>
        </w:rPr>
        <w:drawing>
          <wp:inline distT="0" distB="0" distL="114300" distR="114300">
            <wp:extent cx="5970270" cy="8470265"/>
            <wp:effectExtent l="0" t="0" r="11430" b="6985"/>
            <wp:docPr id="92" name="图片 92" descr="临湘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临湘市"/>
                    <pic:cNvPicPr>
                      <a:picLocks noChangeAspect="1"/>
                    </pic:cNvPicPr>
                  </pic:nvPicPr>
                  <pic:blipFill>
                    <a:blip r:embed="rId20"/>
                    <a:stretch>
                      <a:fillRect/>
                    </a:stretch>
                  </pic:blipFill>
                  <pic:spPr>
                    <a:xfrm>
                      <a:off x="0" y="0"/>
                      <a:ext cx="5970270" cy="8470265"/>
                    </a:xfrm>
                    <a:prstGeom prst="rect">
                      <a:avLst/>
                    </a:prstGeom>
                  </pic:spPr>
                </pic:pic>
              </a:graphicData>
            </a:graphic>
          </wp:inline>
        </w:drawing>
      </w:r>
    </w:p>
    <w:p>
      <w:pPr>
        <w:pStyle w:val="7"/>
        <w:jc w:val="center"/>
        <w:outlineLvl w:val="0"/>
        <w:rPr>
          <w:rFonts w:hint="eastAsia" w:ascii="Times New Roman" w:hAnsi="Times New Roman" w:eastAsia="宋体" w:cs="Times New Roman"/>
          <w:b/>
          <w:bCs/>
          <w:color w:val="000000" w:themeColor="text1"/>
          <w:kern w:val="2"/>
          <w:sz w:val="24"/>
          <w:szCs w:val="32"/>
          <w:highlight w:val="none"/>
          <w:lang w:val="en-US" w:eastAsia="zh-CN" w:bidi="zh-CN"/>
          <w14:textFill>
            <w14:solidFill>
              <w14:schemeClr w14:val="tx1"/>
            </w14:solidFill>
          </w14:textFill>
        </w:rPr>
      </w:pPr>
      <w:r>
        <w:rPr>
          <w:rFonts w:hint="eastAsia" w:ascii="Times New Roman" w:hAnsi="Times New Roman" w:eastAsia="宋体" w:cs="Times New Roman"/>
          <w:b/>
          <w:bCs/>
          <w:color w:val="000000" w:themeColor="text1"/>
          <w:kern w:val="2"/>
          <w:sz w:val="24"/>
          <w:szCs w:val="32"/>
          <w:highlight w:val="none"/>
          <w:lang w:val="en-US" w:eastAsia="zh-CN" w:bidi="zh-CN"/>
          <w14:textFill>
            <w14:solidFill>
              <w14:schemeClr w14:val="tx1"/>
            </w14:solidFill>
          </w14:textFill>
        </w:rPr>
        <w:t>附图1项目地理位置图</w:t>
      </w:r>
    </w:p>
    <w:p>
      <w:pPr>
        <w:pStyle w:val="7"/>
        <w:jc w:val="center"/>
        <w:outlineLvl w:val="0"/>
        <w:rPr>
          <w:rFonts w:hint="default" w:ascii="Times New Roman" w:hAnsi="Times New Roman" w:eastAsia="宋体" w:cs="Times New Roman"/>
          <w:b/>
          <w:bCs/>
          <w:color w:val="000000" w:themeColor="text1"/>
          <w:kern w:val="2"/>
          <w:sz w:val="24"/>
          <w:szCs w:val="32"/>
          <w:highlight w:val="none"/>
          <w:lang w:val="en-US" w:eastAsia="zh-CN" w:bidi="zh-CN"/>
          <w14:textFill>
            <w14:solidFill>
              <w14:schemeClr w14:val="tx1"/>
            </w14:solidFill>
          </w14:textFill>
        </w:rPr>
        <w:sectPr>
          <w:pgSz w:w="11906" w:h="16838"/>
          <w:pgMar w:top="1440" w:right="1080" w:bottom="1440" w:left="1080" w:header="851" w:footer="992" w:gutter="0"/>
          <w:cols w:space="425" w:num="1"/>
          <w:docGrid w:type="lines" w:linePitch="312" w:charSpace="0"/>
        </w:sectPr>
      </w:pPr>
    </w:p>
    <w:p>
      <w:pPr>
        <w:jc w:val="center"/>
        <w:outlineLvl w:val="9"/>
        <w:rPr>
          <w:rFonts w:hint="default" w:ascii="Times New Roman" w:hAnsi="Times New Roman" w:eastAsia="宋体" w:cs="Times New Roman"/>
          <w:b/>
          <w:bCs/>
          <w:color w:val="000000" w:themeColor="text1"/>
          <w:kern w:val="2"/>
          <w:sz w:val="24"/>
          <w:szCs w:val="32"/>
          <w:highlight w:val="none"/>
          <w:lang w:val="en-US" w:eastAsia="zh-CN" w:bidi="zh-CN"/>
          <w14:textFill>
            <w14:solidFill>
              <w14:schemeClr w14:val="tx1"/>
            </w14:solidFill>
          </w14:textFill>
        </w:rPr>
      </w:pPr>
      <w:r>
        <w:rPr>
          <w:sz w:val="24"/>
          <w:highlight w:val="none"/>
        </w:rPr>
        <mc:AlternateContent>
          <mc:Choice Requires="wps">
            <w:drawing>
              <wp:anchor distT="0" distB="0" distL="114300" distR="114300" simplePos="0" relativeHeight="251716608" behindDoc="0" locked="0" layoutInCell="1" allowOverlap="1">
                <wp:simplePos x="0" y="0"/>
                <wp:positionH relativeFrom="column">
                  <wp:posOffset>6529705</wp:posOffset>
                </wp:positionH>
                <wp:positionV relativeFrom="paragraph">
                  <wp:posOffset>3824605</wp:posOffset>
                </wp:positionV>
                <wp:extent cx="1059815" cy="341630"/>
                <wp:effectExtent l="792480" t="387985" r="14605" b="13335"/>
                <wp:wrapNone/>
                <wp:docPr id="116" name="矩形标注 116"/>
                <wp:cNvGraphicFramePr/>
                <a:graphic xmlns:a="http://schemas.openxmlformats.org/drawingml/2006/main">
                  <a:graphicData uri="http://schemas.microsoft.com/office/word/2010/wordprocessingShape">
                    <wps:wsp>
                      <wps:cNvSpPr/>
                      <wps:spPr>
                        <a:xfrm>
                          <a:off x="0" y="0"/>
                          <a:ext cx="1059815" cy="341630"/>
                        </a:xfrm>
                        <a:prstGeom prst="wedgeRectCallout">
                          <a:avLst>
                            <a:gd name="adj1" fmla="val -120101"/>
                            <a:gd name="adj2" fmla="val -157434"/>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浮筒取水泵</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14.15pt;margin-top:301.15pt;height:26.9pt;width:83.45pt;z-index:251716608;v-text-anchor:middle;mso-width-relative:page;mso-height-relative:page;" fillcolor="#FFFFFF [3212]" filled="t" stroked="t" coordsize="21600,21600" o:gfxdata="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AQYyos2wAAAA0BAAAPAAAAAAAAAAEAIAAAACIAAABk&#10;cnMvZG93bnJldi54bWxQSwECFAAUAAAACACHTuJANgCcBq4CAABqBQAADgAAAAAAAAABACAAAAAq&#10;AQAAZHJzL2Uyb0RvYy54bWxQSwUGAAAAAAYABgBZAQAASgYAAAAA&#10;" adj="-15142,-23206">
                <v:fill on="t" focussize="0,0"/>
                <v:stroke weight="1pt" color="#000000 [3213]" miterlimit="8" joinstyle="miter"/>
                <v:imagedata o:title=""/>
                <o:lock v:ext="edit" aspectratio="f"/>
                <v:textbo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浮筒取水泵</w:t>
                      </w:r>
                    </w:p>
                  </w:txbxContent>
                </v:textbox>
              </v:shape>
            </w:pict>
          </mc:Fallback>
        </mc:AlternateContent>
      </w:r>
      <w:r>
        <w:rPr>
          <w:sz w:val="24"/>
          <w:highlight w:val="none"/>
        </w:rPr>
        <mc:AlternateContent>
          <mc:Choice Requires="wps">
            <w:drawing>
              <wp:anchor distT="0" distB="0" distL="114300" distR="114300" simplePos="0" relativeHeight="251729920" behindDoc="0" locked="0" layoutInCell="1" allowOverlap="1">
                <wp:simplePos x="0" y="0"/>
                <wp:positionH relativeFrom="column">
                  <wp:posOffset>4330065</wp:posOffset>
                </wp:positionH>
                <wp:positionV relativeFrom="paragraph">
                  <wp:posOffset>1303655</wp:posOffset>
                </wp:positionV>
                <wp:extent cx="2270125" cy="528955"/>
                <wp:effectExtent l="6350" t="6350" r="9525" b="1083945"/>
                <wp:wrapNone/>
                <wp:docPr id="13" name="矩形标注 13"/>
                <wp:cNvGraphicFramePr/>
                <a:graphic xmlns:a="http://schemas.openxmlformats.org/drawingml/2006/main">
                  <a:graphicData uri="http://schemas.microsoft.com/office/word/2010/wordprocessingShape">
                    <wps:wsp>
                      <wps:cNvSpPr/>
                      <wps:spPr>
                        <a:xfrm>
                          <a:off x="0" y="0"/>
                          <a:ext cx="2270125" cy="528955"/>
                        </a:xfrm>
                        <a:prstGeom prst="wedgeRectCallout">
                          <a:avLst>
                            <a:gd name="adj1" fmla="val -15538"/>
                            <a:gd name="adj2" fmla="val 248799"/>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spacing w:line="240" w:lineRule="auto"/>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管理区位置</w:t>
                            </w:r>
                          </w:p>
                          <w:p>
                            <w:pPr>
                              <w:pStyle w:val="2"/>
                              <w:spacing w:line="240" w:lineRule="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113°</w:t>
                            </w:r>
                            <w:r>
                              <w:rPr>
                                <w:rFonts w:hint="eastAsia" w:ascii="Times New Roman" w:hAnsi="Times New Roman" w:cs="Times New Roman"/>
                                <w:color w:val="000000" w:themeColor="text1"/>
                                <w:lang w:val="en-US" w:eastAsia="zh-CN"/>
                                <w14:textFill>
                                  <w14:solidFill>
                                    <w14:schemeClr w14:val="tx1"/>
                                  </w14:solidFill>
                                </w14:textFill>
                              </w:rPr>
                              <w:t>31</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49.064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，29</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22</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54.187</w:t>
                            </w:r>
                            <w:r>
                              <w:rPr>
                                <w:rFonts w:hint="default" w:ascii="Times New Roman" w:hAnsi="Times New Roman" w:cs="Times New Roman"/>
                                <w:color w:val="000000" w:themeColor="text1"/>
                                <w:lang w:val="en-US" w:eastAsia="zh-CN"/>
                                <w14:textFill>
                                  <w14:solidFill>
                                    <w14:schemeClr w14:val="tx1"/>
                                  </w14:solidFill>
                                </w14:textFill>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0.95pt;margin-top:102.65pt;height:41.65pt;width:178.75pt;z-index:251729920;v-text-anchor:middle;mso-width-relative:page;mso-height-relative:page;" fillcolor="#FFFFFF [3212]" filled="t" stroked="t" coordsize="21600,21600" o:gfxdata="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vFLyhd0AAAAMAQAADwAAAAAAAAABACAAAAAiAAAA&#10;ZHJzL2Rvd25yZXYueG1sUEsBAhQAFAAAAAgAh07iQFXJlh2tAgAAZgUAAA4AAAAAAAAAAQAgAAAA&#10;LAEAAGRycy9lMm9Eb2MueG1sUEsFBgAAAAAGAAYAWQEAAEsGAAAAAA==&#10;" adj="7444,64541">
                <v:fill on="t" focussize="0,0"/>
                <v:stroke weight="1pt" color="#000000 [3213]" miterlimit="8" joinstyle="miter"/>
                <v:imagedata o:title=""/>
                <o:lock v:ext="edit" aspectratio="f"/>
                <v:textbox>
                  <w:txbxContent>
                    <w:p>
                      <w:pPr>
                        <w:spacing w:line="240" w:lineRule="auto"/>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管理区位置</w:t>
                      </w:r>
                    </w:p>
                    <w:p>
                      <w:pPr>
                        <w:pStyle w:val="2"/>
                        <w:spacing w:line="240" w:lineRule="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113°</w:t>
                      </w:r>
                      <w:r>
                        <w:rPr>
                          <w:rFonts w:hint="eastAsia" w:ascii="Times New Roman" w:hAnsi="Times New Roman" w:cs="Times New Roman"/>
                          <w:color w:val="000000" w:themeColor="text1"/>
                          <w:lang w:val="en-US" w:eastAsia="zh-CN"/>
                          <w14:textFill>
                            <w14:solidFill>
                              <w14:schemeClr w14:val="tx1"/>
                            </w14:solidFill>
                          </w14:textFill>
                        </w:rPr>
                        <w:t>31</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49.064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，29</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22</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54.187</w:t>
                      </w:r>
                      <w:r>
                        <w:rPr>
                          <w:rFonts w:hint="default" w:ascii="Times New Roman" w:hAnsi="Times New Roman" w:cs="Times New Roman"/>
                          <w:color w:val="000000" w:themeColor="text1"/>
                          <w:lang w:val="en-US" w:eastAsia="zh-CN"/>
                          <w14:textFill>
                            <w14:solidFill>
                              <w14:schemeClr w14:val="tx1"/>
                            </w14:solidFill>
                          </w14:textFill>
                        </w:rPr>
                        <w:t>″</w:t>
                      </w:r>
                    </w:p>
                  </w:txbxContent>
                </v:textbox>
              </v:shape>
            </w:pict>
          </mc:Fallback>
        </mc:AlternateContent>
      </w:r>
      <w:r>
        <w:rPr>
          <w:sz w:val="24"/>
          <w:highlight w:val="none"/>
        </w:rPr>
        <mc:AlternateContent>
          <mc:Choice Requires="wps">
            <w:drawing>
              <wp:anchor distT="0" distB="0" distL="114300" distR="114300" simplePos="0" relativeHeight="251728896" behindDoc="0" locked="0" layoutInCell="1" allowOverlap="1">
                <wp:simplePos x="0" y="0"/>
                <wp:positionH relativeFrom="column">
                  <wp:posOffset>5634990</wp:posOffset>
                </wp:positionH>
                <wp:positionV relativeFrom="paragraph">
                  <wp:posOffset>2541270</wp:posOffset>
                </wp:positionV>
                <wp:extent cx="2166620" cy="547370"/>
                <wp:effectExtent l="0" t="0" r="5080" b="5080"/>
                <wp:wrapNone/>
                <wp:docPr id="99" name="文本框 99"/>
                <wp:cNvGraphicFramePr/>
                <a:graphic xmlns:a="http://schemas.openxmlformats.org/drawingml/2006/main">
                  <a:graphicData uri="http://schemas.microsoft.com/office/word/2010/wordprocessingShape">
                    <wps:wsp>
                      <wps:cNvSpPr txBox="1"/>
                      <wps:spPr>
                        <a:xfrm>
                          <a:off x="0" y="0"/>
                          <a:ext cx="2166620" cy="5473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lang w:val="en-US" w:eastAsia="zh-CN"/>
                              </w:rPr>
                            </w:pPr>
                            <w:r>
                              <w:rPr>
                                <w:rFonts w:hint="eastAsia"/>
                                <w:lang w:val="en-US" w:eastAsia="zh-CN"/>
                              </w:rPr>
                              <w:t>水厂位置</w:t>
                            </w:r>
                          </w:p>
                          <w:p>
                            <w:pPr>
                              <w:pStyle w:val="2"/>
                              <w:spacing w:line="240" w:lineRule="auto"/>
                              <w:rPr>
                                <w:rFonts w:hint="default"/>
                                <w:lang w:val="en-US" w:eastAsia="zh-CN"/>
                              </w:rPr>
                            </w:pPr>
                            <w:r>
                              <w:rPr>
                                <w:rFonts w:hint="default" w:ascii="Times New Roman" w:hAnsi="Times New Roman" w:cs="Times New Roman"/>
                                <w:color w:val="000000" w:themeColor="text1"/>
                                <w:lang w:val="en-US" w:eastAsia="zh-CN"/>
                                <w14:textFill>
                                  <w14:solidFill>
                                    <w14:schemeClr w14:val="tx1"/>
                                  </w14:solidFill>
                                </w14:textFill>
                              </w:rPr>
                              <w:t>113°</w:t>
                            </w:r>
                            <w:r>
                              <w:rPr>
                                <w:rFonts w:hint="eastAsia" w:ascii="Times New Roman" w:hAnsi="Times New Roman" w:cs="Times New Roman"/>
                                <w:color w:val="000000" w:themeColor="text1"/>
                                <w:lang w:val="en-US" w:eastAsia="zh-CN"/>
                                <w14:textFill>
                                  <w14:solidFill>
                                    <w14:schemeClr w14:val="tx1"/>
                                  </w14:solidFill>
                                </w14:textFill>
                              </w:rPr>
                              <w:t>31</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49.624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，29</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22</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50.518</w:t>
                            </w:r>
                            <w:r>
                              <w:rPr>
                                <w:rFonts w:hint="default" w:ascii="Times New Roman" w:hAnsi="Times New Roman" w:cs="Times New Roman"/>
                                <w:color w:val="000000" w:themeColor="text1"/>
                                <w:lang w:val="en-US" w:eastAsia="zh-CN"/>
                                <w14:textFill>
                                  <w14:solidFill>
                                    <w14:schemeClr w14:val="tx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3.7pt;margin-top:200.1pt;height:43.1pt;width:170.6pt;z-index:251728896;mso-width-relative:page;mso-height-relative:page;" fillcolor="#FFFFFF [3201]" filled="t" stroked="f" coordsize="21600,21600" o:gfxdata="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3pmXQ1gAAAAwBAAAP&#10;AAAAAAAAAAEAIAAAACIAAABkcnMvZG93bnJldi54bWxQSwECFAAUAAAACACHTuJAeMfHp1MCAACR&#10;BAAADgAAAAAAAAABACAAAAAlAQAAZHJzL2Uyb0RvYy54bWxQSwUGAAAAAAYABgBZAQAA6gUAAAAA&#10;">
                <v:fill on="t" focussize="0,0"/>
                <v:stroke on="f" weight="0.5pt"/>
                <v:imagedata o:title=""/>
                <o:lock v:ext="edit" aspectratio="f"/>
                <v:textbox>
                  <w:txbxContent>
                    <w:p>
                      <w:pPr>
                        <w:jc w:val="center"/>
                        <w:rPr>
                          <w:rFonts w:hint="eastAsia"/>
                          <w:lang w:val="en-US" w:eastAsia="zh-CN"/>
                        </w:rPr>
                      </w:pPr>
                      <w:r>
                        <w:rPr>
                          <w:rFonts w:hint="eastAsia"/>
                          <w:lang w:val="en-US" w:eastAsia="zh-CN"/>
                        </w:rPr>
                        <w:t>水厂位置</w:t>
                      </w:r>
                    </w:p>
                    <w:p>
                      <w:pPr>
                        <w:pStyle w:val="2"/>
                        <w:spacing w:line="240" w:lineRule="auto"/>
                        <w:rPr>
                          <w:rFonts w:hint="default"/>
                          <w:lang w:val="en-US" w:eastAsia="zh-CN"/>
                        </w:rPr>
                      </w:pPr>
                      <w:r>
                        <w:rPr>
                          <w:rFonts w:hint="default" w:ascii="Times New Roman" w:hAnsi="Times New Roman" w:cs="Times New Roman"/>
                          <w:color w:val="000000" w:themeColor="text1"/>
                          <w:lang w:val="en-US" w:eastAsia="zh-CN"/>
                          <w14:textFill>
                            <w14:solidFill>
                              <w14:schemeClr w14:val="tx1"/>
                            </w14:solidFill>
                          </w14:textFill>
                        </w:rPr>
                        <w:t>113°</w:t>
                      </w:r>
                      <w:r>
                        <w:rPr>
                          <w:rFonts w:hint="eastAsia" w:ascii="Times New Roman" w:hAnsi="Times New Roman" w:cs="Times New Roman"/>
                          <w:color w:val="000000" w:themeColor="text1"/>
                          <w:lang w:val="en-US" w:eastAsia="zh-CN"/>
                          <w14:textFill>
                            <w14:solidFill>
                              <w14:schemeClr w14:val="tx1"/>
                            </w14:solidFill>
                          </w14:textFill>
                        </w:rPr>
                        <w:t>31</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49.624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，29</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22</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50.518</w:t>
                      </w:r>
                      <w:r>
                        <w:rPr>
                          <w:rFonts w:hint="default" w:ascii="Times New Roman" w:hAnsi="Times New Roman" w:cs="Times New Roman"/>
                          <w:color w:val="000000" w:themeColor="text1"/>
                          <w:lang w:val="en-US" w:eastAsia="zh-CN"/>
                          <w14:textFill>
                            <w14:solidFill>
                              <w14:schemeClr w14:val="tx1"/>
                            </w14:solidFill>
                          </w14:textFill>
                        </w:rPr>
                        <w:t>″</w:t>
                      </w:r>
                    </w:p>
                  </w:txbxContent>
                </v:textbox>
              </v:shape>
            </w:pict>
          </mc:Fallback>
        </mc:AlternateContent>
      </w:r>
      <w:r>
        <w:rPr>
          <w:sz w:val="24"/>
          <w:highlight w:val="none"/>
        </w:rPr>
        <mc:AlternateContent>
          <mc:Choice Requires="wps">
            <w:drawing>
              <wp:anchor distT="0" distB="0" distL="114300" distR="114300" simplePos="0" relativeHeight="251717632" behindDoc="0" locked="0" layoutInCell="1" allowOverlap="1">
                <wp:simplePos x="0" y="0"/>
                <wp:positionH relativeFrom="column">
                  <wp:posOffset>5661660</wp:posOffset>
                </wp:positionH>
                <wp:positionV relativeFrom="paragraph">
                  <wp:posOffset>4319905</wp:posOffset>
                </wp:positionV>
                <wp:extent cx="822325" cy="351155"/>
                <wp:effectExtent l="84455" t="880745" r="7620" b="6350"/>
                <wp:wrapNone/>
                <wp:docPr id="117" name="矩形标注 117"/>
                <wp:cNvGraphicFramePr/>
                <a:graphic xmlns:a="http://schemas.openxmlformats.org/drawingml/2006/main">
                  <a:graphicData uri="http://schemas.microsoft.com/office/word/2010/wordprocessingShape">
                    <wps:wsp>
                      <wps:cNvSpPr/>
                      <wps:spPr>
                        <a:xfrm>
                          <a:off x="0" y="0"/>
                          <a:ext cx="822325" cy="351155"/>
                        </a:xfrm>
                        <a:prstGeom prst="wedgeRectCallout">
                          <a:avLst>
                            <a:gd name="adj1" fmla="val -58030"/>
                            <a:gd name="adj2" fmla="val -287166"/>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输水管道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45.8pt;margin-top:340.15pt;height:27.65pt;width:64.75pt;z-index:251717632;v-text-anchor:middle;mso-width-relative:page;mso-height-relative:page;" fillcolor="#FFFFFF [3212]" filled="t" stroked="t" coordsize="21600,21600" o:gfxdata="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&#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F/NN0raAAAADAEAAA8AAAAAAAAAAQAgAAAAIgAAAGRy&#10;cy9kb3ducmV2LnhtbFBLAQIUABQAAAAIAIdO4kCv620prgIAAGgFAAAOAAAAAAAAAAEAIAAAACkB&#10;AABkcnMvZTJvRG9jLnhtbFBLBQYAAAAABgAGAFkBAABJBgAAAAA=&#10;" adj="-1734,-51228">
                <v:fill on="t" focussize="0,0"/>
                <v:stroke weight="1pt" color="#000000 [3213]" miterlimit="8" joinstyle="miter"/>
                <v:imagedata o:title=""/>
                <o:lock v:ext="edit" aspectratio="f"/>
                <v:textbo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输水管道</w:t>
                      </w:r>
                    </w:p>
                  </w:txbxContent>
                </v:textbox>
              </v:shape>
            </w:pict>
          </mc:Fallback>
        </mc:AlternateContent>
      </w:r>
      <w:r>
        <w:rPr>
          <w:sz w:val="24"/>
          <w:highlight w:val="none"/>
        </w:rPr>
        <mc:AlternateContent>
          <mc:Choice Requires="wps">
            <w:drawing>
              <wp:anchor distT="0" distB="0" distL="114300" distR="114300" simplePos="0" relativeHeight="251719680" behindDoc="0" locked="0" layoutInCell="1" allowOverlap="1">
                <wp:simplePos x="0" y="0"/>
                <wp:positionH relativeFrom="column">
                  <wp:posOffset>3443605</wp:posOffset>
                </wp:positionH>
                <wp:positionV relativeFrom="paragraph">
                  <wp:posOffset>3139440</wp:posOffset>
                </wp:positionV>
                <wp:extent cx="822325" cy="393065"/>
                <wp:effectExtent l="6350" t="6350" r="923925" b="172085"/>
                <wp:wrapNone/>
                <wp:docPr id="124" name="矩形标注 124"/>
                <wp:cNvGraphicFramePr/>
                <a:graphic xmlns:a="http://schemas.openxmlformats.org/drawingml/2006/main">
                  <a:graphicData uri="http://schemas.microsoft.com/office/word/2010/wordprocessingShape">
                    <wps:wsp>
                      <wps:cNvSpPr/>
                      <wps:spPr>
                        <a:xfrm>
                          <a:off x="0" y="0"/>
                          <a:ext cx="822325" cy="393065"/>
                        </a:xfrm>
                        <a:prstGeom prst="wedgeRectCallout">
                          <a:avLst>
                            <a:gd name="adj1" fmla="val 154324"/>
                            <a:gd name="adj2" fmla="val 86025"/>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施工营地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1.15pt;margin-top:247.2pt;height:30.95pt;width:64.75pt;z-index:251719680;v-text-anchor:middle;mso-width-relative:page;mso-height-relative:page;" fillcolor="#FFFFFF [3212]" filled="t" stroked="t" coordsize="21600,21600" o:gfxdata="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L/aHYAAAACwEAAA8AAAAAAAAAAQAgAAAAIgAAAGRycy9k&#10;b3ducmV2LnhtbFBLAQIUABQAAAAIAIdO4kCR3/HyrQIAAGYFAAAOAAAAAAAAAAEAIAAAACcBAABk&#10;cnMvZTJvRG9jLnhtbFBLBQYAAAAABgAGAFkBAABGBgAAAAA=&#10;" adj="44134,29381">
                <v:fill on="t" focussize="0,0"/>
                <v:stroke weight="1pt" color="#000000 [3213]" miterlimit="8" joinstyle="miter"/>
                <v:imagedata o:title=""/>
                <o:lock v:ext="edit" aspectratio="f"/>
                <v:textbo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施工营地</w:t>
                      </w:r>
                    </w:p>
                  </w:txbxContent>
                </v:textbox>
              </v:shape>
            </w:pict>
          </mc:Fallback>
        </mc:AlternateContent>
      </w:r>
      <w:r>
        <w:rPr>
          <w:sz w:val="24"/>
          <w:highlight w:val="none"/>
        </w:rPr>
        <mc:AlternateContent>
          <mc:Choice Requires="wps">
            <w:drawing>
              <wp:anchor distT="0" distB="0" distL="114300" distR="114300" simplePos="0" relativeHeight="251718656" behindDoc="0" locked="0" layoutInCell="1" allowOverlap="1">
                <wp:simplePos x="0" y="0"/>
                <wp:positionH relativeFrom="column">
                  <wp:posOffset>5162550</wp:posOffset>
                </wp:positionH>
                <wp:positionV relativeFrom="paragraph">
                  <wp:posOffset>3655060</wp:posOffset>
                </wp:positionV>
                <wp:extent cx="76200" cy="76200"/>
                <wp:effectExtent l="6350" t="6350" r="12700" b="12700"/>
                <wp:wrapNone/>
                <wp:docPr id="123" name="矩形 123"/>
                <wp:cNvGraphicFramePr/>
                <a:graphic xmlns:a="http://schemas.openxmlformats.org/drawingml/2006/main">
                  <a:graphicData uri="http://schemas.microsoft.com/office/word/2010/wordprocessingShape">
                    <wps:wsp>
                      <wps:cNvSpPr/>
                      <wps:spPr>
                        <a:xfrm>
                          <a:off x="5909310" y="4554220"/>
                          <a:ext cx="76200" cy="76200"/>
                        </a:xfrm>
                        <a:prstGeom prst="rect">
                          <a:avLst/>
                        </a:prstGeom>
                        <a:solidFill>
                          <a:srgbClr val="FFC000"/>
                        </a:solid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6.5pt;margin-top:287.8pt;height:6pt;width:6pt;z-index:251718656;v-text-anchor:middle;mso-width-relative:page;mso-height-relative:page;" fillcolor="#FFC000" filled="t" stroked="t" coordsize="21600,21600" o:gfxdata="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wPA6DYAAAACwEAAA8AAAAAAAAAAQAgAAAAIgAAAGRycy9k&#10;b3ducmV2LnhtbFBLAQIUABQAAAAIAIdO4kC2XXt7dAIAAAEFAAAOAAAAAAAAAAEAIAAAACcBAABk&#10;cnMvZTJvRG9jLnhtbFBLBQYAAAAABgAGAFkBAAANBgAAAAA=&#10;">
                <v:fill on="t" focussize="0,0"/>
                <v:stroke weight="1pt" color="#FFC000 [2404]" miterlimit="8" joinstyle="miter"/>
                <v:imagedata o:title=""/>
                <o:lock v:ext="edit" aspectratio="f"/>
              </v:rect>
            </w:pict>
          </mc:Fallback>
        </mc:AlternateContent>
      </w:r>
      <w:r>
        <w:rPr>
          <w:sz w:val="24"/>
          <w:highlight w:val="none"/>
        </w:rPr>
        <mc:AlternateContent>
          <mc:Choice Requires="wps">
            <w:drawing>
              <wp:anchor distT="0" distB="0" distL="114300" distR="114300" simplePos="0" relativeHeight="251715584" behindDoc="0" locked="0" layoutInCell="1" allowOverlap="1">
                <wp:simplePos x="0" y="0"/>
                <wp:positionH relativeFrom="column">
                  <wp:posOffset>5492115</wp:posOffset>
                </wp:positionH>
                <wp:positionV relativeFrom="paragraph">
                  <wp:posOffset>3354705</wp:posOffset>
                </wp:positionV>
                <wp:extent cx="128905" cy="252730"/>
                <wp:effectExtent l="8255" t="4445" r="15240" b="9525"/>
                <wp:wrapNone/>
                <wp:docPr id="115" name="直接连接符 115"/>
                <wp:cNvGraphicFramePr/>
                <a:graphic xmlns:a="http://schemas.openxmlformats.org/drawingml/2006/main">
                  <a:graphicData uri="http://schemas.microsoft.com/office/word/2010/wordprocessingShape">
                    <wps:wsp>
                      <wps:cNvCnPr/>
                      <wps:spPr>
                        <a:xfrm flipH="1">
                          <a:off x="0" y="0"/>
                          <a:ext cx="128905" cy="252730"/>
                        </a:xfrm>
                        <a:prstGeom prst="line">
                          <a:avLst/>
                        </a:prstGeom>
                        <a:ln w="19050">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32.45pt;margin-top:264.15pt;height:19.9pt;width:10.15pt;z-index:251715584;mso-width-relative:page;mso-height-relative:page;" filled="f" stroked="t" coordsize="21600,21600" o:gfxdata="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mbKBedkAAAALAQAADwAAAAAAAAABACAAAAAiAAAAZHJzL2Rvd25yZXYueG1sUEsB&#10;AhQAFAAAAAgAh07iQFm9c0X0AQAAxAMAAA4AAAAAAAAAAQAgAAAAKAEAAGRycy9lMm9Eb2MueG1s&#10;UEsFBgAAAAAGAAYAWQEAAI4FAAAAAA==&#10;">
                <v:fill on="f" focussize="0,0"/>
                <v:stroke weight="1.5pt" color="#FFFF00 [3204]" miterlimit="8" joinstyle="miter"/>
                <v:imagedata o:title=""/>
                <o:lock v:ext="edit" aspectratio="f"/>
              </v:line>
            </w:pict>
          </mc:Fallback>
        </mc:AlternateContent>
      </w:r>
      <w:r>
        <w:rPr>
          <w:sz w:val="24"/>
          <w:highlight w:val="none"/>
        </w:rPr>
        <mc:AlternateContent>
          <mc:Choice Requires="wps">
            <w:drawing>
              <wp:anchor distT="0" distB="0" distL="114300" distR="114300" simplePos="0" relativeHeight="251714560" behindDoc="0" locked="0" layoutInCell="1" allowOverlap="1">
                <wp:simplePos x="0" y="0"/>
                <wp:positionH relativeFrom="column">
                  <wp:posOffset>5614670</wp:posOffset>
                </wp:positionH>
                <wp:positionV relativeFrom="paragraph">
                  <wp:posOffset>3341370</wp:posOffset>
                </wp:positionV>
                <wp:extent cx="96520" cy="60960"/>
                <wp:effectExtent l="5715" t="9525" r="12065" b="24765"/>
                <wp:wrapNone/>
                <wp:docPr id="114" name="直接连接符 114"/>
                <wp:cNvGraphicFramePr/>
                <a:graphic xmlns:a="http://schemas.openxmlformats.org/drawingml/2006/main">
                  <a:graphicData uri="http://schemas.microsoft.com/office/word/2010/wordprocessingShape">
                    <wps:wsp>
                      <wps:cNvCnPr>
                        <a:stCxn id="112" idx="1"/>
                      </wps:cNvCnPr>
                      <wps:spPr>
                        <a:xfrm flipH="1" flipV="1">
                          <a:off x="6396990" y="4316730"/>
                          <a:ext cx="96520" cy="60960"/>
                        </a:xfrm>
                        <a:prstGeom prst="line">
                          <a:avLst/>
                        </a:prstGeom>
                        <a:ln w="22225" cmpd="sng">
                          <a:solidFill>
                            <a:srgbClr val="FFFF00"/>
                          </a:solidFill>
                          <a:prstDash val="soli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442.1pt;margin-top:263.1pt;height:4.8pt;width:7.6pt;z-index:251714560;mso-width-relative:page;mso-height-relative:page;" filled="f" stroked="t" coordsize="21600,21600" o:gfxdata="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pfBOm2AAAAAsBAAAPAAAAAAAA&#10;AAEAIAAAACIAAABkcnMvZG93bnJldi54bWxQSwECFAAUAAAACACHTuJAtcyFuhICAAAABAAADgAA&#10;AAAAAAABACAAAAAnAQAAZHJzL2Uyb0RvYy54bWxQSwUGAAAAAAYABgBZAQAAqwUAAAAA&#10;">
                <v:fill on="f" focussize="0,0"/>
                <v:stroke weight="1.75pt" color="#FFFF00 [3204]" miterlimit="8" joinstyle="miter"/>
                <v:imagedata o:title=""/>
                <o:lock v:ext="edit" aspectratio="f"/>
              </v:line>
            </w:pict>
          </mc:Fallback>
        </mc:AlternateContent>
      </w:r>
      <w:r>
        <w:rPr>
          <w:sz w:val="24"/>
          <w:highlight w:val="none"/>
        </w:rPr>
        <mc:AlternateContent>
          <mc:Choice Requires="wps">
            <w:drawing>
              <wp:anchor distT="0" distB="0" distL="114300" distR="114300" simplePos="0" relativeHeight="251713536" behindDoc="0" locked="0" layoutInCell="1" allowOverlap="1">
                <wp:simplePos x="0" y="0"/>
                <wp:positionH relativeFrom="column">
                  <wp:posOffset>5695315</wp:posOffset>
                </wp:positionH>
                <wp:positionV relativeFrom="paragraph">
                  <wp:posOffset>3387090</wp:posOffset>
                </wp:positionV>
                <wp:extent cx="109220" cy="104775"/>
                <wp:effectExtent l="6350" t="6350" r="17780" b="22225"/>
                <wp:wrapNone/>
                <wp:docPr id="112" name="椭圆 112"/>
                <wp:cNvGraphicFramePr/>
                <a:graphic xmlns:a="http://schemas.openxmlformats.org/drawingml/2006/main">
                  <a:graphicData uri="http://schemas.microsoft.com/office/word/2010/wordprocessingShape">
                    <wps:wsp>
                      <wps:cNvSpPr/>
                      <wps:spPr>
                        <a:xfrm>
                          <a:off x="6381115" y="4301490"/>
                          <a:ext cx="109220" cy="104775"/>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48.45pt;margin-top:266.7pt;height:8.25pt;width:8.6pt;z-index:251713536;v-text-anchor:middle;mso-width-relative:page;mso-height-relative:page;" fillcolor="#FF0000" filled="t" stroked="t" coordsize="21600,21600" o:gfxdata="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7lSg82gAAAAsBAAAPAAAAAAAAAAEA&#10;IAAAACIAAABkcnMvZG93bnJldi54bWxQSwECFAAUAAAACACHTuJAPQ3Zdn8CAAAGBQAADgAAAAAA&#10;AAABACAAAAApAQAAZHJzL2Uyb0RvYy54bWxQSwUGAAAAAAYABgBZAQAAGgYAAAAA&#10;">
                <v:fill on="t" focussize="0,0"/>
                <v:stroke weight="1pt" color="#000000 [3213]" miterlimit="8" joinstyle="miter"/>
                <v:imagedata o:title=""/>
                <o:lock v:ext="edit" aspectratio="f"/>
              </v:shape>
            </w:pict>
          </mc:Fallback>
        </mc:AlternateContent>
      </w:r>
      <w:r>
        <w:rPr>
          <w:sz w:val="24"/>
          <w:highlight w:val="none"/>
        </w:rPr>
        <mc:AlternateContent>
          <mc:Choice Requires="wps">
            <w:drawing>
              <wp:anchor distT="0" distB="0" distL="114300" distR="114300" simplePos="0" relativeHeight="251662336" behindDoc="0" locked="0" layoutInCell="1" allowOverlap="1">
                <wp:simplePos x="0" y="0"/>
                <wp:positionH relativeFrom="column">
                  <wp:posOffset>5622925</wp:posOffset>
                </wp:positionH>
                <wp:positionV relativeFrom="paragraph">
                  <wp:posOffset>2744470</wp:posOffset>
                </wp:positionV>
                <wp:extent cx="952500" cy="344805"/>
                <wp:effectExtent l="0" t="0" r="0" b="17145"/>
                <wp:wrapNone/>
                <wp:docPr id="12" name="文本框 12"/>
                <wp:cNvGraphicFramePr/>
                <a:graphic xmlns:a="http://schemas.openxmlformats.org/drawingml/2006/main">
                  <a:graphicData uri="http://schemas.microsoft.com/office/word/2010/wordprocessingShape">
                    <wps:wsp>
                      <wps:cNvSpPr txBox="1"/>
                      <wps:spPr>
                        <a:xfrm>
                          <a:off x="6308725" y="3658870"/>
                          <a:ext cx="952500" cy="3448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水厂位置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2.75pt;margin-top:216.1pt;height:27.15pt;width:75pt;z-index:251662336;mso-width-relative:page;mso-height-relative:page;" fillcolor="#FFFFFF [3201]" filled="t" stroked="f" coordsize="21600,21600" o:gfxdata="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Mhj3G9YA&#10;AAAMAQAADwAAAAAAAAABACAAAAAiAAAAZHJzL2Rvd25yZXYueG1sUEsBAhQAFAAAAAgAh07iQHX3&#10;ySVaAgAAnAQAAA4AAAAAAAAAAQAgAAAAJQEAAGRycy9lMm9Eb2MueG1sUEsFBgAAAAAGAAYAWQEA&#10;APEFAAAAAA==&#10;">
                <v:fill on="t" focussize="0,0"/>
                <v:stroke on="f" weight="0.5pt"/>
                <v:imagedata o:title=""/>
                <o:lock v:ext="edit" aspectratio="f"/>
                <v:textbox>
                  <w:txbxContent>
                    <w:p>
                      <w:pPr>
                        <w:rPr>
                          <w:rFonts w:hint="default" w:eastAsia="宋体"/>
                          <w:lang w:val="en-US" w:eastAsia="zh-CN"/>
                        </w:rPr>
                      </w:pPr>
                      <w:r>
                        <w:rPr>
                          <w:rFonts w:hint="eastAsia"/>
                          <w:lang w:val="en-US" w:eastAsia="zh-CN"/>
                        </w:rPr>
                        <w:t>水厂位置</w:t>
                      </w:r>
                    </w:p>
                  </w:txbxContent>
                </v:textbox>
              </v:shape>
            </w:pict>
          </mc:Fallback>
        </mc:AlternateContent>
      </w:r>
      <w:r>
        <w:rPr>
          <w:rFonts w:hint="default" w:ascii="Times New Roman" w:hAnsi="Times New Roman" w:eastAsia="宋体" w:cs="Times New Roman"/>
          <w:b/>
          <w:bCs/>
          <w:color w:val="000000" w:themeColor="text1"/>
          <w:kern w:val="2"/>
          <w:sz w:val="24"/>
          <w:szCs w:val="32"/>
          <w:highlight w:val="none"/>
          <w:lang w:val="en-US" w:eastAsia="zh-CN" w:bidi="zh-CN"/>
          <w14:textFill>
            <w14:solidFill>
              <w14:schemeClr w14:val="tx1"/>
            </w14:solidFill>
          </w14:textFill>
        </w:rPr>
        <w:drawing>
          <wp:inline distT="0" distB="0" distL="114300" distR="114300">
            <wp:extent cx="8698865" cy="5297170"/>
            <wp:effectExtent l="0" t="0" r="6985" b="17780"/>
            <wp:docPr id="11" name="图片 11" descr="6.1推荐方案遥感影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1推荐方案遥感影像图"/>
                    <pic:cNvPicPr>
                      <a:picLocks noChangeAspect="1"/>
                    </pic:cNvPicPr>
                  </pic:nvPicPr>
                  <pic:blipFill>
                    <a:blip r:embed="rId21"/>
                    <a:srcRect l="3662" t="11902" r="3341" b="7987"/>
                    <a:stretch>
                      <a:fillRect/>
                    </a:stretch>
                  </pic:blipFill>
                  <pic:spPr>
                    <a:xfrm>
                      <a:off x="0" y="0"/>
                      <a:ext cx="8698865" cy="5297170"/>
                    </a:xfrm>
                    <a:prstGeom prst="rect">
                      <a:avLst/>
                    </a:prstGeom>
                  </pic:spPr>
                </pic:pic>
              </a:graphicData>
            </a:graphic>
          </wp:inline>
        </w:drawing>
      </w:r>
    </w:p>
    <w:p>
      <w:pPr>
        <w:pStyle w:val="2"/>
        <w:jc w:val="center"/>
        <w:outlineLvl w:val="0"/>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pP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t>附图2 项目拟建地卫星地图</w:t>
      </w:r>
    </w:p>
    <w:p>
      <w:pPr>
        <w:rPr>
          <w:rFonts w:hint="default"/>
          <w:highlight w:val="none"/>
          <w:lang w:val="en-US" w:eastAsia="zh-CN"/>
        </w:rPr>
        <w:sectPr>
          <w:pgSz w:w="16838" w:h="11906" w:orient="landscape"/>
          <w:pgMar w:top="1440" w:right="1080" w:bottom="1440" w:left="1080" w:header="851" w:footer="992" w:gutter="0"/>
          <w:cols w:space="425" w:num="1"/>
          <w:docGrid w:type="lines" w:linePitch="312" w:charSpace="0"/>
        </w:sectPr>
      </w:pPr>
    </w:p>
    <w:p>
      <w:pPr>
        <w:pStyle w:val="7"/>
        <w:rPr>
          <w:highlight w:val="none"/>
        </w:rPr>
      </w:pPr>
    </w:p>
    <w:p>
      <w:pPr>
        <w:pStyle w:val="7"/>
        <w:rPr>
          <w:highlight w:val="none"/>
        </w:rPr>
      </w:pPr>
      <w:r>
        <w:rPr>
          <w:highlight w:val="none"/>
        </w:rPr>
        <w:drawing>
          <wp:anchor distT="0" distB="0" distL="114300" distR="114300" simplePos="0" relativeHeight="251695104" behindDoc="0" locked="0" layoutInCell="1" allowOverlap="1">
            <wp:simplePos x="0" y="0"/>
            <wp:positionH relativeFrom="column">
              <wp:posOffset>8307070</wp:posOffset>
            </wp:positionH>
            <wp:positionV relativeFrom="paragraph">
              <wp:posOffset>164465</wp:posOffset>
            </wp:positionV>
            <wp:extent cx="666750" cy="647700"/>
            <wp:effectExtent l="0" t="0" r="0" b="0"/>
            <wp:wrapNone/>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22"/>
                    <a:stretch>
                      <a:fillRect/>
                    </a:stretch>
                  </pic:blipFill>
                  <pic:spPr>
                    <a:xfrm>
                      <a:off x="0" y="0"/>
                      <a:ext cx="666750" cy="647700"/>
                    </a:xfrm>
                    <a:prstGeom prst="rect">
                      <a:avLst/>
                    </a:prstGeom>
                    <a:noFill/>
                    <a:ln>
                      <a:noFill/>
                    </a:ln>
                  </pic:spPr>
                </pic:pic>
              </a:graphicData>
            </a:graphic>
          </wp:anchor>
        </w:drawing>
      </w:r>
    </w:p>
    <w:p>
      <w:pPr>
        <w:pStyle w:val="7"/>
        <w:rPr>
          <w:highlight w:val="none"/>
        </w:rPr>
      </w:pPr>
    </w:p>
    <w:p>
      <w:pPr>
        <w:pStyle w:val="7"/>
        <w:rPr>
          <w:highlight w:val="none"/>
        </w:rPr>
      </w:pPr>
      <w:r>
        <w:rPr>
          <w:sz w:val="21"/>
          <w:highlight w:val="none"/>
        </w:rPr>
        <mc:AlternateContent>
          <mc:Choice Requires="wps">
            <w:drawing>
              <wp:anchor distT="0" distB="0" distL="114300" distR="114300" simplePos="0" relativeHeight="251727872" behindDoc="0" locked="0" layoutInCell="1" allowOverlap="1">
                <wp:simplePos x="0" y="0"/>
                <wp:positionH relativeFrom="column">
                  <wp:posOffset>1250950</wp:posOffset>
                </wp:positionH>
                <wp:positionV relativeFrom="paragraph">
                  <wp:posOffset>770890</wp:posOffset>
                </wp:positionV>
                <wp:extent cx="1075690" cy="38989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1075690" cy="389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危废暂存间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5pt;margin-top:60.7pt;height:30.7pt;width:84.7pt;z-index:251727872;mso-width-relative:page;mso-height-relative:page;" filled="f" stroked="f" coordsize="21600,21600" o:gfxdata="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2Z6rxdkAAAALAQAADwAAAAAAAAABACAAAAAiAAAAZHJz&#10;L2Rvd25yZXYueG1sUEsBAhQAFAAAAAgAh07iQIqDYxE8AgAAagQAAA4AAAAAAAAAAQAgAAAAKAEA&#10;AGRycy9lMm9Eb2MueG1sUEsFBgAAAAAGAAYAWQEAANYFAAAAAA==&#10;">
                <v:fill on="f" focussize="0,0"/>
                <v:stroke on="f" weight="0.5pt"/>
                <v:imagedata o:title=""/>
                <o:lock v:ext="edit" aspectratio="f"/>
                <v:textbox>
                  <w:txbxContent>
                    <w:p>
                      <w:pPr>
                        <w:rPr>
                          <w:rFonts w:hint="default" w:eastAsia="宋体"/>
                          <w:lang w:val="en-US" w:eastAsia="zh-CN"/>
                        </w:rPr>
                      </w:pPr>
                      <w:r>
                        <w:rPr>
                          <w:rFonts w:hint="eastAsia"/>
                          <w:lang w:val="en-US" w:eastAsia="zh-CN"/>
                        </w:rPr>
                        <w:t>危废暂存间</w:t>
                      </w:r>
                    </w:p>
                  </w:txbxContent>
                </v:textbox>
              </v:shape>
            </w:pict>
          </mc:Fallback>
        </mc:AlternateContent>
      </w:r>
      <w:r>
        <w:rPr>
          <w:sz w:val="21"/>
          <w:highlight w:val="none"/>
        </w:rPr>
        <mc:AlternateContent>
          <mc:Choice Requires="wps">
            <w:drawing>
              <wp:anchor distT="0" distB="0" distL="114300" distR="114300" simplePos="0" relativeHeight="251726848" behindDoc="0" locked="0" layoutInCell="1" allowOverlap="1">
                <wp:simplePos x="0" y="0"/>
                <wp:positionH relativeFrom="column">
                  <wp:posOffset>1268095</wp:posOffset>
                </wp:positionH>
                <wp:positionV relativeFrom="paragraph">
                  <wp:posOffset>1173480</wp:posOffset>
                </wp:positionV>
                <wp:extent cx="809625" cy="154305"/>
                <wp:effectExtent l="1270" t="6350" r="8255" b="10795"/>
                <wp:wrapNone/>
                <wp:docPr id="101" name="直接连接符 101"/>
                <wp:cNvGraphicFramePr/>
                <a:graphic xmlns:a="http://schemas.openxmlformats.org/drawingml/2006/main">
                  <a:graphicData uri="http://schemas.microsoft.com/office/word/2010/wordprocessingShape">
                    <wps:wsp>
                      <wps:cNvCnPr/>
                      <wps:spPr>
                        <a:xfrm flipH="1" flipV="1">
                          <a:off x="0" y="0"/>
                          <a:ext cx="809625" cy="15430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99.85pt;margin-top:92.4pt;height:12.15pt;width:63.75pt;z-index:251726848;mso-width-relative:page;mso-height-relative:page;" filled="f" stroked="t" coordsize="21600,21600" o:gfxdata="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z9O8Q9oAAAALAQAADwAAAAAAAAABACAAAAAiAAAAZHJzL2Rvd25yZXYueG1s&#10;UEsBAhQAFAAAAAgAh07iQCNNZOH2AQAAzgMAAA4AAAAAAAAAAQAgAAAAKQEAAGRycy9lMm9Eb2Mu&#10;eG1sUEsFBgAAAAAGAAYAWQEAAJEFAAAAAA==&#10;">
                <v:fill on="f" focussize="0,0"/>
                <v:stroke weight="1pt" color="#000000 [3213]" miterlimit="8" joinstyle="miter"/>
                <v:imagedata o:title=""/>
                <o:lock v:ext="edit" aspectratio="f"/>
              </v:line>
            </w:pict>
          </mc:Fallback>
        </mc:AlternateContent>
      </w:r>
      <w:r>
        <w:rPr>
          <w:sz w:val="21"/>
          <w:highlight w:val="none"/>
        </w:rPr>
        <mc:AlternateContent>
          <mc:Choice Requires="wps">
            <w:drawing>
              <wp:anchor distT="0" distB="0" distL="114300" distR="114300" simplePos="0" relativeHeight="251721728" behindDoc="0" locked="0" layoutInCell="1" allowOverlap="1">
                <wp:simplePos x="0" y="0"/>
                <wp:positionH relativeFrom="column">
                  <wp:posOffset>1165225</wp:posOffset>
                </wp:positionH>
                <wp:positionV relativeFrom="paragraph">
                  <wp:posOffset>1409065</wp:posOffset>
                </wp:positionV>
                <wp:extent cx="1075690" cy="38989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1075690" cy="389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一般固废间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75pt;margin-top:110.95pt;height:30.7pt;width:84.7pt;z-index:251721728;mso-width-relative:page;mso-height-relative:page;" filled="f" stroked="f" coordsize="21600,21600" o:gfxdata="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&#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l1CKtsAAAALAQAADwAAAAAAAAABACAAAAAiAAAA&#10;ZHJzL2Rvd25yZXYueG1sUEsBAhQAFAAAAAgAh07iQB+MKg09AgAAagQAAA4AAAAAAAAAAQAgAAAA&#10;Kg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lang w:val="en-US" w:eastAsia="zh-CN"/>
                        </w:rPr>
                        <w:t>一般固废间</w:t>
                      </w:r>
                    </w:p>
                  </w:txbxContent>
                </v:textbox>
              </v:shape>
            </w:pict>
          </mc:Fallback>
        </mc:AlternateContent>
      </w:r>
      <w:r>
        <w:rPr>
          <w:sz w:val="21"/>
          <w:highlight w:val="none"/>
        </w:rPr>
        <mc:AlternateContent>
          <mc:Choice Requires="wps">
            <w:drawing>
              <wp:anchor distT="0" distB="0" distL="114300" distR="114300" simplePos="0" relativeHeight="251720704" behindDoc="0" locked="0" layoutInCell="1" allowOverlap="1">
                <wp:simplePos x="0" y="0"/>
                <wp:positionH relativeFrom="column">
                  <wp:posOffset>1172845</wp:posOffset>
                </wp:positionH>
                <wp:positionV relativeFrom="paragraph">
                  <wp:posOffset>611505</wp:posOffset>
                </wp:positionV>
                <wp:extent cx="219075" cy="1133475"/>
                <wp:effectExtent l="6350" t="1270" r="22225" b="8255"/>
                <wp:wrapNone/>
                <wp:docPr id="125" name="直接连接符 125"/>
                <wp:cNvGraphicFramePr/>
                <a:graphic xmlns:a="http://schemas.openxmlformats.org/drawingml/2006/main">
                  <a:graphicData uri="http://schemas.microsoft.com/office/word/2010/wordprocessingShape">
                    <wps:wsp>
                      <wps:cNvCnPr/>
                      <wps:spPr>
                        <a:xfrm flipH="1">
                          <a:off x="2296795" y="2295525"/>
                          <a:ext cx="219075" cy="113347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92.35pt;margin-top:48.15pt;height:89.25pt;width:17.25pt;z-index:251720704;mso-width-relative:page;mso-height-relative:page;" filled="f" stroked="t" coordsize="21600,21600" o:gfxdata="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4LIOD2AAAAAoBAAAPAAAAAAAAAAEAIAAAACIAAABkcnMvZG93bnJldi54&#10;bWxQSwECFAAUAAAACACHTuJAg7atw/oBAADRAwAADgAAAAAAAAABACAAAAAnAQAAZHJzL2Uyb0Rv&#10;Yy54bWxQSwUGAAAAAAYABgBZAQAAkwUAAAAA&#10;">
                <v:fill on="f" focussize="0,0"/>
                <v:stroke weight="1pt" color="#000000 [3213]" miterlimit="8" joinstyle="miter"/>
                <v:imagedata o:title=""/>
                <o:lock v:ext="edit" aspectratio="f"/>
              </v:line>
            </w:pict>
          </mc:Fallback>
        </mc:AlternateContent>
      </w:r>
      <w:r>
        <w:rPr>
          <w:sz w:val="21"/>
          <w:highlight w:val="none"/>
        </w:rPr>
        <mc:AlternateContent>
          <mc:Choice Requires="wps">
            <w:drawing>
              <wp:anchor distT="0" distB="0" distL="114300" distR="114300" simplePos="0" relativeHeight="251663360" behindDoc="0" locked="0" layoutInCell="1" allowOverlap="1">
                <wp:simplePos x="0" y="0"/>
                <wp:positionH relativeFrom="column">
                  <wp:posOffset>584200</wp:posOffset>
                </wp:positionH>
                <wp:positionV relativeFrom="paragraph">
                  <wp:posOffset>875665</wp:posOffset>
                </wp:positionV>
                <wp:extent cx="608965" cy="666115"/>
                <wp:effectExtent l="0" t="0" r="635" b="635"/>
                <wp:wrapNone/>
                <wp:docPr id="15" name="文本框 15"/>
                <wp:cNvGraphicFramePr/>
                <a:graphic xmlns:a="http://schemas.openxmlformats.org/drawingml/2006/main">
                  <a:graphicData uri="http://schemas.microsoft.com/office/word/2010/wordprocessingShape">
                    <wps:wsp>
                      <wps:cNvSpPr txBox="1"/>
                      <wps:spPr>
                        <a:xfrm>
                          <a:off x="1651000" y="1879600"/>
                          <a:ext cx="608965" cy="6661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药剂仓库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pt;margin-top:68.95pt;height:52.45pt;width:47.95pt;z-index:251663360;mso-width-relative:page;mso-height-relative:page;" fillcolor="#FFFFFF [3201]" filled="t" stroked="f" coordsize="21600,21600" o:gfxdata="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qCFkyNUAAAAK&#10;AQAADwAAAAAAAAABACAAAAAiAAAAZHJzL2Rvd25yZXYueG1sUEsBAhQAFAAAAAgAh07iQNHJ1hlY&#10;AgAAnAQAAA4AAAAAAAAAAQAgAAAAJAEAAGRycy9lMm9Eb2MueG1sUEsFBgAAAAAGAAYAWQEAAO4F&#10;AAAAAA==&#10;">
                <v:fill on="t" focussize="0,0"/>
                <v:stroke on="f" weight="0.5pt"/>
                <v:imagedata o:title=""/>
                <o:lock v:ext="edit" aspectratio="f"/>
                <v:textbox>
                  <w:txbxContent>
                    <w:p>
                      <w:pPr>
                        <w:rPr>
                          <w:rFonts w:hint="eastAsia" w:eastAsia="宋体"/>
                          <w:lang w:val="en-US" w:eastAsia="zh-CN"/>
                        </w:rPr>
                      </w:pPr>
                      <w:r>
                        <w:rPr>
                          <w:rFonts w:hint="eastAsia"/>
                          <w:lang w:val="en-US" w:eastAsia="zh-CN"/>
                        </w:rPr>
                        <w:t>药剂仓库</w:t>
                      </w:r>
                    </w:p>
                  </w:txbxContent>
                </v:textbox>
              </v:shape>
            </w:pict>
          </mc:Fallback>
        </mc:AlternateContent>
      </w:r>
      <w:r>
        <w:rPr>
          <w:sz w:val="21"/>
          <w:highlight w:val="none"/>
        </w:rPr>
        <mc:AlternateContent>
          <mc:Choice Requires="wps">
            <w:drawing>
              <wp:anchor distT="0" distB="0" distL="114300" distR="114300" simplePos="0" relativeHeight="251665408" behindDoc="0" locked="0" layoutInCell="1" allowOverlap="1">
                <wp:simplePos x="0" y="0"/>
                <wp:positionH relativeFrom="column">
                  <wp:posOffset>2865755</wp:posOffset>
                </wp:positionH>
                <wp:positionV relativeFrom="paragraph">
                  <wp:posOffset>1599565</wp:posOffset>
                </wp:positionV>
                <wp:extent cx="476885" cy="352425"/>
                <wp:effectExtent l="0" t="0" r="18415" b="9525"/>
                <wp:wrapNone/>
                <wp:docPr id="17" name="文本框 17"/>
                <wp:cNvGraphicFramePr/>
                <a:graphic xmlns:a="http://schemas.openxmlformats.org/drawingml/2006/main">
                  <a:graphicData uri="http://schemas.microsoft.com/office/word/2010/wordprocessingShape">
                    <wps:wsp>
                      <wps:cNvSpPr txBox="1"/>
                      <wps:spPr>
                        <a:xfrm>
                          <a:off x="0" y="0"/>
                          <a:ext cx="476885" cy="3524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0"/>
                                <w:szCs w:val="20"/>
                                <w:lang w:val="en-US" w:eastAsia="zh-CN"/>
                              </w:rPr>
                            </w:pPr>
                            <w:r>
                              <w:rPr>
                                <w:rFonts w:hint="eastAsia"/>
                                <w:sz w:val="20"/>
                                <w:szCs w:val="20"/>
                                <w:lang w:val="en-US" w:eastAsia="zh-CN"/>
                              </w:rPr>
                              <w:t>卧室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65pt;margin-top:125.95pt;height:27.75pt;width:37.55pt;z-index:251665408;mso-width-relative:page;mso-height-relative:page;" fillcolor="#FFFFFF [3201]" filled="t" stroked="f" coordsize="21600,21600" o:gfxdata="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EjbRHNcAAAALAQAADwAA&#10;AAAAAAABACAAAAAiAAAAZHJzL2Rvd25yZXYueG1sUEsBAhQAFAAAAAgAh07iQCAlji9QAgAAkAQA&#10;AA4AAAAAAAAAAQAgAAAAJgEAAGRycy9lMm9Eb2MueG1sUEsFBgAAAAAGAAYAWQEAAOgFAAAAAA==&#10;">
                <v:fill on="t" focussize="0,0"/>
                <v:stroke on="f" weight="0.5pt"/>
                <v:imagedata o:title=""/>
                <o:lock v:ext="edit" aspectratio="f"/>
                <v:textbox>
                  <w:txbxContent>
                    <w:p>
                      <w:pPr>
                        <w:rPr>
                          <w:rFonts w:hint="default" w:eastAsia="宋体"/>
                          <w:sz w:val="20"/>
                          <w:szCs w:val="20"/>
                          <w:lang w:val="en-US" w:eastAsia="zh-CN"/>
                        </w:rPr>
                      </w:pPr>
                      <w:r>
                        <w:rPr>
                          <w:rFonts w:hint="eastAsia"/>
                          <w:sz w:val="20"/>
                          <w:szCs w:val="20"/>
                          <w:lang w:val="en-US" w:eastAsia="zh-CN"/>
                        </w:rPr>
                        <w:t>卧室</w:t>
                      </w:r>
                    </w:p>
                  </w:txbxContent>
                </v:textbox>
              </v:shape>
            </w:pict>
          </mc:Fallback>
        </mc:AlternateContent>
      </w:r>
      <w:r>
        <w:rPr>
          <w:sz w:val="21"/>
          <w:highlight w:val="none"/>
        </w:rPr>
        <mc:AlternateContent>
          <mc:Choice Requires="wps">
            <w:drawing>
              <wp:anchor distT="0" distB="0" distL="114300" distR="114300" simplePos="0" relativeHeight="251668480" behindDoc="0" locked="0" layoutInCell="1" allowOverlap="1">
                <wp:simplePos x="0" y="0"/>
                <wp:positionH relativeFrom="column">
                  <wp:posOffset>5700395</wp:posOffset>
                </wp:positionH>
                <wp:positionV relativeFrom="paragraph">
                  <wp:posOffset>1776095</wp:posOffset>
                </wp:positionV>
                <wp:extent cx="657860" cy="352425"/>
                <wp:effectExtent l="0" t="0" r="8890" b="9525"/>
                <wp:wrapNone/>
                <wp:docPr id="21" name="文本框 21"/>
                <wp:cNvGraphicFramePr/>
                <a:graphic xmlns:a="http://schemas.openxmlformats.org/drawingml/2006/main">
                  <a:graphicData uri="http://schemas.microsoft.com/office/word/2010/wordprocessingShape">
                    <wps:wsp>
                      <wps:cNvSpPr txBox="1"/>
                      <wps:spPr>
                        <a:xfrm>
                          <a:off x="0" y="0"/>
                          <a:ext cx="657860"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0"/>
                                <w:szCs w:val="20"/>
                                <w:lang w:val="en-US" w:eastAsia="zh-CN"/>
                              </w:rPr>
                            </w:pPr>
                            <w:r>
                              <w:rPr>
                                <w:rFonts w:hint="eastAsia"/>
                                <w:sz w:val="20"/>
                                <w:szCs w:val="20"/>
                                <w:lang w:val="en-US" w:eastAsia="zh-CN"/>
                              </w:rPr>
                              <w:t>楼梯间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8.85pt;margin-top:139.85pt;height:27.75pt;width:51.8pt;z-index:251668480;mso-width-relative:page;mso-height-relative:page;" filled="f" stroked="f" coordsize="21600,21600" o:gfxdata="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V/7Ft0AAAAMAQAADwAAAAAAAAABACAAAAAiAAAA&#10;ZHJzL2Rvd25yZXYueG1sUEsBAhQAFAAAAAgAh07iQLtg7tE7AgAAZwQAAA4AAAAAAAAAAQAgAAAA&#10;LAEAAGRycy9lMm9Eb2MueG1sUEsFBgAAAAAGAAYAWQEAANkFAAAAAA==&#10;">
                <v:fill on="f" focussize="0,0"/>
                <v:stroke on="f" weight="0.5pt"/>
                <v:imagedata o:title=""/>
                <o:lock v:ext="edit" aspectratio="f"/>
                <v:textbox>
                  <w:txbxContent>
                    <w:p>
                      <w:pPr>
                        <w:rPr>
                          <w:rFonts w:hint="default" w:eastAsia="宋体"/>
                          <w:sz w:val="20"/>
                          <w:szCs w:val="20"/>
                          <w:lang w:val="en-US" w:eastAsia="zh-CN"/>
                        </w:rPr>
                      </w:pPr>
                      <w:r>
                        <w:rPr>
                          <w:rFonts w:hint="eastAsia"/>
                          <w:sz w:val="20"/>
                          <w:szCs w:val="20"/>
                          <w:lang w:val="en-US" w:eastAsia="zh-CN"/>
                        </w:rPr>
                        <w:t>楼梯间</w:t>
                      </w:r>
                    </w:p>
                  </w:txbxContent>
                </v:textbox>
              </v:shape>
            </w:pict>
          </mc:Fallback>
        </mc:AlternateContent>
      </w:r>
      <w:r>
        <w:rPr>
          <w:sz w:val="21"/>
          <w:highlight w:val="none"/>
        </w:rPr>
        <mc:AlternateContent>
          <mc:Choice Requires="wps">
            <w:drawing>
              <wp:anchor distT="0" distB="0" distL="114300" distR="114300" simplePos="0" relativeHeight="251675648" behindDoc="0" locked="0" layoutInCell="1" allowOverlap="1">
                <wp:simplePos x="0" y="0"/>
                <wp:positionH relativeFrom="column">
                  <wp:posOffset>3230245</wp:posOffset>
                </wp:positionH>
                <wp:positionV relativeFrom="paragraph">
                  <wp:posOffset>3081020</wp:posOffset>
                </wp:positionV>
                <wp:extent cx="1672590" cy="518160"/>
                <wp:effectExtent l="0" t="0" r="0" b="0"/>
                <wp:wrapNone/>
                <wp:docPr id="31" name="文本框 31"/>
                <wp:cNvGraphicFramePr/>
                <a:graphic xmlns:a="http://schemas.openxmlformats.org/drawingml/2006/main">
                  <a:graphicData uri="http://schemas.microsoft.com/office/word/2010/wordprocessingShape">
                    <wps:wsp>
                      <wps:cNvSpPr txBox="1"/>
                      <wps:spPr>
                        <a:xfrm>
                          <a:off x="3943985" y="2947035"/>
                          <a:ext cx="1672590" cy="518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6"/>
                                <w:szCs w:val="36"/>
                                <w:lang w:val="en-US" w:eastAsia="zh-CN"/>
                              </w:rPr>
                            </w:pPr>
                            <w:r>
                              <w:rPr>
                                <w:rFonts w:hint="eastAsia"/>
                                <w:b/>
                                <w:bCs/>
                                <w:sz w:val="36"/>
                                <w:szCs w:val="36"/>
                                <w:lang w:val="en-US" w:eastAsia="zh-CN"/>
                              </w:rPr>
                              <w:t>一楼平面布置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4.35pt;margin-top:242.6pt;height:40.8pt;width:131.7pt;z-index:251675648;mso-width-relative:page;mso-height-relative:page;" filled="f" stroked="f" coordsize="21600,21600" o:gfxdata="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RMIIDbAAAACwEAAA8AAAAA&#10;AAAAAQAgAAAAIgAAAGRycy9kb3ducmV2LnhtbFBLAQIUABQAAAAIAIdO4kDdkAqiSgIAAHQEAAAO&#10;AAAAAAAAAAEAIAAAACoBAABkcnMvZTJvRG9jLnhtbFBLBQYAAAAABgAGAFkBAADmBQAAAAA=&#10;">
                <v:fill on="f" focussize="0,0"/>
                <v:stroke on="f" weight="0.5pt"/>
                <v:imagedata o:title=""/>
                <o:lock v:ext="edit" aspectratio="f"/>
                <v:textbox>
                  <w:txbxContent>
                    <w:p>
                      <w:pPr>
                        <w:rPr>
                          <w:rFonts w:hint="default" w:eastAsia="宋体"/>
                          <w:b/>
                          <w:bCs/>
                          <w:sz w:val="36"/>
                          <w:szCs w:val="36"/>
                          <w:lang w:val="en-US" w:eastAsia="zh-CN"/>
                        </w:rPr>
                      </w:pPr>
                      <w:r>
                        <w:rPr>
                          <w:rFonts w:hint="eastAsia"/>
                          <w:b/>
                          <w:bCs/>
                          <w:sz w:val="36"/>
                          <w:szCs w:val="36"/>
                          <w:lang w:val="en-US" w:eastAsia="zh-CN"/>
                        </w:rPr>
                        <w:t>一楼平面布置</w:t>
                      </w:r>
                    </w:p>
                  </w:txbxContent>
                </v:textbox>
              </v:shape>
            </w:pict>
          </mc:Fallback>
        </mc:AlternateContent>
      </w:r>
      <w:r>
        <w:rPr>
          <w:sz w:val="21"/>
          <w:highlight w:val="none"/>
        </w:rPr>
        <mc:AlternateContent>
          <mc:Choice Requires="wps">
            <w:drawing>
              <wp:anchor distT="0" distB="0" distL="114300" distR="114300" simplePos="0" relativeHeight="251664384" behindDoc="0" locked="0" layoutInCell="1" allowOverlap="1">
                <wp:simplePos x="0" y="0"/>
                <wp:positionH relativeFrom="column">
                  <wp:posOffset>2154555</wp:posOffset>
                </wp:positionH>
                <wp:positionV relativeFrom="paragraph">
                  <wp:posOffset>1131570</wp:posOffset>
                </wp:positionV>
                <wp:extent cx="581025" cy="400050"/>
                <wp:effectExtent l="0" t="0" r="9525" b="0"/>
                <wp:wrapNone/>
                <wp:docPr id="16" name="文本框 16"/>
                <wp:cNvGraphicFramePr/>
                <a:graphic xmlns:a="http://schemas.openxmlformats.org/drawingml/2006/main">
                  <a:graphicData uri="http://schemas.microsoft.com/office/word/2010/wordprocessingShape">
                    <wps:wsp>
                      <wps:cNvSpPr txBox="1"/>
                      <wps:spPr>
                        <a:xfrm>
                          <a:off x="0" y="0"/>
                          <a:ext cx="581025" cy="4000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0"/>
                                <w:szCs w:val="20"/>
                                <w:lang w:val="en-US" w:eastAsia="zh-CN"/>
                              </w:rPr>
                            </w:pPr>
                            <w:r>
                              <w:rPr>
                                <w:rFonts w:hint="eastAsia"/>
                                <w:sz w:val="20"/>
                                <w:szCs w:val="20"/>
                                <w:lang w:val="en-US"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65pt;margin-top:89.1pt;height:31.5pt;width:45.75pt;z-index:251664384;mso-width-relative:page;mso-height-relative:page;" fillcolor="#FFFFFF [3201]" filled="t" stroked="f" coordsize="21600,21600" o:gfxdata="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rJBcnWAAAACwEAAA8AAAAA&#10;AAAAAQAgAAAAIgAAAGRycy9kb3ducmV2LnhtbFBLAQIUABQAAAAIAIdO4kCFFrRmTwIAAJAEAAAO&#10;AAAAAAAAAAEAIAAAACUBAABkcnMvZTJvRG9jLnhtbFBLBQYAAAAABgAGAFkBAADmBQAAAAA=&#10;">
                <v:fill on="t" focussize="0,0"/>
                <v:stroke on="f" weight="0.5pt"/>
                <v:imagedata o:title=""/>
                <o:lock v:ext="edit" aspectratio="f"/>
                <v:textbox>
                  <w:txbxContent>
                    <w:p>
                      <w:pPr>
                        <w:rPr>
                          <w:rFonts w:hint="default" w:eastAsia="宋体"/>
                          <w:sz w:val="20"/>
                          <w:szCs w:val="20"/>
                          <w:lang w:val="en-US" w:eastAsia="zh-CN"/>
                        </w:rPr>
                      </w:pPr>
                      <w:r>
                        <w:rPr>
                          <w:rFonts w:hint="eastAsia"/>
                          <w:sz w:val="20"/>
                          <w:szCs w:val="20"/>
                          <w:lang w:val="en-US" w:eastAsia="zh-CN"/>
                        </w:rPr>
                        <w:t>办公室</w:t>
                      </w:r>
                    </w:p>
                  </w:txbxContent>
                </v:textbox>
              </v:shape>
            </w:pict>
          </mc:Fallback>
        </mc:AlternateContent>
      </w:r>
      <w:r>
        <w:rPr>
          <w:sz w:val="21"/>
          <w:highlight w:val="none"/>
        </w:rPr>
        <mc:AlternateContent>
          <mc:Choice Requires="wps">
            <w:drawing>
              <wp:anchor distT="0" distB="0" distL="114300" distR="114300" simplePos="0" relativeHeight="251666432" behindDoc="0" locked="0" layoutInCell="1" allowOverlap="1">
                <wp:simplePos x="0" y="0"/>
                <wp:positionH relativeFrom="column">
                  <wp:posOffset>3714750</wp:posOffset>
                </wp:positionH>
                <wp:positionV relativeFrom="paragraph">
                  <wp:posOffset>1439545</wp:posOffset>
                </wp:positionV>
                <wp:extent cx="476885" cy="352425"/>
                <wp:effectExtent l="0" t="0" r="18415" b="9525"/>
                <wp:wrapNone/>
                <wp:docPr id="19" name="文本框 19"/>
                <wp:cNvGraphicFramePr/>
                <a:graphic xmlns:a="http://schemas.openxmlformats.org/drawingml/2006/main">
                  <a:graphicData uri="http://schemas.microsoft.com/office/word/2010/wordprocessingShape">
                    <wps:wsp>
                      <wps:cNvSpPr txBox="1"/>
                      <wps:spPr>
                        <a:xfrm>
                          <a:off x="0" y="0"/>
                          <a:ext cx="476885" cy="3524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0"/>
                                <w:szCs w:val="20"/>
                                <w:lang w:val="en-US" w:eastAsia="zh-CN"/>
                              </w:rPr>
                            </w:pPr>
                            <w:r>
                              <w:rPr>
                                <w:rFonts w:hint="eastAsia"/>
                                <w:sz w:val="20"/>
                                <w:szCs w:val="20"/>
                                <w:lang w:val="en-US" w:eastAsia="zh-CN"/>
                              </w:rPr>
                              <w:t>餐厅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2.5pt;margin-top:113.35pt;height:27.75pt;width:37.55pt;z-index:251666432;mso-width-relative:page;mso-height-relative:page;" fillcolor="#FFFFFF [3201]" filled="t" stroked="f" coordsize="21600,21600" o:gfxdata="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5YRgs1gAAAAsBAAAPAAAA&#10;AAAAAAEAIAAAACIAAABkcnMvZG93bnJldi54bWxQSwECFAAUAAAACACHTuJApZ1gbVACAACQBAAA&#10;DgAAAAAAAAABACAAAAAlAQAAZHJzL2Uyb0RvYy54bWxQSwUGAAAAAAYABgBZAQAA5wUAAAAA&#10;">
                <v:fill on="t" focussize="0,0"/>
                <v:stroke on="f" weight="0.5pt"/>
                <v:imagedata o:title=""/>
                <o:lock v:ext="edit" aspectratio="f"/>
                <v:textbox>
                  <w:txbxContent>
                    <w:p>
                      <w:pPr>
                        <w:rPr>
                          <w:rFonts w:hint="default" w:eastAsia="宋体"/>
                          <w:sz w:val="20"/>
                          <w:szCs w:val="20"/>
                          <w:lang w:val="en-US" w:eastAsia="zh-CN"/>
                        </w:rPr>
                      </w:pPr>
                      <w:r>
                        <w:rPr>
                          <w:rFonts w:hint="eastAsia"/>
                          <w:sz w:val="20"/>
                          <w:szCs w:val="20"/>
                          <w:lang w:val="en-US" w:eastAsia="zh-CN"/>
                        </w:rPr>
                        <w:t>餐厅</w:t>
                      </w:r>
                    </w:p>
                  </w:txbxContent>
                </v:textbox>
              </v:shape>
            </w:pict>
          </mc:Fallback>
        </mc:AlternateContent>
      </w:r>
      <w:r>
        <w:rPr>
          <w:sz w:val="21"/>
          <w:highlight w:val="none"/>
        </w:rPr>
        <mc:AlternateContent>
          <mc:Choice Requires="wps">
            <w:drawing>
              <wp:anchor distT="0" distB="0" distL="114300" distR="114300" simplePos="0" relativeHeight="251667456" behindDoc="0" locked="0" layoutInCell="1" allowOverlap="1">
                <wp:simplePos x="0" y="0"/>
                <wp:positionH relativeFrom="column">
                  <wp:posOffset>4578350</wp:posOffset>
                </wp:positionH>
                <wp:positionV relativeFrom="paragraph">
                  <wp:posOffset>1644015</wp:posOffset>
                </wp:positionV>
                <wp:extent cx="476885" cy="352425"/>
                <wp:effectExtent l="0" t="0" r="18415" b="9525"/>
                <wp:wrapNone/>
                <wp:docPr id="20" name="文本框 20"/>
                <wp:cNvGraphicFramePr/>
                <a:graphic xmlns:a="http://schemas.openxmlformats.org/drawingml/2006/main">
                  <a:graphicData uri="http://schemas.microsoft.com/office/word/2010/wordprocessingShape">
                    <wps:wsp>
                      <wps:cNvSpPr txBox="1"/>
                      <wps:spPr>
                        <a:xfrm>
                          <a:off x="0" y="0"/>
                          <a:ext cx="476885" cy="3524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0"/>
                                <w:szCs w:val="20"/>
                                <w:lang w:val="en-US" w:eastAsia="zh-CN"/>
                              </w:rPr>
                            </w:pPr>
                            <w:r>
                              <w:rPr>
                                <w:rFonts w:hint="eastAsia"/>
                                <w:sz w:val="20"/>
                                <w:szCs w:val="20"/>
                                <w:lang w:val="en-US" w:eastAsia="zh-CN"/>
                              </w:rPr>
                              <w:t>厨房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0.5pt;margin-top:129.45pt;height:27.75pt;width:37.55pt;z-index:251667456;mso-width-relative:page;mso-height-relative:page;" fillcolor="#FFFFFF [3201]" filled="t" stroked="f" coordsize="21600,21600" o:gfxdata="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NUHnCtcAAAALAQAADwAA&#10;AAAAAAABACAAAAAiAAAAZHJzL2Rvd25yZXYueG1sUEsBAhQAFAAAAAgAh07iQL08HK9QAgAAkAQA&#10;AA4AAAAAAAAAAQAgAAAAJgEAAGRycy9lMm9Eb2MueG1sUEsFBgAAAAAGAAYAWQEAAOgFAAAAAA==&#10;">
                <v:fill on="t" focussize="0,0"/>
                <v:stroke on="f" weight="0.5pt"/>
                <v:imagedata o:title=""/>
                <o:lock v:ext="edit" aspectratio="f"/>
                <v:textbox>
                  <w:txbxContent>
                    <w:p>
                      <w:pPr>
                        <w:rPr>
                          <w:rFonts w:hint="default" w:eastAsia="宋体"/>
                          <w:sz w:val="20"/>
                          <w:szCs w:val="20"/>
                          <w:lang w:val="en-US" w:eastAsia="zh-CN"/>
                        </w:rPr>
                      </w:pPr>
                      <w:r>
                        <w:rPr>
                          <w:rFonts w:hint="eastAsia"/>
                          <w:sz w:val="20"/>
                          <w:szCs w:val="20"/>
                          <w:lang w:val="en-US" w:eastAsia="zh-CN"/>
                        </w:rPr>
                        <w:t>厨房</w:t>
                      </w:r>
                    </w:p>
                  </w:txbxContent>
                </v:textbox>
              </v:shape>
            </w:pict>
          </mc:Fallback>
        </mc:AlternateContent>
      </w:r>
      <w:r>
        <w:rPr>
          <w:highlight w:val="none"/>
        </w:rPr>
        <w:drawing>
          <wp:inline distT="0" distB="0" distL="114300" distR="114300">
            <wp:extent cx="9032875" cy="2275840"/>
            <wp:effectExtent l="133985" t="840740" r="148590" b="84582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3"/>
                    <a:srcRect t="18611" b="22782"/>
                    <a:stretch>
                      <a:fillRect/>
                    </a:stretch>
                  </pic:blipFill>
                  <pic:spPr>
                    <a:xfrm rot="660000">
                      <a:off x="0" y="0"/>
                      <a:ext cx="9032875" cy="2275840"/>
                    </a:xfrm>
                    <a:prstGeom prst="rect">
                      <a:avLst/>
                    </a:prstGeom>
                    <a:noFill/>
                    <a:ln>
                      <a:noFill/>
                    </a:ln>
                  </pic:spPr>
                </pic:pic>
              </a:graphicData>
            </a:graphic>
          </wp:inline>
        </w:drawing>
      </w:r>
    </w:p>
    <w:p>
      <w:pPr>
        <w:pStyle w:val="2"/>
        <w:outlineLvl w:val="9"/>
        <w:rPr>
          <w:highlight w:val="none"/>
        </w:rPr>
      </w:pPr>
    </w:p>
    <w:p>
      <w:pPr>
        <w:pStyle w:val="2"/>
        <w:rPr>
          <w:highlight w:val="none"/>
        </w:rPr>
      </w:pPr>
    </w:p>
    <w:p>
      <w:pPr>
        <w:pStyle w:val="2"/>
        <w:rPr>
          <w:highlight w:val="none"/>
        </w:rPr>
      </w:pPr>
    </w:p>
    <w:p>
      <w:pPr>
        <w:pStyle w:val="2"/>
        <w:rPr>
          <w:highlight w:val="none"/>
        </w:rPr>
      </w:pPr>
    </w:p>
    <w:p>
      <w:pPr>
        <w:pStyle w:val="2"/>
        <w:rPr>
          <w:highlight w:val="none"/>
        </w:rPr>
      </w:pPr>
    </w:p>
    <w:p>
      <w:pPr>
        <w:pStyle w:val="2"/>
        <w:rPr>
          <w:highlight w:val="none"/>
        </w:rPr>
      </w:pPr>
      <w:r>
        <w:rPr>
          <w:highlight w:val="none"/>
        </w:rPr>
        <w:drawing>
          <wp:anchor distT="0" distB="0" distL="114300" distR="114300" simplePos="0" relativeHeight="251696128" behindDoc="0" locked="0" layoutInCell="1" allowOverlap="1">
            <wp:simplePos x="0" y="0"/>
            <wp:positionH relativeFrom="column">
              <wp:posOffset>8307070</wp:posOffset>
            </wp:positionH>
            <wp:positionV relativeFrom="paragraph">
              <wp:posOffset>131445</wp:posOffset>
            </wp:positionV>
            <wp:extent cx="666750" cy="647700"/>
            <wp:effectExtent l="0" t="0" r="0" b="0"/>
            <wp:wrapNone/>
            <wp:docPr id="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pic:cNvPicPr>
                      <a:picLocks noChangeAspect="1"/>
                    </pic:cNvPicPr>
                  </pic:nvPicPr>
                  <pic:blipFill>
                    <a:blip r:embed="rId22"/>
                    <a:stretch>
                      <a:fillRect/>
                    </a:stretch>
                  </pic:blipFill>
                  <pic:spPr>
                    <a:xfrm>
                      <a:off x="0" y="0"/>
                      <a:ext cx="666750" cy="647700"/>
                    </a:xfrm>
                    <a:prstGeom prst="rect">
                      <a:avLst/>
                    </a:prstGeom>
                    <a:noFill/>
                    <a:ln>
                      <a:noFill/>
                    </a:ln>
                  </pic:spPr>
                </pic:pic>
              </a:graphicData>
            </a:graphic>
          </wp:anchor>
        </w:drawing>
      </w:r>
    </w:p>
    <w:p>
      <w:pPr>
        <w:pStyle w:val="2"/>
        <w:rPr>
          <w:highlight w:val="none"/>
        </w:rPr>
      </w:pPr>
      <w:r>
        <w:rPr>
          <w:sz w:val="21"/>
          <w:highlight w:val="none"/>
        </w:rPr>
        <mc:AlternateContent>
          <mc:Choice Requires="wps">
            <w:drawing>
              <wp:anchor distT="0" distB="0" distL="114300" distR="114300" simplePos="0" relativeHeight="251669504" behindDoc="0" locked="0" layoutInCell="1" allowOverlap="1">
                <wp:simplePos x="0" y="0"/>
                <wp:positionH relativeFrom="column">
                  <wp:posOffset>624840</wp:posOffset>
                </wp:positionH>
                <wp:positionV relativeFrom="paragraph">
                  <wp:posOffset>948690</wp:posOffset>
                </wp:positionV>
                <wp:extent cx="581025" cy="400050"/>
                <wp:effectExtent l="0" t="0" r="9525" b="0"/>
                <wp:wrapNone/>
                <wp:docPr id="24" name="文本框 24"/>
                <wp:cNvGraphicFramePr/>
                <a:graphic xmlns:a="http://schemas.openxmlformats.org/drawingml/2006/main">
                  <a:graphicData uri="http://schemas.microsoft.com/office/word/2010/wordprocessingShape">
                    <wps:wsp>
                      <wps:cNvSpPr txBox="1"/>
                      <wps:spPr>
                        <a:xfrm>
                          <a:off x="0" y="0"/>
                          <a:ext cx="581025" cy="4000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0"/>
                                <w:szCs w:val="20"/>
                                <w:lang w:val="en-US" w:eastAsia="zh-CN"/>
                              </w:rPr>
                            </w:pPr>
                            <w:r>
                              <w:rPr>
                                <w:rFonts w:hint="eastAsia"/>
                                <w:sz w:val="20"/>
                                <w:szCs w:val="20"/>
                                <w:lang w:val="en-US"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2pt;margin-top:74.7pt;height:31.5pt;width:45.75pt;z-index:251669504;mso-width-relative:page;mso-height-relative:page;" fillcolor="#FFFFFF [3201]" filled="t" stroked="f" coordsize="21600,21600" o:gfxdata="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CSoxr3VAAAACgEAAA8AAAAA&#10;AAAAAQAgAAAAIgAAAGRycy9kb3ducmV2LnhtbFBLAQIUABQAAAAIAIdO4kB77F27UAIAAJAEAAAO&#10;AAAAAAAAAAEAIAAAACQBAABkcnMvZTJvRG9jLnhtbFBLBQYAAAAABgAGAFkBAADmBQAAAAA=&#10;">
                <v:fill on="t" focussize="0,0"/>
                <v:stroke on="f" weight="0.5pt"/>
                <v:imagedata o:title=""/>
                <o:lock v:ext="edit" aspectratio="f"/>
                <v:textbox>
                  <w:txbxContent>
                    <w:p>
                      <w:pPr>
                        <w:rPr>
                          <w:rFonts w:hint="default" w:eastAsia="宋体"/>
                          <w:sz w:val="20"/>
                          <w:szCs w:val="20"/>
                          <w:lang w:val="en-US" w:eastAsia="zh-CN"/>
                        </w:rPr>
                      </w:pPr>
                      <w:r>
                        <w:rPr>
                          <w:rFonts w:hint="eastAsia"/>
                          <w:sz w:val="20"/>
                          <w:szCs w:val="20"/>
                          <w:lang w:val="en-US" w:eastAsia="zh-CN"/>
                        </w:rPr>
                        <w:t>办公室</w:t>
                      </w:r>
                    </w:p>
                  </w:txbxContent>
                </v:textbox>
              </v:shape>
            </w:pict>
          </mc:Fallback>
        </mc:AlternateContent>
      </w:r>
      <w:r>
        <w:rPr>
          <w:sz w:val="21"/>
          <w:highlight w:val="none"/>
        </w:rPr>
        <mc:AlternateContent>
          <mc:Choice Requires="wps">
            <w:drawing>
              <wp:anchor distT="0" distB="0" distL="114300" distR="114300" simplePos="0" relativeHeight="251670528" behindDoc="0" locked="0" layoutInCell="1" allowOverlap="1">
                <wp:simplePos x="0" y="0"/>
                <wp:positionH relativeFrom="column">
                  <wp:posOffset>1630045</wp:posOffset>
                </wp:positionH>
                <wp:positionV relativeFrom="paragraph">
                  <wp:posOffset>1106805</wp:posOffset>
                </wp:positionV>
                <wp:extent cx="581025" cy="400050"/>
                <wp:effectExtent l="0" t="0" r="9525" b="0"/>
                <wp:wrapNone/>
                <wp:docPr id="25" name="文本框 25"/>
                <wp:cNvGraphicFramePr/>
                <a:graphic xmlns:a="http://schemas.openxmlformats.org/drawingml/2006/main">
                  <a:graphicData uri="http://schemas.microsoft.com/office/word/2010/wordprocessingShape">
                    <wps:wsp>
                      <wps:cNvSpPr txBox="1"/>
                      <wps:spPr>
                        <a:xfrm>
                          <a:off x="0" y="0"/>
                          <a:ext cx="581025" cy="4000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0"/>
                                <w:szCs w:val="20"/>
                                <w:lang w:val="en-US" w:eastAsia="zh-CN"/>
                              </w:rPr>
                            </w:pPr>
                            <w:r>
                              <w:rPr>
                                <w:rFonts w:hint="eastAsia"/>
                                <w:sz w:val="20"/>
                                <w:szCs w:val="20"/>
                                <w:lang w:val="en-US"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8.35pt;margin-top:87.15pt;height:31.5pt;width:45.75pt;z-index:251670528;mso-width-relative:page;mso-height-relative:page;" fillcolor="#FFFFFF [3201]" filled="t" stroked="f" coordsize="21600,21600" o:gfxdata="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TqELzWAAAACwEAAA8AAAAA&#10;AAAAAQAgAAAAIgAAAGRycy9kb3ducmV2LnhtbFBLAQIUABQAAAAIAIdO4kBbcT8eTwIAAJAEAAAO&#10;AAAAAAAAAAEAIAAAACUBAABkcnMvZTJvRG9jLnhtbFBLBQYAAAAABgAGAFkBAADmBQAAAAA=&#10;">
                <v:fill on="t" focussize="0,0"/>
                <v:stroke on="f" weight="0.5pt"/>
                <v:imagedata o:title=""/>
                <o:lock v:ext="edit" aspectratio="f"/>
                <v:textbox>
                  <w:txbxContent>
                    <w:p>
                      <w:pPr>
                        <w:rPr>
                          <w:rFonts w:hint="default" w:eastAsia="宋体"/>
                          <w:sz w:val="20"/>
                          <w:szCs w:val="20"/>
                          <w:lang w:val="en-US" w:eastAsia="zh-CN"/>
                        </w:rPr>
                      </w:pPr>
                      <w:r>
                        <w:rPr>
                          <w:rFonts w:hint="eastAsia"/>
                          <w:sz w:val="20"/>
                          <w:szCs w:val="20"/>
                          <w:lang w:val="en-US" w:eastAsia="zh-CN"/>
                        </w:rPr>
                        <w:t>办公室</w:t>
                      </w:r>
                    </w:p>
                  </w:txbxContent>
                </v:textbox>
              </v:shape>
            </w:pict>
          </mc:Fallback>
        </mc:AlternateContent>
      </w:r>
      <w:r>
        <w:rPr>
          <w:sz w:val="21"/>
          <w:highlight w:val="none"/>
        </w:rPr>
        <mc:AlternateContent>
          <mc:Choice Requires="wps">
            <w:drawing>
              <wp:anchor distT="0" distB="0" distL="114300" distR="114300" simplePos="0" relativeHeight="251671552" behindDoc="0" locked="0" layoutInCell="1" allowOverlap="1">
                <wp:simplePos x="0" y="0"/>
                <wp:positionH relativeFrom="column">
                  <wp:posOffset>2815590</wp:posOffset>
                </wp:positionH>
                <wp:positionV relativeFrom="paragraph">
                  <wp:posOffset>1213485</wp:posOffset>
                </wp:positionV>
                <wp:extent cx="581025" cy="400050"/>
                <wp:effectExtent l="0" t="0" r="9525" b="0"/>
                <wp:wrapNone/>
                <wp:docPr id="27" name="文本框 27"/>
                <wp:cNvGraphicFramePr/>
                <a:graphic xmlns:a="http://schemas.openxmlformats.org/drawingml/2006/main">
                  <a:graphicData uri="http://schemas.microsoft.com/office/word/2010/wordprocessingShape">
                    <wps:wsp>
                      <wps:cNvSpPr txBox="1"/>
                      <wps:spPr>
                        <a:xfrm>
                          <a:off x="0" y="0"/>
                          <a:ext cx="581025" cy="4000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0"/>
                                <w:szCs w:val="20"/>
                                <w:lang w:val="en-US" w:eastAsia="zh-CN"/>
                              </w:rPr>
                            </w:pPr>
                            <w:r>
                              <w:rPr>
                                <w:rFonts w:hint="eastAsia"/>
                                <w:sz w:val="20"/>
                                <w:szCs w:val="20"/>
                                <w:lang w:val="en-US"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7pt;margin-top:95.55pt;height:31.5pt;width:45.75pt;z-index:251671552;mso-width-relative:page;mso-height-relative:page;" fillcolor="#FFFFFF [3201]" filled="t" stroked="f" coordsize="21600,21600" o:gfxdata="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cPmBotYAAAALAQAADwAA&#10;AAAAAAABACAAAAAiAAAAZHJzL2Rvd25yZXYueG1sUEsBAhQAFAAAAAgAh07iQFpNi49RAgAAkAQA&#10;AA4AAAAAAAAAAQAgAAAAJQEAAGRycy9lMm9Eb2MueG1sUEsFBgAAAAAGAAYAWQEAAOgFAAAAAA==&#10;">
                <v:fill on="t" focussize="0,0"/>
                <v:stroke on="f" weight="0.5pt"/>
                <v:imagedata o:title=""/>
                <o:lock v:ext="edit" aspectratio="f"/>
                <v:textbox>
                  <w:txbxContent>
                    <w:p>
                      <w:pPr>
                        <w:rPr>
                          <w:rFonts w:hint="default" w:eastAsia="宋体"/>
                          <w:sz w:val="20"/>
                          <w:szCs w:val="20"/>
                          <w:lang w:val="en-US" w:eastAsia="zh-CN"/>
                        </w:rPr>
                      </w:pPr>
                      <w:r>
                        <w:rPr>
                          <w:rFonts w:hint="eastAsia"/>
                          <w:sz w:val="20"/>
                          <w:szCs w:val="20"/>
                          <w:lang w:val="en-US" w:eastAsia="zh-CN"/>
                        </w:rPr>
                        <w:t>办公室</w:t>
                      </w:r>
                    </w:p>
                  </w:txbxContent>
                </v:textbox>
              </v:shape>
            </w:pict>
          </mc:Fallback>
        </mc:AlternateContent>
      </w:r>
      <w:r>
        <w:rPr>
          <w:highlight w:val="none"/>
        </w:rPr>
        <w:drawing>
          <wp:inline distT="0" distB="0" distL="114300" distR="114300">
            <wp:extent cx="8855710" cy="2406015"/>
            <wp:effectExtent l="133985" t="677545" r="135255" b="68834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24"/>
                    <a:stretch>
                      <a:fillRect/>
                    </a:stretch>
                  </pic:blipFill>
                  <pic:spPr>
                    <a:xfrm rot="540000">
                      <a:off x="0" y="0"/>
                      <a:ext cx="8855710" cy="2406015"/>
                    </a:xfrm>
                    <a:prstGeom prst="rect">
                      <a:avLst/>
                    </a:prstGeom>
                    <a:noFill/>
                    <a:ln>
                      <a:noFill/>
                    </a:ln>
                  </pic:spPr>
                </pic:pic>
              </a:graphicData>
            </a:graphic>
          </wp:inline>
        </w:drawing>
      </w:r>
      <w:r>
        <w:rPr>
          <w:sz w:val="21"/>
          <w:highlight w:val="none"/>
        </w:rPr>
        <mc:AlternateContent>
          <mc:Choice Requires="wps">
            <w:drawing>
              <wp:anchor distT="0" distB="0" distL="114300" distR="114300" simplePos="0" relativeHeight="251672576" behindDoc="0" locked="0" layoutInCell="1" allowOverlap="1">
                <wp:simplePos x="0" y="0"/>
                <wp:positionH relativeFrom="column">
                  <wp:posOffset>3830955</wp:posOffset>
                </wp:positionH>
                <wp:positionV relativeFrom="paragraph">
                  <wp:posOffset>1615440</wp:posOffset>
                </wp:positionV>
                <wp:extent cx="581025" cy="400050"/>
                <wp:effectExtent l="0" t="0" r="9525" b="0"/>
                <wp:wrapNone/>
                <wp:docPr id="28" name="文本框 28"/>
                <wp:cNvGraphicFramePr/>
                <a:graphic xmlns:a="http://schemas.openxmlformats.org/drawingml/2006/main">
                  <a:graphicData uri="http://schemas.microsoft.com/office/word/2010/wordprocessingShape">
                    <wps:wsp>
                      <wps:cNvSpPr txBox="1"/>
                      <wps:spPr>
                        <a:xfrm>
                          <a:off x="0" y="0"/>
                          <a:ext cx="581025" cy="4000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0"/>
                                <w:szCs w:val="20"/>
                                <w:lang w:val="en-US" w:eastAsia="zh-CN"/>
                              </w:rPr>
                            </w:pPr>
                            <w:r>
                              <w:rPr>
                                <w:rFonts w:hint="eastAsia"/>
                                <w:sz w:val="20"/>
                                <w:szCs w:val="20"/>
                                <w:lang w:val="en-US"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1.65pt;margin-top:127.2pt;height:31.5pt;width:45.75pt;z-index:251672576;mso-width-relative:page;mso-height-relative:page;" fillcolor="#FFFFFF [3201]" filled="t" stroked="f" coordsize="21600,21600" o:gfxdata="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ROT7GdcAAAALAQAADwAA&#10;AAAAAAABACAAAAAiAAAAZHJzL2Rvd25yZXYueG1sUEsBAhQAFAAAAAgAh07iQP9oB2hQAgAAkAQA&#10;AA4AAAAAAAAAAQAgAAAAJgEAAGRycy9lMm9Eb2MueG1sUEsFBgAAAAAGAAYAWQEAAOgFAAAAAA==&#10;">
                <v:fill on="t" focussize="0,0"/>
                <v:stroke on="f" weight="0.5pt"/>
                <v:imagedata o:title=""/>
                <o:lock v:ext="edit" aspectratio="f"/>
                <v:textbox>
                  <w:txbxContent>
                    <w:p>
                      <w:pPr>
                        <w:rPr>
                          <w:rFonts w:hint="default" w:eastAsia="宋体"/>
                          <w:sz w:val="20"/>
                          <w:szCs w:val="20"/>
                          <w:lang w:val="en-US" w:eastAsia="zh-CN"/>
                        </w:rPr>
                      </w:pPr>
                      <w:r>
                        <w:rPr>
                          <w:rFonts w:hint="eastAsia"/>
                          <w:sz w:val="20"/>
                          <w:szCs w:val="20"/>
                          <w:lang w:val="en-US" w:eastAsia="zh-CN"/>
                        </w:rPr>
                        <w:t>办公室</w:t>
                      </w:r>
                    </w:p>
                  </w:txbxContent>
                </v:textbox>
              </v:shape>
            </w:pict>
          </mc:Fallback>
        </mc:AlternateContent>
      </w:r>
      <w:r>
        <w:rPr>
          <w:sz w:val="21"/>
          <w:highlight w:val="none"/>
        </w:rPr>
        <mc:AlternateContent>
          <mc:Choice Requires="wps">
            <w:drawing>
              <wp:anchor distT="0" distB="0" distL="114300" distR="114300" simplePos="0" relativeHeight="251674624" behindDoc="0" locked="0" layoutInCell="1" allowOverlap="1">
                <wp:simplePos x="0" y="0"/>
                <wp:positionH relativeFrom="column">
                  <wp:posOffset>6000750</wp:posOffset>
                </wp:positionH>
                <wp:positionV relativeFrom="paragraph">
                  <wp:posOffset>1496695</wp:posOffset>
                </wp:positionV>
                <wp:extent cx="379730" cy="990600"/>
                <wp:effectExtent l="0" t="0" r="1270" b="0"/>
                <wp:wrapNone/>
                <wp:docPr id="30" name="文本框 30"/>
                <wp:cNvGraphicFramePr/>
                <a:graphic xmlns:a="http://schemas.openxmlformats.org/drawingml/2006/main">
                  <a:graphicData uri="http://schemas.microsoft.com/office/word/2010/wordprocessingShape">
                    <wps:wsp>
                      <wps:cNvSpPr txBox="1"/>
                      <wps:spPr>
                        <a:xfrm>
                          <a:off x="0" y="0"/>
                          <a:ext cx="379730" cy="9906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0"/>
                                <w:szCs w:val="20"/>
                                <w:lang w:val="en-US" w:eastAsia="zh-CN"/>
                              </w:rPr>
                            </w:pPr>
                            <w:r>
                              <w:rPr>
                                <w:rFonts w:hint="eastAsia"/>
                                <w:sz w:val="20"/>
                                <w:szCs w:val="20"/>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2.5pt;margin-top:117.85pt;height:78pt;width:29.9pt;z-index:251674624;mso-width-relative:page;mso-height-relative:page;" fillcolor="#FFFFFF [3201]" filled="t" stroked="f" coordsize="21600,21600" o:gfxdata="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Rp7LC2AAAAAwBAAAP&#10;AAAAAAAAAAEAIAAAACIAAABkcnMvZG93bnJldi54bWxQSwECFAAUAAAACACHTuJAVcTuXlECAACQ&#10;BAAADgAAAAAAAAABACAAAAAnAQAAZHJzL2Uyb0RvYy54bWxQSwUGAAAAAAYABgBZAQAA6gUAAAAA&#10;">
                <v:fill on="t" focussize="0,0"/>
                <v:stroke on="f" weight="0.5pt"/>
                <v:imagedata o:title=""/>
                <o:lock v:ext="edit" aspectratio="f"/>
                <v:textbox>
                  <w:txbxContent>
                    <w:p>
                      <w:pPr>
                        <w:rPr>
                          <w:rFonts w:hint="default" w:eastAsia="宋体"/>
                          <w:sz w:val="20"/>
                          <w:szCs w:val="20"/>
                          <w:lang w:val="en-US" w:eastAsia="zh-CN"/>
                        </w:rPr>
                      </w:pPr>
                      <w:r>
                        <w:rPr>
                          <w:rFonts w:hint="eastAsia"/>
                          <w:sz w:val="20"/>
                          <w:szCs w:val="20"/>
                          <w:lang w:val="en-US" w:eastAsia="zh-CN"/>
                        </w:rPr>
                        <w:t>卫生间</w:t>
                      </w:r>
                    </w:p>
                  </w:txbxContent>
                </v:textbox>
              </v:shape>
            </w:pict>
          </mc:Fallback>
        </mc:AlternateContent>
      </w:r>
      <w:r>
        <w:rPr>
          <w:sz w:val="21"/>
          <w:highlight w:val="none"/>
        </w:rPr>
        <mc:AlternateContent>
          <mc:Choice Requires="wps">
            <w:drawing>
              <wp:anchor distT="0" distB="0" distL="114300" distR="114300" simplePos="0" relativeHeight="251676672" behindDoc="0" locked="0" layoutInCell="1" allowOverlap="1">
                <wp:simplePos x="0" y="0"/>
                <wp:positionH relativeFrom="column">
                  <wp:posOffset>2663825</wp:posOffset>
                </wp:positionH>
                <wp:positionV relativeFrom="paragraph">
                  <wp:posOffset>2929255</wp:posOffset>
                </wp:positionV>
                <wp:extent cx="1672590" cy="51816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672590" cy="518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6"/>
                                <w:szCs w:val="36"/>
                                <w:lang w:val="en-US" w:eastAsia="zh-CN"/>
                              </w:rPr>
                            </w:pPr>
                            <w:r>
                              <w:rPr>
                                <w:rFonts w:hint="eastAsia"/>
                                <w:b/>
                                <w:bCs/>
                                <w:sz w:val="36"/>
                                <w:szCs w:val="36"/>
                                <w:lang w:val="en-US" w:eastAsia="zh-CN"/>
                              </w:rPr>
                              <w:t>二楼平面布置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75pt;margin-top:230.65pt;height:40.8pt;width:131.7pt;z-index:251676672;mso-width-relative:page;mso-height-relative:page;" filled="f" stroked="f" coordsize="21600,21600" o:gfxdata="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Owo6dsAAAALAQAADwAAAAAAAAABACAAAAAiAAAA&#10;ZHJzL2Rvd25yZXYueG1sUEsBAhQAFAAAAAgAh07iQDcpRek9AgAAaAQAAA4AAAAAAAAAAQAgAAAA&#10;KgEAAGRycy9lMm9Eb2MueG1sUEsFBgAAAAAGAAYAWQEAANkFAAAAAA==&#10;">
                <v:fill on="f" focussize="0,0"/>
                <v:stroke on="f" weight="0.5pt"/>
                <v:imagedata o:title=""/>
                <o:lock v:ext="edit" aspectratio="f"/>
                <v:textbox>
                  <w:txbxContent>
                    <w:p>
                      <w:pPr>
                        <w:rPr>
                          <w:rFonts w:hint="default" w:eastAsia="宋体"/>
                          <w:b/>
                          <w:bCs/>
                          <w:sz w:val="36"/>
                          <w:szCs w:val="36"/>
                          <w:lang w:val="en-US" w:eastAsia="zh-CN"/>
                        </w:rPr>
                      </w:pPr>
                      <w:r>
                        <w:rPr>
                          <w:rFonts w:hint="eastAsia"/>
                          <w:b/>
                          <w:bCs/>
                          <w:sz w:val="36"/>
                          <w:szCs w:val="36"/>
                          <w:lang w:val="en-US" w:eastAsia="zh-CN"/>
                        </w:rPr>
                        <w:t>二楼平面布置</w:t>
                      </w:r>
                    </w:p>
                  </w:txbxContent>
                </v:textbox>
              </v:shape>
            </w:pict>
          </mc:Fallback>
        </mc:AlternateContent>
      </w:r>
      <w:r>
        <w:rPr>
          <w:sz w:val="21"/>
          <w:highlight w:val="none"/>
        </w:rPr>
        <mc:AlternateContent>
          <mc:Choice Requires="wps">
            <w:drawing>
              <wp:anchor distT="0" distB="0" distL="114300" distR="114300" simplePos="0" relativeHeight="251673600" behindDoc="0" locked="0" layoutInCell="1" allowOverlap="1">
                <wp:simplePos x="0" y="0"/>
                <wp:positionH relativeFrom="column">
                  <wp:posOffset>4995545</wp:posOffset>
                </wp:positionH>
                <wp:positionV relativeFrom="paragraph">
                  <wp:posOffset>1678305</wp:posOffset>
                </wp:positionV>
                <wp:extent cx="581025" cy="400050"/>
                <wp:effectExtent l="0" t="0" r="9525" b="0"/>
                <wp:wrapNone/>
                <wp:docPr id="29" name="文本框 29"/>
                <wp:cNvGraphicFramePr/>
                <a:graphic xmlns:a="http://schemas.openxmlformats.org/drawingml/2006/main">
                  <a:graphicData uri="http://schemas.microsoft.com/office/word/2010/wordprocessingShape">
                    <wps:wsp>
                      <wps:cNvSpPr txBox="1"/>
                      <wps:spPr>
                        <a:xfrm>
                          <a:off x="0" y="0"/>
                          <a:ext cx="581025" cy="4000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0"/>
                                <w:szCs w:val="20"/>
                                <w:lang w:val="en-US" w:eastAsia="zh-CN"/>
                              </w:rPr>
                            </w:pPr>
                            <w:r>
                              <w:rPr>
                                <w:rFonts w:hint="eastAsia"/>
                                <w:sz w:val="20"/>
                                <w:szCs w:val="20"/>
                                <w:lang w:val="en-US"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3.35pt;margin-top:132.15pt;height:31.5pt;width:45.75pt;z-index:251673600;mso-width-relative:page;mso-height-relative:page;" fillcolor="#FFFFFF [3201]" filled="t" stroked="f" coordsize="21600,21600" o:gfxdata="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lKQlLXAAAACwEAAA8A&#10;AAAAAAAAAQAgAAAAIgAAAGRycy9kb3ducmV2LnhtbFBLAQIUABQAAAAIAIdO4kDf9WXNUQIAAJAE&#10;AAAOAAAAAAAAAAEAIAAAACYBAABkcnMvZTJvRG9jLnhtbFBLBQYAAAAABgAGAFkBAADpBQAAAAA=&#10;">
                <v:fill on="t" focussize="0,0"/>
                <v:stroke on="f" weight="0.5pt"/>
                <v:imagedata o:title=""/>
                <o:lock v:ext="edit" aspectratio="f"/>
                <v:textbox>
                  <w:txbxContent>
                    <w:p>
                      <w:pPr>
                        <w:rPr>
                          <w:rFonts w:hint="default" w:eastAsia="宋体"/>
                          <w:sz w:val="20"/>
                          <w:szCs w:val="20"/>
                          <w:lang w:val="en-US" w:eastAsia="zh-CN"/>
                        </w:rPr>
                      </w:pPr>
                      <w:r>
                        <w:rPr>
                          <w:rFonts w:hint="eastAsia"/>
                          <w:sz w:val="20"/>
                          <w:szCs w:val="20"/>
                          <w:lang w:val="en-US" w:eastAsia="zh-CN"/>
                        </w:rPr>
                        <w:t>办公室</w:t>
                      </w:r>
                    </w:p>
                  </w:txbxContent>
                </v:textbox>
              </v:shape>
            </w:pict>
          </mc:Fallback>
        </mc:AlternateContent>
      </w:r>
    </w:p>
    <w:p>
      <w:pPr>
        <w:pStyle w:val="2"/>
        <w:jc w:val="center"/>
        <w:outlineLvl w:val="9"/>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pPr>
    </w:p>
    <w:p>
      <w:pPr>
        <w:pStyle w:val="2"/>
        <w:jc w:val="center"/>
        <w:outlineLvl w:val="0"/>
        <w:rPr>
          <w:rFonts w:hint="default"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sectPr>
          <w:pgSz w:w="16838" w:h="11906" w:orient="landscape"/>
          <w:pgMar w:top="1080" w:right="1440" w:bottom="1080" w:left="1440" w:header="851" w:footer="992" w:gutter="0"/>
          <w:cols w:space="425" w:num="1"/>
          <w:docGrid w:type="lines" w:linePitch="312" w:charSpace="0"/>
        </w:sectPr>
      </w:pP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t>附图3 办公楼平面布置图</w:t>
      </w:r>
    </w:p>
    <w:p>
      <w:pPr>
        <w:pStyle w:val="7"/>
        <w:rPr>
          <w:rFonts w:hint="default"/>
          <w:highlight w:val="none"/>
          <w:lang w:val="en-US" w:eastAsia="zh-CN"/>
        </w:rPr>
      </w:pPr>
      <w:r>
        <w:rPr>
          <w:sz w:val="21"/>
          <w:highlight w:val="none"/>
        </w:rPr>
        <mc:AlternateContent>
          <mc:Choice Requires="wps">
            <w:drawing>
              <wp:anchor distT="0" distB="0" distL="114300" distR="114300" simplePos="0" relativeHeight="251723776" behindDoc="0" locked="0" layoutInCell="1" allowOverlap="1">
                <wp:simplePos x="0" y="0"/>
                <wp:positionH relativeFrom="column">
                  <wp:posOffset>3716655</wp:posOffset>
                </wp:positionH>
                <wp:positionV relativeFrom="paragraph">
                  <wp:posOffset>1203960</wp:posOffset>
                </wp:positionV>
                <wp:extent cx="836930" cy="38481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836930" cy="3848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0000FF"/>
                                <w:sz w:val="21"/>
                                <w:szCs w:val="21"/>
                                <w:lang w:val="en-US" w:eastAsia="zh-CN"/>
                              </w:rPr>
                            </w:pPr>
                            <w:r>
                              <w:rPr>
                                <w:rFonts w:hint="eastAsia"/>
                                <w:color w:val="0000FF"/>
                                <w:sz w:val="21"/>
                                <w:szCs w:val="21"/>
                                <w:lang w:val="en-US" w:eastAsia="zh-CN"/>
                              </w:rPr>
                              <w:t>水处理间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2.65pt;margin-top:94.8pt;height:30.3pt;width:65.9pt;z-index:251723776;mso-width-relative:page;mso-height-relative:page;" filled="f" stroked="f" coordsize="21600,21600" o:gfxdata="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940t/cAAAACwEAAA8AAAAAAAAAAQAgAAAAIgAA&#10;AGRycy9kb3ducmV2LnhtbFBLAQIUABQAAAAIAIdO4kAf5MrPPQIAAGkEAAAOAAAAAAAAAAEAIAAA&#10;ACsBAABkcnMvZTJvRG9jLnhtbFBLBQYAAAAABgAGAFkBAADaBQAAAAA=&#10;">
                <v:fill on="f" focussize="0,0"/>
                <v:stroke on="f" weight="0.5pt"/>
                <v:imagedata o:title=""/>
                <o:lock v:ext="edit" aspectratio="f"/>
                <v:textbox>
                  <w:txbxContent>
                    <w:p>
                      <w:pPr>
                        <w:rPr>
                          <w:rFonts w:hint="default" w:eastAsia="宋体"/>
                          <w:color w:val="0000FF"/>
                          <w:sz w:val="21"/>
                          <w:szCs w:val="21"/>
                          <w:lang w:val="en-US" w:eastAsia="zh-CN"/>
                        </w:rPr>
                      </w:pPr>
                      <w:r>
                        <w:rPr>
                          <w:rFonts w:hint="eastAsia"/>
                          <w:color w:val="0000FF"/>
                          <w:sz w:val="21"/>
                          <w:szCs w:val="21"/>
                          <w:lang w:val="en-US" w:eastAsia="zh-CN"/>
                        </w:rPr>
                        <w:t>水处理间</w:t>
                      </w:r>
                    </w:p>
                  </w:txbxContent>
                </v:textbox>
              </v:shape>
            </w:pict>
          </mc:Fallback>
        </mc:AlternateContent>
      </w:r>
      <w:r>
        <w:rPr>
          <w:sz w:val="21"/>
          <w:highlight w:val="none"/>
        </w:rPr>
        <mc:AlternateContent>
          <mc:Choice Requires="wps">
            <w:drawing>
              <wp:anchor distT="0" distB="0" distL="114300" distR="114300" simplePos="0" relativeHeight="251722752" behindDoc="0" locked="0" layoutInCell="1" allowOverlap="1">
                <wp:simplePos x="0" y="0"/>
                <wp:positionH relativeFrom="column">
                  <wp:posOffset>2914650</wp:posOffset>
                </wp:positionH>
                <wp:positionV relativeFrom="paragraph">
                  <wp:posOffset>4259580</wp:posOffset>
                </wp:positionV>
                <wp:extent cx="415290" cy="328930"/>
                <wp:effectExtent l="0" t="0" r="3810" b="13970"/>
                <wp:wrapNone/>
                <wp:docPr id="107" name="矩形 107"/>
                <wp:cNvGraphicFramePr/>
                <a:graphic xmlns:a="http://schemas.openxmlformats.org/drawingml/2006/main">
                  <a:graphicData uri="http://schemas.microsoft.com/office/word/2010/wordprocessingShape">
                    <wps:wsp>
                      <wps:cNvSpPr/>
                      <wps:spPr>
                        <a:xfrm>
                          <a:off x="3371850" y="5004435"/>
                          <a:ext cx="415290" cy="32893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9.5pt;margin-top:335.4pt;height:25.9pt;width:32.7pt;z-index:251722752;v-text-anchor:middle;mso-width-relative:page;mso-height-relative:page;" fillcolor="#FFFFFF [3212]" filled="t" stroked="f" coordsize="21600,21600" o:gfxdata="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5CPcc2wAAAAsBAAAPAAAAAAAAAAEAIAAAACIA&#10;AABkcnMvZG93bnJldi54bWxQSwECFAAUAAAACACHTuJANM9yGXgCAADaBAAADgAAAAAAAAABACAA&#10;AAAqAQAAZHJzL2Uyb0RvYy54bWxQSwUGAAAAAAYABgBZAQAAFAYAAAAA&#10;">
                <v:fill on="t" focussize="0,0"/>
                <v:stroke on="f" weight="1pt" miterlimit="8" joinstyle="miter"/>
                <v:imagedata o:title=""/>
                <o:lock v:ext="edit" aspectratio="f"/>
              </v:rect>
            </w:pict>
          </mc:Fallback>
        </mc:AlternateContent>
      </w:r>
      <w:r>
        <w:rPr>
          <w:sz w:val="21"/>
          <w:highlight w:val="none"/>
        </w:rPr>
        <mc:AlternateContent>
          <mc:Choice Requires="wps">
            <w:drawing>
              <wp:anchor distT="0" distB="0" distL="114300" distR="114300" simplePos="0" relativeHeight="251679744" behindDoc="0" locked="0" layoutInCell="1" allowOverlap="1">
                <wp:simplePos x="0" y="0"/>
                <wp:positionH relativeFrom="column">
                  <wp:posOffset>2514600</wp:posOffset>
                </wp:positionH>
                <wp:positionV relativeFrom="paragraph">
                  <wp:posOffset>3755390</wp:posOffset>
                </wp:positionV>
                <wp:extent cx="793750" cy="40132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793750"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发电房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8pt;margin-top:295.7pt;height:31.6pt;width:62.5pt;z-index:251679744;mso-width-relative:page;mso-height-relative:page;" filled="f" stroked="f" coordsize="21600,21600" o:gfxdata="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3mjd0AAAALAQAADwAAAAAAAAABACAAAAAiAAAA&#10;ZHJzL2Rvd25yZXYueG1sUEsBAhQAFAAAAAgAh07iQPqUnBY7AgAAZwQAAA4AAAAAAAAAAQAgAAAA&#10;LA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lang w:val="en-US" w:eastAsia="zh-CN"/>
                        </w:rPr>
                        <w:t>发电房</w:t>
                      </w:r>
                    </w:p>
                  </w:txbxContent>
                </v:textbox>
              </v:shape>
            </w:pict>
          </mc:Fallback>
        </mc:AlternateContent>
      </w:r>
      <w:r>
        <w:rPr>
          <w:sz w:val="21"/>
          <w:highlight w:val="none"/>
        </w:rPr>
        <mc:AlternateContent>
          <mc:Choice Requires="wps">
            <w:drawing>
              <wp:anchor distT="0" distB="0" distL="114300" distR="114300" simplePos="0" relativeHeight="251680768" behindDoc="0" locked="0" layoutInCell="1" allowOverlap="1">
                <wp:simplePos x="0" y="0"/>
                <wp:positionH relativeFrom="column">
                  <wp:posOffset>3300095</wp:posOffset>
                </wp:positionH>
                <wp:positionV relativeFrom="paragraph">
                  <wp:posOffset>3451225</wp:posOffset>
                </wp:positionV>
                <wp:extent cx="677545" cy="908685"/>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677545" cy="908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lang w:val="en-US" w:eastAsia="zh-CN"/>
                              </w:rPr>
                              <w:t>进厂</w:t>
                            </w:r>
                          </w:p>
                          <w:p>
                            <w:pPr>
                              <w:rPr>
                                <w:rFonts w:hint="default" w:eastAsia="宋体"/>
                                <w:lang w:val="en-US" w:eastAsia="zh-CN"/>
                              </w:rPr>
                            </w:pPr>
                            <w:r>
                              <w:rPr>
                                <w:rFonts w:hint="eastAsia"/>
                                <w:lang w:val="en-US" w:eastAsia="zh-CN"/>
                              </w:rPr>
                              <w:t>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9.85pt;margin-top:271.75pt;height:71.55pt;width:53.35pt;z-index:251680768;mso-width-relative:page;mso-height-relative:page;" filled="f" stroked="f" coordsize="21600,21600" o:gfxdata="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&#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J0AsHbAAAACwEAAA8AAAAAAAAAAQAgAAAAIgAAAGRy&#10;cy9kb3ducmV2LnhtbFBLAQIUABQAAAAIAIdO4kCTn4M/OwIAAGcEAAAOAAAAAAAAAAEAIAAAACoB&#10;AABkcnMvZTJvRG9jLnhtbFBLBQYAAAAABgAGAFkBAADXBQAAAAA=&#10;">
                <v:fill on="f" focussize="0,0"/>
                <v:stroke on="f" weight="0.5pt"/>
                <v:imagedata o:title=""/>
                <o:lock v:ext="edit" aspectratio="f"/>
                <v:textbox>
                  <w:txbxContent>
                    <w:p>
                      <w:pPr>
                        <w:rPr>
                          <w:rFonts w:hint="eastAsia"/>
                          <w:lang w:val="en-US" w:eastAsia="zh-CN"/>
                        </w:rPr>
                      </w:pPr>
                      <w:r>
                        <w:rPr>
                          <w:rFonts w:hint="eastAsia"/>
                          <w:lang w:val="en-US" w:eastAsia="zh-CN"/>
                        </w:rPr>
                        <w:t>进厂</w:t>
                      </w:r>
                    </w:p>
                    <w:p>
                      <w:pPr>
                        <w:rPr>
                          <w:rFonts w:hint="default" w:eastAsia="宋体"/>
                          <w:lang w:val="en-US" w:eastAsia="zh-CN"/>
                        </w:rPr>
                      </w:pPr>
                      <w:r>
                        <w:rPr>
                          <w:rFonts w:hint="eastAsia"/>
                          <w:lang w:val="en-US" w:eastAsia="zh-CN"/>
                        </w:rPr>
                        <w:t>道路</w:t>
                      </w:r>
                    </w:p>
                  </w:txbxContent>
                </v:textbox>
              </v:shape>
            </w:pict>
          </mc:Fallback>
        </mc:AlternateContent>
      </w:r>
      <w:r>
        <w:rPr>
          <w:sz w:val="21"/>
          <w:highlight w:val="none"/>
        </w:rPr>
        <mc:AlternateContent>
          <mc:Choice Requires="wps">
            <w:drawing>
              <wp:anchor distT="0" distB="0" distL="114300" distR="114300" simplePos="0" relativeHeight="251678720" behindDoc="0" locked="0" layoutInCell="1" allowOverlap="1">
                <wp:simplePos x="0" y="0"/>
                <wp:positionH relativeFrom="column">
                  <wp:posOffset>2707005</wp:posOffset>
                </wp:positionH>
                <wp:positionV relativeFrom="paragraph">
                  <wp:posOffset>2606040</wp:posOffset>
                </wp:positionV>
                <wp:extent cx="793750" cy="40132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793750"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清水池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3.15pt;margin-top:205.2pt;height:31.6pt;width:62.5pt;z-index:251678720;mso-width-relative:page;mso-height-relative:page;" filled="f" stroked="f" coordsize="21600,21600" o:gfxdata="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3BwNwAAAALAQAADwAAAAAAAAABACAAAAAiAAAA&#10;ZHJzL2Rvd25yZXYueG1sUEsBAhQAFAAAAAgAh07iQDF+WyI8AgAAZwQAAA4AAAAAAAAAAQAgAAAA&#10;Kw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lang w:val="en-US" w:eastAsia="zh-CN"/>
                        </w:rPr>
                        <w:t>清水池</w:t>
                      </w:r>
                    </w:p>
                  </w:txbxContent>
                </v:textbox>
              </v:shape>
            </w:pict>
          </mc:Fallback>
        </mc:AlternateContent>
      </w:r>
      <w:r>
        <w:rPr>
          <w:highlight w:val="none"/>
        </w:rPr>
        <w:drawing>
          <wp:inline distT="0" distB="0" distL="114300" distR="114300">
            <wp:extent cx="5347335" cy="5344160"/>
            <wp:effectExtent l="0" t="8255" r="92075" b="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25">
                      <a:clrChange>
                        <a:clrFrom>
                          <a:srgbClr val="FFFFFF">
                            <a:alpha val="100000"/>
                          </a:srgbClr>
                        </a:clrFrom>
                        <a:clrTo>
                          <a:srgbClr val="FFFFFF">
                            <a:alpha val="100000"/>
                            <a:alpha val="0"/>
                          </a:srgbClr>
                        </a:clrTo>
                      </a:clrChange>
                    </a:blip>
                    <a:srcRect l="9034" t="2307" r="2193" b="4358"/>
                    <a:stretch>
                      <a:fillRect/>
                    </a:stretch>
                  </pic:blipFill>
                  <pic:spPr>
                    <a:xfrm rot="240000">
                      <a:off x="0" y="0"/>
                      <a:ext cx="5347335" cy="5344160"/>
                    </a:xfrm>
                    <a:prstGeom prst="rect">
                      <a:avLst/>
                    </a:prstGeom>
                    <a:noFill/>
                    <a:ln>
                      <a:noFill/>
                    </a:ln>
                  </pic:spPr>
                </pic:pic>
              </a:graphicData>
            </a:graphic>
          </wp:inline>
        </w:drawing>
      </w:r>
      <w:r>
        <w:rPr>
          <w:sz w:val="21"/>
          <w:highlight w:val="none"/>
        </w:rPr>
        <mc:AlternateContent>
          <mc:Choice Requires="wps">
            <w:drawing>
              <wp:anchor distT="0" distB="0" distL="114300" distR="114300" simplePos="0" relativeHeight="251691008" behindDoc="0" locked="0" layoutInCell="1" allowOverlap="1">
                <wp:simplePos x="0" y="0"/>
                <wp:positionH relativeFrom="column">
                  <wp:posOffset>2602865</wp:posOffset>
                </wp:positionH>
                <wp:positionV relativeFrom="paragraph">
                  <wp:posOffset>1849755</wp:posOffset>
                </wp:positionV>
                <wp:extent cx="339725" cy="40132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339725"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ascii="宋体" w:hAnsi="宋体" w:eastAsia="宋体" w:cs="宋体"/>
                                <w:lang w:val="en-US" w:eastAsia="zh-CN"/>
                              </w:rPr>
                              <w:t>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95pt;margin-top:145.65pt;height:31.6pt;width:26.75pt;z-index:251691008;mso-width-relative:page;mso-height-relative:page;" filled="f" stroked="f" coordsize="21600,21600" o:gfxdata="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hT/IrcAAAACwEAAA8AAAAAAAAAAQAgAAAAIgAA&#10;AGRycy9kb3ducmV2LnhtbFBLAQIUABQAAAAIAIdO4kAT0ccwPQIAAGcEAAAOAAAAAAAAAAEAIAAA&#10;ACsBAABkcnMvZTJvRG9jLnhtbFBLBQYAAAAABgAGAFkBAADaBQAAAAA=&#10;">
                <v:fill on="f" focussize="0,0"/>
                <v:stroke on="f" weight="0.5pt"/>
                <v:imagedata o:title=""/>
                <o:lock v:ext="edit" aspectratio="f"/>
                <v:textbox>
                  <w:txbxContent>
                    <w:p>
                      <w:pPr>
                        <w:rPr>
                          <w:rFonts w:hint="default" w:eastAsia="宋体"/>
                          <w:lang w:val="en-US" w:eastAsia="zh-CN"/>
                        </w:rPr>
                      </w:pPr>
                      <w:r>
                        <w:rPr>
                          <w:rFonts w:hint="eastAsia" w:ascii="宋体" w:hAnsi="宋体" w:eastAsia="宋体" w:cs="宋体"/>
                          <w:lang w:val="en-US" w:eastAsia="zh-CN"/>
                        </w:rPr>
                        <w:t>⑨</w:t>
                      </w:r>
                    </w:p>
                  </w:txbxContent>
                </v:textbox>
              </v:shape>
            </w:pict>
          </mc:Fallback>
        </mc:AlternateContent>
      </w:r>
      <w:r>
        <w:rPr>
          <w:sz w:val="21"/>
          <w:highlight w:val="none"/>
        </w:rPr>
        <mc:AlternateContent>
          <mc:Choice Requires="wps">
            <w:drawing>
              <wp:anchor distT="0" distB="0" distL="114300" distR="114300" simplePos="0" relativeHeight="251677696" behindDoc="0" locked="0" layoutInCell="1" allowOverlap="1">
                <wp:simplePos x="0" y="0"/>
                <wp:positionH relativeFrom="column">
                  <wp:posOffset>6047105</wp:posOffset>
                </wp:positionH>
                <wp:positionV relativeFrom="paragraph">
                  <wp:posOffset>1156970</wp:posOffset>
                </wp:positionV>
                <wp:extent cx="793750" cy="401320"/>
                <wp:effectExtent l="0" t="0" r="0" b="0"/>
                <wp:wrapNone/>
                <wp:docPr id="35" name="文本框 35"/>
                <wp:cNvGraphicFramePr/>
                <a:graphic xmlns:a="http://schemas.openxmlformats.org/drawingml/2006/main">
                  <a:graphicData uri="http://schemas.microsoft.com/office/word/2010/wordprocessingShape">
                    <wps:wsp>
                      <wps:cNvSpPr txBox="1"/>
                      <wps:spPr>
                        <a:xfrm>
                          <a:off x="6521450" y="2447290"/>
                          <a:ext cx="793750"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取水房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6.15pt;margin-top:91.1pt;height:31.6pt;width:62.5pt;z-index:251677696;mso-width-relative:page;mso-height-relative:page;" filled="f" stroked="f" coordsize="21600,21600" o:gfxdata="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X3Em7cAAAADAEAAA8AAAAAAAAA&#10;AQAgAAAAIgAAAGRycy9kb3ducmV2LnhtbFBLAQIUABQAAAAIAIdO4kCup7nsRgIAAHMEAAAOAAAA&#10;AAAAAAEAIAAAACsBAABkcnMvZTJvRG9jLnhtbFBLBQYAAAAABgAGAFkBAADjBQAAAAA=&#10;">
                <v:fill on="f" focussize="0,0"/>
                <v:stroke on="f" weight="0.5pt"/>
                <v:imagedata o:title=""/>
                <o:lock v:ext="edit" aspectratio="f"/>
                <v:textbox>
                  <w:txbxContent>
                    <w:p>
                      <w:pPr>
                        <w:rPr>
                          <w:rFonts w:hint="default" w:eastAsia="宋体"/>
                          <w:lang w:val="en-US" w:eastAsia="zh-CN"/>
                        </w:rPr>
                      </w:pPr>
                      <w:r>
                        <w:rPr>
                          <w:rFonts w:hint="eastAsia"/>
                          <w:lang w:val="en-US" w:eastAsia="zh-CN"/>
                        </w:rPr>
                        <w:t>取水房</w:t>
                      </w:r>
                    </w:p>
                  </w:txbxContent>
                </v:textbox>
              </v:shape>
            </w:pict>
          </mc:Fallback>
        </mc:AlternateContent>
      </w:r>
      <w:r>
        <w:rPr>
          <w:sz w:val="21"/>
          <w:highlight w:val="none"/>
        </w:rPr>
        <mc:AlternateContent>
          <mc:Choice Requires="wps">
            <w:drawing>
              <wp:anchor distT="0" distB="0" distL="114300" distR="114300" simplePos="0" relativeHeight="251688960" behindDoc="0" locked="0" layoutInCell="1" allowOverlap="1">
                <wp:simplePos x="0" y="0"/>
                <wp:positionH relativeFrom="column">
                  <wp:posOffset>3924935</wp:posOffset>
                </wp:positionH>
                <wp:positionV relativeFrom="paragraph">
                  <wp:posOffset>1922780</wp:posOffset>
                </wp:positionV>
                <wp:extent cx="339725" cy="40132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339725"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ascii="宋体" w:hAnsi="宋体" w:eastAsia="宋体" w:cs="宋体"/>
                                <w:lang w:val="en-US" w:eastAsia="zh-CN"/>
                              </w:rPr>
                              <w:t>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05pt;margin-top:151.4pt;height:31.6pt;width:26.75pt;z-index:251688960;mso-width-relative:page;mso-height-relative:page;" filled="f" stroked="f" coordsize="21600,21600" o:gfxdata="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1j8wvbAAAACwEAAA8AAAAAAAAAAQAgAAAAIgAA&#10;AGRycy9kb3ducmV2LnhtbFBLAQIUABQAAAAIAIdO4kBSSU6QPgIAAGcEAAAOAAAAAAAAAAEAIAAA&#10;ACoBAABkcnMvZTJvRG9jLnhtbFBLBQYAAAAABgAGAFkBAADaBQAAAAA=&#10;">
                <v:fill on="f" focussize="0,0"/>
                <v:stroke on="f" weight="0.5pt"/>
                <v:imagedata o:title=""/>
                <o:lock v:ext="edit" aspectratio="f"/>
                <v:textbox>
                  <w:txbxContent>
                    <w:p>
                      <w:pPr>
                        <w:rPr>
                          <w:rFonts w:hint="default" w:eastAsia="宋体"/>
                          <w:lang w:val="en-US" w:eastAsia="zh-CN"/>
                        </w:rPr>
                      </w:pPr>
                      <w:r>
                        <w:rPr>
                          <w:rFonts w:hint="eastAsia" w:ascii="宋体" w:hAnsi="宋体" w:eastAsia="宋体" w:cs="宋体"/>
                          <w:lang w:val="en-US" w:eastAsia="zh-CN"/>
                        </w:rPr>
                        <w:t>⑧</w:t>
                      </w:r>
                    </w:p>
                  </w:txbxContent>
                </v:textbox>
              </v:shape>
            </w:pict>
          </mc:Fallback>
        </mc:AlternateContent>
      </w:r>
      <w:r>
        <w:rPr>
          <w:sz w:val="21"/>
          <w:highlight w:val="none"/>
        </w:rPr>
        <mc:AlternateContent>
          <mc:Choice Requires="wps">
            <w:drawing>
              <wp:anchor distT="0" distB="0" distL="114300" distR="114300" simplePos="0" relativeHeight="251687936" behindDoc="0" locked="0" layoutInCell="1" allowOverlap="1">
                <wp:simplePos x="0" y="0"/>
                <wp:positionH relativeFrom="column">
                  <wp:posOffset>3576955</wp:posOffset>
                </wp:positionH>
                <wp:positionV relativeFrom="paragraph">
                  <wp:posOffset>1619885</wp:posOffset>
                </wp:positionV>
                <wp:extent cx="339725" cy="40132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339725"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ascii="宋体" w:hAnsi="宋体" w:eastAsia="宋体" w:cs="宋体"/>
                                <w:lang w:val="en-US" w:eastAsia="zh-CN"/>
                              </w:rPr>
                              <w:t>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1.65pt;margin-top:127.55pt;height:31.6pt;width:26.75pt;z-index:251687936;mso-width-relative:page;mso-height-relative:page;" filled="f" stroked="f" coordsize="21600,21600" o:gfxdata="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felotsAAAALAQAADwAAAAAAAAABACAAAAAiAAAA&#10;ZHJzL2Rvd25yZXYueG1sUEsBAhQAFAAAAAgAh07iQAg2jXg9AgAAZwQAAA4AAAAAAAAAAQAgAAAA&#10;Kg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ascii="宋体" w:hAnsi="宋体" w:eastAsia="宋体" w:cs="宋体"/>
                          <w:lang w:val="en-US" w:eastAsia="zh-CN"/>
                        </w:rPr>
                        <w:t>⑦</w:t>
                      </w:r>
                    </w:p>
                  </w:txbxContent>
                </v:textbox>
              </v:shape>
            </w:pict>
          </mc:Fallback>
        </mc:AlternateContent>
      </w:r>
      <w:r>
        <w:rPr>
          <w:sz w:val="21"/>
          <w:highlight w:val="none"/>
        </w:rPr>
        <mc:AlternateContent>
          <mc:Choice Requires="wps">
            <w:drawing>
              <wp:anchor distT="0" distB="0" distL="114300" distR="114300" simplePos="0" relativeHeight="251684864" behindDoc="0" locked="0" layoutInCell="1" allowOverlap="1">
                <wp:simplePos x="0" y="0"/>
                <wp:positionH relativeFrom="column">
                  <wp:posOffset>4601210</wp:posOffset>
                </wp:positionH>
                <wp:positionV relativeFrom="paragraph">
                  <wp:posOffset>1059180</wp:posOffset>
                </wp:positionV>
                <wp:extent cx="339725" cy="40132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339725"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ascii="宋体" w:hAnsi="宋体" w:eastAsia="宋体" w:cs="宋体"/>
                                <w:lang w:val="en-US" w:eastAsia="zh-CN"/>
                              </w:rPr>
                              <w:t>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2.3pt;margin-top:83.4pt;height:31.6pt;width:26.75pt;z-index:251684864;mso-width-relative:page;mso-height-relative:page;" filled="f" stroked="f" coordsize="21600,21600" o:gfxdata="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ljZntsAAAALAQAADwAAAAAAAAABACAAAAAiAAAA&#10;ZHJzL2Rvd25yZXYueG1sUEsBAhQAFAAAAAgAh07iQGxbfq49AgAAZwQAAA4AAAAAAAAAAQAgAAAA&#10;Kg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ascii="宋体" w:hAnsi="宋体" w:eastAsia="宋体" w:cs="宋体"/>
                          <w:lang w:val="en-US" w:eastAsia="zh-CN"/>
                        </w:rPr>
                        <w:t>④</w:t>
                      </w:r>
                    </w:p>
                  </w:txbxContent>
                </v:textbox>
              </v:shape>
            </w:pict>
          </mc:Fallback>
        </mc:AlternateContent>
      </w:r>
      <w:r>
        <w:rPr>
          <w:sz w:val="21"/>
          <w:highlight w:val="none"/>
        </w:rPr>
        <mc:AlternateContent>
          <mc:Choice Requires="wps">
            <w:drawing>
              <wp:anchor distT="0" distB="0" distL="114300" distR="114300" simplePos="0" relativeHeight="251685888" behindDoc="0" locked="0" layoutInCell="1" allowOverlap="1">
                <wp:simplePos x="0" y="0"/>
                <wp:positionH relativeFrom="column">
                  <wp:posOffset>3050540</wp:posOffset>
                </wp:positionH>
                <wp:positionV relativeFrom="paragraph">
                  <wp:posOffset>1318895</wp:posOffset>
                </wp:positionV>
                <wp:extent cx="339725" cy="40132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339725"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ascii="宋体" w:hAnsi="宋体" w:eastAsia="宋体" w:cs="宋体"/>
                                <w:lang w:val="en-US" w:eastAsia="zh-CN"/>
                              </w:rPr>
                              <w:t>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0.2pt;margin-top:103.85pt;height:31.6pt;width:26.75pt;z-index:251685888;mso-width-relative:page;mso-height-relative:page;" filled="f" stroked="f" coordsize="21600,21600" o:gfxdata="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avrEN3AAAAAsBAAAPAAAAAAAAAAEAIAAAACIA&#10;AABkcnMvZG93bnJldi54bWxQSwECFAAUAAAACACHTuJAw9xKTD4CAABnBAAADgAAAAAAAAABACAA&#10;AAArAQAAZHJzL2Uyb0RvYy54bWxQSwUGAAAAAAYABgBZAQAA2wUAAAAA&#10;">
                <v:fill on="f" focussize="0,0"/>
                <v:stroke on="f" weight="0.5pt"/>
                <v:imagedata o:title=""/>
                <o:lock v:ext="edit" aspectratio="f"/>
                <v:textbox>
                  <w:txbxContent>
                    <w:p>
                      <w:pPr>
                        <w:rPr>
                          <w:rFonts w:hint="default" w:eastAsia="宋体"/>
                          <w:lang w:val="en-US" w:eastAsia="zh-CN"/>
                        </w:rPr>
                      </w:pPr>
                      <w:r>
                        <w:rPr>
                          <w:rFonts w:hint="eastAsia" w:ascii="宋体" w:hAnsi="宋体" w:eastAsia="宋体" w:cs="宋体"/>
                          <w:lang w:val="en-US" w:eastAsia="zh-CN"/>
                        </w:rPr>
                        <w:t>⑤</w:t>
                      </w:r>
                    </w:p>
                  </w:txbxContent>
                </v:textbox>
              </v:shape>
            </w:pict>
          </mc:Fallback>
        </mc:AlternateContent>
      </w:r>
      <w:r>
        <w:rPr>
          <w:sz w:val="21"/>
          <w:highlight w:val="none"/>
        </w:rPr>
        <mc:AlternateContent>
          <mc:Choice Requires="wps">
            <w:drawing>
              <wp:anchor distT="0" distB="0" distL="114300" distR="114300" simplePos="0" relativeHeight="251686912" behindDoc="0" locked="0" layoutInCell="1" allowOverlap="1">
                <wp:simplePos x="0" y="0"/>
                <wp:positionH relativeFrom="column">
                  <wp:posOffset>3352800</wp:posOffset>
                </wp:positionH>
                <wp:positionV relativeFrom="paragraph">
                  <wp:posOffset>1203960</wp:posOffset>
                </wp:positionV>
                <wp:extent cx="339725" cy="40132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339725"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ascii="宋体" w:hAnsi="宋体" w:eastAsia="宋体" w:cs="宋体"/>
                                <w:lang w:val="en-US" w:eastAsia="zh-CN"/>
                              </w:rPr>
                              <w:t>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pt;margin-top:94.8pt;height:31.6pt;width:26.75pt;z-index:251686912;mso-width-relative:page;mso-height-relative:page;" filled="f" stroked="f" coordsize="21600,21600" o:gfxdata="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39nwdoAAAALAQAADwAAAAAAAAABACAAAAAiAAAA&#10;ZHJzL2Rvd25yZXYueG1sUEsBAhQAFAAAAAgAh07iQJmjiaQ+AgAAZwQAAA4AAAAAAAAAAQAgAAAA&#10;KQ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ascii="宋体" w:hAnsi="宋体" w:eastAsia="宋体" w:cs="宋体"/>
                          <w:lang w:val="en-US" w:eastAsia="zh-CN"/>
                        </w:rPr>
                        <w:t>⑥</w:t>
                      </w:r>
                    </w:p>
                  </w:txbxContent>
                </v:textbox>
              </v:shape>
            </w:pict>
          </mc:Fallback>
        </mc:AlternateContent>
      </w:r>
      <w:r>
        <w:rPr>
          <w:sz w:val="21"/>
          <w:highlight w:val="none"/>
        </w:rPr>
        <mc:AlternateContent>
          <mc:Choice Requires="wps">
            <w:drawing>
              <wp:anchor distT="0" distB="0" distL="114300" distR="114300" simplePos="0" relativeHeight="251683840" behindDoc="0" locked="0" layoutInCell="1" allowOverlap="1">
                <wp:simplePos x="0" y="0"/>
                <wp:positionH relativeFrom="column">
                  <wp:posOffset>4100195</wp:posOffset>
                </wp:positionH>
                <wp:positionV relativeFrom="paragraph">
                  <wp:posOffset>954405</wp:posOffset>
                </wp:positionV>
                <wp:extent cx="339725" cy="40132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339725"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ascii="宋体" w:hAnsi="宋体" w:eastAsia="宋体" w:cs="宋体"/>
                                <w:lang w:val="en-US" w:eastAsia="zh-CN"/>
                              </w:rPr>
                              <w:t>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2.85pt;margin-top:75.15pt;height:31.6pt;width:26.75pt;z-index:251683840;mso-width-relative:page;mso-height-relative:page;" filled="f" stroked="f" coordsize="21600,21600" o:gfxdata="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SoPTv3AAAAAsBAAAPAAAAAAAAAAEAIAAAACIA&#10;AABkcnMvZG93bnJldi54bWxQSwECFAAUAAAACACHTuJANiS9Rj4CAABnBAAADgAAAAAAAAABACAA&#10;AAArAQAAZHJzL2Uyb0RvYy54bWxQSwUGAAAAAAYABgBZAQAA2wUAAAAA&#10;">
                <v:fill on="f" focussize="0,0"/>
                <v:stroke on="f" weight="0.5pt"/>
                <v:imagedata o:title=""/>
                <o:lock v:ext="edit" aspectratio="f"/>
                <v:textbox>
                  <w:txbxContent>
                    <w:p>
                      <w:pPr>
                        <w:rPr>
                          <w:rFonts w:hint="default" w:eastAsia="宋体"/>
                          <w:lang w:val="en-US" w:eastAsia="zh-CN"/>
                        </w:rPr>
                      </w:pPr>
                      <w:r>
                        <w:rPr>
                          <w:rFonts w:hint="eastAsia" w:ascii="宋体" w:hAnsi="宋体" w:eastAsia="宋体" w:cs="宋体"/>
                          <w:lang w:val="en-US" w:eastAsia="zh-CN"/>
                        </w:rPr>
                        <w:t>③</w:t>
                      </w:r>
                    </w:p>
                  </w:txbxContent>
                </v:textbox>
              </v:shape>
            </w:pict>
          </mc:Fallback>
        </mc:AlternateContent>
      </w:r>
      <w:r>
        <w:rPr>
          <w:sz w:val="21"/>
          <w:highlight w:val="none"/>
        </w:rPr>
        <mc:AlternateContent>
          <mc:Choice Requires="wps">
            <w:drawing>
              <wp:anchor distT="0" distB="0" distL="114300" distR="114300" simplePos="0" relativeHeight="251682816" behindDoc="0" locked="0" layoutInCell="1" allowOverlap="1">
                <wp:simplePos x="0" y="0"/>
                <wp:positionH relativeFrom="column">
                  <wp:posOffset>3900170</wp:posOffset>
                </wp:positionH>
                <wp:positionV relativeFrom="paragraph">
                  <wp:posOffset>824230</wp:posOffset>
                </wp:positionV>
                <wp:extent cx="339725" cy="40132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339725"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ascii="宋体" w:hAnsi="宋体" w:eastAsia="宋体" w:cs="宋体"/>
                                <w:lang w:val="en-US" w:eastAsia="zh-CN"/>
                              </w:rPr>
                              <w:t>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7.1pt;margin-top:64.9pt;height:31.6pt;width:26.75pt;z-index:251682816;mso-width-relative:page;mso-height-relative:page;" filled="f" stroked="f" coordsize="21600,21600" o:gfxdata="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YkDg/bAAAACwEAAA8AAAAAAAAAAQAgAAAAIgAA&#10;AGRycy9kb3ducmV2LnhtbFBLAQIUABQAAAAIAIdO4kBzUmaxPgIAAGcEAAAOAAAAAAAAAAEAIAAA&#10;ACoBAABkcnMvZTJvRG9jLnhtbFBLBQYAAAAABgAGAFkBAADaBQAAAAA=&#10;">
                <v:fill on="f" focussize="0,0"/>
                <v:stroke on="f" weight="0.5pt"/>
                <v:imagedata o:title=""/>
                <o:lock v:ext="edit" aspectratio="f"/>
                <v:textbox>
                  <w:txbxContent>
                    <w:p>
                      <w:pPr>
                        <w:rPr>
                          <w:rFonts w:hint="default" w:eastAsia="宋体"/>
                          <w:lang w:val="en-US" w:eastAsia="zh-CN"/>
                        </w:rPr>
                      </w:pPr>
                      <w:r>
                        <w:rPr>
                          <w:rFonts w:hint="eastAsia" w:ascii="宋体" w:hAnsi="宋体" w:eastAsia="宋体" w:cs="宋体"/>
                          <w:lang w:val="en-US" w:eastAsia="zh-CN"/>
                        </w:rPr>
                        <w:t>②</w:t>
                      </w:r>
                    </w:p>
                  </w:txbxContent>
                </v:textbox>
              </v:shape>
            </w:pict>
          </mc:Fallback>
        </mc:AlternateContent>
      </w:r>
      <w:r>
        <w:rPr>
          <w:sz w:val="21"/>
          <w:highlight w:val="none"/>
        </w:rPr>
        <mc:AlternateContent>
          <mc:Choice Requires="wps">
            <w:drawing>
              <wp:anchor distT="0" distB="0" distL="114300" distR="114300" simplePos="0" relativeHeight="251681792" behindDoc="0" locked="0" layoutInCell="1" allowOverlap="1">
                <wp:simplePos x="0" y="0"/>
                <wp:positionH relativeFrom="column">
                  <wp:posOffset>3714115</wp:posOffset>
                </wp:positionH>
                <wp:positionV relativeFrom="paragraph">
                  <wp:posOffset>623570</wp:posOffset>
                </wp:positionV>
                <wp:extent cx="339725" cy="40132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339725"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ascii="宋体" w:hAnsi="宋体" w:eastAsia="宋体" w:cs="宋体"/>
                                <w:lang w:val="en-US" w:eastAsia="zh-CN"/>
                              </w:rPr>
                              <w:t>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2.45pt;margin-top:49.1pt;height:31.6pt;width:26.75pt;z-index:251681792;mso-width-relative:page;mso-height-relative:page;" filled="f" stroked="f" coordsize="21600,21600" o:gfxdata="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Ml89sAAAAKAQAADwAAAAAAAAABACAAAAAiAAAA&#10;ZHJzL2Rvd25yZXYueG1sUEsBAhQAFAAAAAgAh07iQIaqkbs9AgAAZwQAAA4AAAAAAAAAAQAgAAAA&#10;Kg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ascii="宋体" w:hAnsi="宋体" w:eastAsia="宋体" w:cs="宋体"/>
                          <w:lang w:val="en-US" w:eastAsia="zh-CN"/>
                        </w:rPr>
                        <w:t>①</w:t>
                      </w:r>
                    </w:p>
                  </w:txbxContent>
                </v:textbox>
              </v:shape>
            </w:pict>
          </mc:Fallback>
        </mc:AlternateContent>
      </w:r>
      <w:r>
        <w:rPr>
          <w:sz w:val="21"/>
          <w:highlight w:val="none"/>
        </w:rPr>
        <mc:AlternateContent>
          <mc:Choice Requires="wps">
            <w:drawing>
              <wp:anchor distT="0" distB="0" distL="114300" distR="114300" simplePos="0" relativeHeight="251689984" behindDoc="0" locked="0" layoutInCell="1" allowOverlap="1">
                <wp:simplePos x="0" y="0"/>
                <wp:positionH relativeFrom="column">
                  <wp:posOffset>3575685</wp:posOffset>
                </wp:positionH>
                <wp:positionV relativeFrom="paragraph">
                  <wp:posOffset>189865</wp:posOffset>
                </wp:positionV>
                <wp:extent cx="339725" cy="40132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339725"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ascii="宋体" w:hAnsi="宋体" w:eastAsia="宋体" w:cs="宋体"/>
                                <w:lang w:val="en-US" w:eastAsia="zh-CN"/>
                              </w:rPr>
                              <w:t>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1.55pt;margin-top:14.95pt;height:31.6pt;width:26.75pt;z-index:251689984;mso-width-relative:page;mso-height-relative:page;" filled="f" stroked="f" coordsize="21600,21600" o:gfxdata="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7egMnaAAAACQEAAA8AAAAAAAAAAQAgAAAAIgAAAGRy&#10;cy9kb3ducmV2LnhtbFBLAQIUABQAAAAIAIdO4kBJrgTYPAIAAGcEAAAOAAAAAAAAAAEAIAAAACkB&#10;AABkcnMvZTJvRG9jLnhtbFBLBQYAAAAABgAGAFkBAADXBQAAAAA=&#10;">
                <v:fill on="f" focussize="0,0"/>
                <v:stroke on="f" weight="0.5pt"/>
                <v:imagedata o:title=""/>
                <o:lock v:ext="edit" aspectratio="f"/>
                <v:textbox>
                  <w:txbxContent>
                    <w:p>
                      <w:pPr>
                        <w:rPr>
                          <w:rFonts w:hint="default" w:eastAsia="宋体"/>
                          <w:lang w:val="en-US" w:eastAsia="zh-CN"/>
                        </w:rPr>
                      </w:pPr>
                      <w:r>
                        <w:rPr>
                          <w:rFonts w:hint="eastAsia" w:ascii="宋体" w:hAnsi="宋体" w:eastAsia="宋体" w:cs="宋体"/>
                          <w:lang w:val="en-US" w:eastAsia="zh-CN"/>
                        </w:rPr>
                        <w:t>⑨</w:t>
                      </w:r>
                    </w:p>
                  </w:txbxContent>
                </v:textbox>
              </v:shape>
            </w:pict>
          </mc:Fallback>
        </mc:AlternateContent>
      </w:r>
      <w:r>
        <w:rPr>
          <w:sz w:val="21"/>
          <w:highlight w:val="none"/>
        </w:rPr>
        <mc:AlternateContent>
          <mc:Choice Requires="wps">
            <w:drawing>
              <wp:anchor distT="0" distB="0" distL="114300" distR="114300" simplePos="0" relativeHeight="251693056" behindDoc="0" locked="0" layoutInCell="1" allowOverlap="1">
                <wp:simplePos x="0" y="0"/>
                <wp:positionH relativeFrom="column">
                  <wp:posOffset>7861935</wp:posOffset>
                </wp:positionH>
                <wp:positionV relativeFrom="paragraph">
                  <wp:posOffset>5166360</wp:posOffset>
                </wp:positionV>
                <wp:extent cx="362585" cy="2540"/>
                <wp:effectExtent l="0" t="20320" r="18415" b="34290"/>
                <wp:wrapNone/>
                <wp:docPr id="53" name="直接连接符 53"/>
                <wp:cNvGraphicFramePr/>
                <a:graphic xmlns:a="http://schemas.openxmlformats.org/drawingml/2006/main">
                  <a:graphicData uri="http://schemas.microsoft.com/office/word/2010/wordprocessingShape">
                    <wps:wsp>
                      <wps:cNvCnPr/>
                      <wps:spPr>
                        <a:xfrm flipH="1" flipV="1">
                          <a:off x="0" y="0"/>
                          <a:ext cx="362585" cy="2540"/>
                        </a:xfrm>
                        <a:prstGeom prst="line">
                          <a:avLst/>
                        </a:prstGeom>
                        <a:ln w="41275">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619.05pt;margin-top:406.8pt;height:0.2pt;width:28.55pt;z-index:251693056;mso-width-relative:page;mso-height-relative:page;" filled="f" stroked="t" coordsize="21600,21600" o:gfxdata="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mJGJPbAAAADQEAAA8AAAAAAAAAAQAgAAAAIgAAAGRycy9kb3ducmV2&#10;LnhtbFBLAQIUABQAAAAIAIdO4kCcxUXP+QEAAMoDAAAOAAAAAAAAAAEAIAAAACoBAABkcnMvZTJv&#10;RG9jLnhtbFBLBQYAAAAABgAGAFkBAACVBQAAAAA=&#10;">
                <v:fill on="f" focussize="0,0"/>
                <v:stroke weight="3.25pt" color="#FFFF00 [3204]" miterlimit="8" joinstyle="miter"/>
                <v:imagedata o:title=""/>
                <o:lock v:ext="edit" aspectratio="f"/>
              </v:line>
            </w:pict>
          </mc:Fallback>
        </mc:AlternateContent>
      </w:r>
      <w:r>
        <w:rPr>
          <w:highlight w:val="none"/>
        </w:rPr>
        <w:drawing>
          <wp:anchor distT="0" distB="0" distL="114300" distR="114300" simplePos="0" relativeHeight="251694080" behindDoc="0" locked="0" layoutInCell="1" allowOverlap="1">
            <wp:simplePos x="0" y="0"/>
            <wp:positionH relativeFrom="column">
              <wp:posOffset>8026400</wp:posOffset>
            </wp:positionH>
            <wp:positionV relativeFrom="paragraph">
              <wp:posOffset>46990</wp:posOffset>
            </wp:positionV>
            <wp:extent cx="841375" cy="816610"/>
            <wp:effectExtent l="0" t="0" r="15875" b="2540"/>
            <wp:wrapNone/>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22"/>
                    <a:stretch>
                      <a:fillRect/>
                    </a:stretch>
                  </pic:blipFill>
                  <pic:spPr>
                    <a:xfrm>
                      <a:off x="0" y="0"/>
                      <a:ext cx="841375" cy="816610"/>
                    </a:xfrm>
                    <a:prstGeom prst="rect">
                      <a:avLst/>
                    </a:prstGeom>
                    <a:noFill/>
                    <a:ln>
                      <a:noFill/>
                    </a:ln>
                  </pic:spPr>
                </pic:pic>
              </a:graphicData>
            </a:graphic>
          </wp:anchor>
        </w:drawing>
      </w:r>
      <w:r>
        <w:rPr>
          <w:sz w:val="21"/>
          <w:highlight w:val="none"/>
        </w:rPr>
        <mc:AlternateContent>
          <mc:Choice Requires="wps">
            <w:drawing>
              <wp:anchor distT="0" distB="0" distL="114300" distR="114300" simplePos="0" relativeHeight="251692032" behindDoc="0" locked="0" layoutInCell="1" allowOverlap="1">
                <wp:simplePos x="0" y="0"/>
                <wp:positionH relativeFrom="column">
                  <wp:posOffset>6809105</wp:posOffset>
                </wp:positionH>
                <wp:positionV relativeFrom="paragraph">
                  <wp:posOffset>3479800</wp:posOffset>
                </wp:positionV>
                <wp:extent cx="2054225" cy="1830070"/>
                <wp:effectExtent l="4445" t="4445" r="17780" b="13335"/>
                <wp:wrapNone/>
                <wp:docPr id="52" name="文本框 52"/>
                <wp:cNvGraphicFramePr/>
                <a:graphic xmlns:a="http://schemas.openxmlformats.org/drawingml/2006/main">
                  <a:graphicData uri="http://schemas.microsoft.com/office/word/2010/wordprocessingShape">
                    <wps:wsp>
                      <wps:cNvSpPr txBox="1"/>
                      <wps:spPr>
                        <a:xfrm>
                          <a:off x="6563995" y="4542790"/>
                          <a:ext cx="2054225" cy="18300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lang w:val="en-US" w:eastAsia="zh-CN"/>
                              </w:rPr>
                              <w:t>图例：</w:t>
                            </w:r>
                          </w:p>
                          <w:p>
                            <w:pPr>
                              <w:pStyle w:val="2"/>
                              <w:rPr>
                                <w:rFonts w:hint="eastAsia"/>
                                <w:sz w:val="21"/>
                                <w:szCs w:val="21"/>
                                <w:lang w:val="en-US" w:eastAsia="zh-CN"/>
                              </w:rPr>
                            </w:pPr>
                            <w:r>
                              <w:rPr>
                                <w:rFonts w:hint="eastAsia" w:ascii="宋体" w:hAnsi="宋体" w:eastAsia="宋体" w:cs="宋体"/>
                                <w:sz w:val="21"/>
                                <w:szCs w:val="21"/>
                                <w:lang w:val="en-US" w:eastAsia="zh-CN"/>
                              </w:rPr>
                              <w:t>①</w:t>
                            </w:r>
                            <w:r>
                              <w:rPr>
                                <w:rFonts w:hint="eastAsia"/>
                                <w:sz w:val="21"/>
                                <w:szCs w:val="21"/>
                                <w:lang w:val="en-US" w:eastAsia="zh-CN"/>
                              </w:rPr>
                              <w:t xml:space="preserve">絮凝池      </w:t>
                            </w:r>
                            <w:r>
                              <w:rPr>
                                <w:rFonts w:hint="eastAsia" w:ascii="宋体" w:hAnsi="宋体" w:eastAsia="宋体" w:cs="宋体"/>
                                <w:sz w:val="21"/>
                                <w:szCs w:val="21"/>
                                <w:lang w:val="en-US" w:eastAsia="zh-CN"/>
                              </w:rPr>
                              <w:t>⑥</w:t>
                            </w:r>
                            <w:r>
                              <w:rPr>
                                <w:rFonts w:hint="eastAsia"/>
                                <w:sz w:val="21"/>
                                <w:szCs w:val="21"/>
                                <w:lang w:val="en-US" w:eastAsia="zh-CN"/>
                              </w:rPr>
                              <w:t>控制室</w:t>
                            </w:r>
                          </w:p>
                          <w:p>
                            <w:pPr>
                              <w:pStyle w:val="7"/>
                              <w:jc w:val="both"/>
                              <w:rPr>
                                <w:rFonts w:hint="eastAsia"/>
                                <w:sz w:val="21"/>
                                <w:szCs w:val="21"/>
                                <w:lang w:val="en-US" w:eastAsia="zh-CN"/>
                              </w:rPr>
                            </w:pPr>
                            <w:r>
                              <w:rPr>
                                <w:rFonts w:hint="eastAsia" w:ascii="宋体" w:hAnsi="宋体" w:eastAsia="宋体" w:cs="宋体"/>
                                <w:sz w:val="21"/>
                                <w:szCs w:val="21"/>
                                <w:lang w:val="en-US" w:eastAsia="zh-CN"/>
                              </w:rPr>
                              <w:t>②</w:t>
                            </w:r>
                            <w:r>
                              <w:rPr>
                                <w:rFonts w:hint="eastAsia"/>
                                <w:sz w:val="21"/>
                                <w:szCs w:val="21"/>
                                <w:lang w:val="en-US" w:eastAsia="zh-CN"/>
                              </w:rPr>
                              <w:t xml:space="preserve">沉淀池      </w:t>
                            </w:r>
                            <w:r>
                              <w:rPr>
                                <w:rFonts w:hint="eastAsia" w:ascii="宋体" w:hAnsi="宋体" w:eastAsia="宋体" w:cs="宋体"/>
                                <w:sz w:val="21"/>
                                <w:szCs w:val="21"/>
                                <w:lang w:val="en-US" w:eastAsia="zh-CN"/>
                              </w:rPr>
                              <w:t>⑦</w:t>
                            </w:r>
                            <w:r>
                              <w:rPr>
                                <w:rFonts w:hint="eastAsia"/>
                                <w:sz w:val="21"/>
                                <w:szCs w:val="21"/>
                                <w:lang w:val="en-US" w:eastAsia="zh-CN"/>
                              </w:rPr>
                              <w:t>反洗泵房</w:t>
                            </w:r>
                          </w:p>
                          <w:p>
                            <w:pPr>
                              <w:rPr>
                                <w:rFonts w:hint="eastAsia"/>
                                <w:sz w:val="21"/>
                                <w:szCs w:val="21"/>
                                <w:lang w:val="en-US" w:eastAsia="zh-CN"/>
                              </w:rPr>
                            </w:pPr>
                            <w:r>
                              <w:rPr>
                                <w:rFonts w:hint="eastAsia" w:ascii="宋体" w:hAnsi="宋体" w:eastAsia="宋体" w:cs="宋体"/>
                                <w:sz w:val="21"/>
                                <w:szCs w:val="21"/>
                                <w:lang w:val="en-US" w:eastAsia="zh-CN"/>
                              </w:rPr>
                              <w:t>③</w:t>
                            </w:r>
                            <w:r>
                              <w:rPr>
                                <w:rFonts w:hint="eastAsia"/>
                                <w:sz w:val="21"/>
                                <w:szCs w:val="21"/>
                                <w:lang w:val="en-US" w:eastAsia="zh-CN"/>
                              </w:rPr>
                              <w:t xml:space="preserve">过滤池      </w:t>
                            </w:r>
                            <w:r>
                              <w:rPr>
                                <w:rFonts w:hint="eastAsia" w:ascii="宋体" w:hAnsi="宋体" w:eastAsia="宋体" w:cs="宋体"/>
                                <w:sz w:val="21"/>
                                <w:szCs w:val="21"/>
                                <w:lang w:val="en-US" w:eastAsia="zh-CN"/>
                              </w:rPr>
                              <w:t>⑧</w:t>
                            </w:r>
                            <w:r>
                              <w:rPr>
                                <w:rFonts w:hint="eastAsia"/>
                                <w:sz w:val="21"/>
                                <w:szCs w:val="21"/>
                                <w:lang w:val="en-US" w:eastAsia="zh-CN"/>
                              </w:rPr>
                              <w:t>风机房</w:t>
                            </w:r>
                          </w:p>
                          <w:p>
                            <w:pPr>
                              <w:pStyle w:val="2"/>
                              <w:rPr>
                                <w:rFonts w:hint="eastAsia"/>
                                <w:sz w:val="21"/>
                                <w:szCs w:val="21"/>
                                <w:lang w:val="en-US" w:eastAsia="zh-CN"/>
                              </w:rPr>
                            </w:pPr>
                            <w:r>
                              <w:rPr>
                                <w:rFonts w:hint="eastAsia" w:ascii="宋体" w:hAnsi="宋体" w:eastAsia="宋体" w:cs="宋体"/>
                                <w:sz w:val="21"/>
                                <w:szCs w:val="21"/>
                                <w:lang w:val="en-US" w:eastAsia="zh-CN"/>
                              </w:rPr>
                              <w:t>④</w:t>
                            </w:r>
                            <w:r>
                              <w:rPr>
                                <w:rFonts w:hint="eastAsia"/>
                                <w:sz w:val="21"/>
                                <w:szCs w:val="21"/>
                                <w:lang w:val="en-US" w:eastAsia="zh-CN"/>
                              </w:rPr>
                              <w:t xml:space="preserve">排水沟      </w:t>
                            </w:r>
                            <w:r>
                              <w:rPr>
                                <w:rFonts w:hint="eastAsia" w:ascii="宋体" w:hAnsi="宋体" w:eastAsia="宋体" w:cs="宋体"/>
                                <w:sz w:val="21"/>
                                <w:szCs w:val="21"/>
                                <w:lang w:val="en-US" w:eastAsia="zh-CN"/>
                              </w:rPr>
                              <w:t>⑨</w:t>
                            </w:r>
                            <w:r>
                              <w:rPr>
                                <w:rFonts w:hint="eastAsia"/>
                                <w:sz w:val="21"/>
                                <w:szCs w:val="21"/>
                                <w:lang w:val="en-US" w:eastAsia="zh-CN"/>
                              </w:rPr>
                              <w:t>污水井</w:t>
                            </w:r>
                          </w:p>
                          <w:p>
                            <w:pPr>
                              <w:pStyle w:val="7"/>
                              <w:jc w:val="both"/>
                              <w:rPr>
                                <w:rFonts w:hint="default"/>
                                <w:sz w:val="21"/>
                                <w:szCs w:val="21"/>
                                <w:lang w:val="en-US" w:eastAsia="zh-CN"/>
                              </w:rPr>
                            </w:pPr>
                            <w:r>
                              <w:rPr>
                                <w:rFonts w:hint="eastAsia" w:ascii="宋体" w:hAnsi="宋体" w:eastAsia="宋体" w:cs="宋体"/>
                                <w:sz w:val="21"/>
                                <w:szCs w:val="21"/>
                                <w:lang w:val="en-US" w:eastAsia="zh-CN"/>
                              </w:rPr>
                              <w:t>⑤</w:t>
                            </w:r>
                            <w:r>
                              <w:rPr>
                                <w:rFonts w:hint="eastAsia"/>
                                <w:sz w:val="21"/>
                                <w:szCs w:val="21"/>
                                <w:lang w:val="en-US" w:eastAsia="zh-CN"/>
                              </w:rPr>
                              <w:t>加药间            管道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6.15pt;margin-top:274pt;height:144.1pt;width:161.75pt;z-index:251692032;mso-width-relative:page;mso-height-relative:page;" fillcolor="#FFFFFF [3201]" filled="t" stroked="t" coordsize="21600,21600" o:gfxdata="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di6ZTdgAAAANAQAADwAAAAAAAAABACAAAAAiAAAAZHJzL2Rvd25yZXYueG1sUEsB&#10;AhQAFAAAAAgAh07iQErbKTlnAgAAxgQAAA4AAAAAAAAAAQAgAAAAJwEAAGRycy9lMm9Eb2MueG1s&#10;UEsFBgAAAAAGAAYAWQEAAAAGAAAAAA==&#10;">
                <v:fill on="t" focussize="0,0"/>
                <v:stroke weight="0.5pt" color="#000000 [3204]" joinstyle="round"/>
                <v:imagedata o:title=""/>
                <o:lock v:ext="edit" aspectratio="f"/>
                <v:textbox>
                  <w:txbxContent>
                    <w:p>
                      <w:pPr>
                        <w:rPr>
                          <w:rFonts w:hint="eastAsia"/>
                          <w:lang w:val="en-US" w:eastAsia="zh-CN"/>
                        </w:rPr>
                      </w:pPr>
                      <w:r>
                        <w:rPr>
                          <w:rFonts w:hint="eastAsia"/>
                          <w:lang w:val="en-US" w:eastAsia="zh-CN"/>
                        </w:rPr>
                        <w:t>图例：</w:t>
                      </w:r>
                    </w:p>
                    <w:p>
                      <w:pPr>
                        <w:pStyle w:val="2"/>
                        <w:rPr>
                          <w:rFonts w:hint="eastAsia"/>
                          <w:sz w:val="21"/>
                          <w:szCs w:val="21"/>
                          <w:lang w:val="en-US" w:eastAsia="zh-CN"/>
                        </w:rPr>
                      </w:pPr>
                      <w:r>
                        <w:rPr>
                          <w:rFonts w:hint="eastAsia" w:ascii="宋体" w:hAnsi="宋体" w:eastAsia="宋体" w:cs="宋体"/>
                          <w:sz w:val="21"/>
                          <w:szCs w:val="21"/>
                          <w:lang w:val="en-US" w:eastAsia="zh-CN"/>
                        </w:rPr>
                        <w:t>①</w:t>
                      </w:r>
                      <w:r>
                        <w:rPr>
                          <w:rFonts w:hint="eastAsia"/>
                          <w:sz w:val="21"/>
                          <w:szCs w:val="21"/>
                          <w:lang w:val="en-US" w:eastAsia="zh-CN"/>
                        </w:rPr>
                        <w:t xml:space="preserve">絮凝池      </w:t>
                      </w:r>
                      <w:r>
                        <w:rPr>
                          <w:rFonts w:hint="eastAsia" w:ascii="宋体" w:hAnsi="宋体" w:eastAsia="宋体" w:cs="宋体"/>
                          <w:sz w:val="21"/>
                          <w:szCs w:val="21"/>
                          <w:lang w:val="en-US" w:eastAsia="zh-CN"/>
                        </w:rPr>
                        <w:t>⑥</w:t>
                      </w:r>
                      <w:r>
                        <w:rPr>
                          <w:rFonts w:hint="eastAsia"/>
                          <w:sz w:val="21"/>
                          <w:szCs w:val="21"/>
                          <w:lang w:val="en-US" w:eastAsia="zh-CN"/>
                        </w:rPr>
                        <w:t>控制室</w:t>
                      </w:r>
                    </w:p>
                    <w:p>
                      <w:pPr>
                        <w:pStyle w:val="7"/>
                        <w:jc w:val="both"/>
                        <w:rPr>
                          <w:rFonts w:hint="eastAsia"/>
                          <w:sz w:val="21"/>
                          <w:szCs w:val="21"/>
                          <w:lang w:val="en-US" w:eastAsia="zh-CN"/>
                        </w:rPr>
                      </w:pPr>
                      <w:r>
                        <w:rPr>
                          <w:rFonts w:hint="eastAsia" w:ascii="宋体" w:hAnsi="宋体" w:eastAsia="宋体" w:cs="宋体"/>
                          <w:sz w:val="21"/>
                          <w:szCs w:val="21"/>
                          <w:lang w:val="en-US" w:eastAsia="zh-CN"/>
                        </w:rPr>
                        <w:t>②</w:t>
                      </w:r>
                      <w:r>
                        <w:rPr>
                          <w:rFonts w:hint="eastAsia"/>
                          <w:sz w:val="21"/>
                          <w:szCs w:val="21"/>
                          <w:lang w:val="en-US" w:eastAsia="zh-CN"/>
                        </w:rPr>
                        <w:t xml:space="preserve">沉淀池      </w:t>
                      </w:r>
                      <w:r>
                        <w:rPr>
                          <w:rFonts w:hint="eastAsia" w:ascii="宋体" w:hAnsi="宋体" w:eastAsia="宋体" w:cs="宋体"/>
                          <w:sz w:val="21"/>
                          <w:szCs w:val="21"/>
                          <w:lang w:val="en-US" w:eastAsia="zh-CN"/>
                        </w:rPr>
                        <w:t>⑦</w:t>
                      </w:r>
                      <w:r>
                        <w:rPr>
                          <w:rFonts w:hint="eastAsia"/>
                          <w:sz w:val="21"/>
                          <w:szCs w:val="21"/>
                          <w:lang w:val="en-US" w:eastAsia="zh-CN"/>
                        </w:rPr>
                        <w:t>反洗泵房</w:t>
                      </w:r>
                    </w:p>
                    <w:p>
                      <w:pPr>
                        <w:rPr>
                          <w:rFonts w:hint="eastAsia"/>
                          <w:sz w:val="21"/>
                          <w:szCs w:val="21"/>
                          <w:lang w:val="en-US" w:eastAsia="zh-CN"/>
                        </w:rPr>
                      </w:pPr>
                      <w:r>
                        <w:rPr>
                          <w:rFonts w:hint="eastAsia" w:ascii="宋体" w:hAnsi="宋体" w:eastAsia="宋体" w:cs="宋体"/>
                          <w:sz w:val="21"/>
                          <w:szCs w:val="21"/>
                          <w:lang w:val="en-US" w:eastAsia="zh-CN"/>
                        </w:rPr>
                        <w:t>③</w:t>
                      </w:r>
                      <w:r>
                        <w:rPr>
                          <w:rFonts w:hint="eastAsia"/>
                          <w:sz w:val="21"/>
                          <w:szCs w:val="21"/>
                          <w:lang w:val="en-US" w:eastAsia="zh-CN"/>
                        </w:rPr>
                        <w:t xml:space="preserve">过滤池      </w:t>
                      </w:r>
                      <w:r>
                        <w:rPr>
                          <w:rFonts w:hint="eastAsia" w:ascii="宋体" w:hAnsi="宋体" w:eastAsia="宋体" w:cs="宋体"/>
                          <w:sz w:val="21"/>
                          <w:szCs w:val="21"/>
                          <w:lang w:val="en-US" w:eastAsia="zh-CN"/>
                        </w:rPr>
                        <w:t>⑧</w:t>
                      </w:r>
                      <w:r>
                        <w:rPr>
                          <w:rFonts w:hint="eastAsia"/>
                          <w:sz w:val="21"/>
                          <w:szCs w:val="21"/>
                          <w:lang w:val="en-US" w:eastAsia="zh-CN"/>
                        </w:rPr>
                        <w:t>风机房</w:t>
                      </w:r>
                    </w:p>
                    <w:p>
                      <w:pPr>
                        <w:pStyle w:val="2"/>
                        <w:rPr>
                          <w:rFonts w:hint="eastAsia"/>
                          <w:sz w:val="21"/>
                          <w:szCs w:val="21"/>
                          <w:lang w:val="en-US" w:eastAsia="zh-CN"/>
                        </w:rPr>
                      </w:pPr>
                      <w:r>
                        <w:rPr>
                          <w:rFonts w:hint="eastAsia" w:ascii="宋体" w:hAnsi="宋体" w:eastAsia="宋体" w:cs="宋体"/>
                          <w:sz w:val="21"/>
                          <w:szCs w:val="21"/>
                          <w:lang w:val="en-US" w:eastAsia="zh-CN"/>
                        </w:rPr>
                        <w:t>④</w:t>
                      </w:r>
                      <w:r>
                        <w:rPr>
                          <w:rFonts w:hint="eastAsia"/>
                          <w:sz w:val="21"/>
                          <w:szCs w:val="21"/>
                          <w:lang w:val="en-US" w:eastAsia="zh-CN"/>
                        </w:rPr>
                        <w:t xml:space="preserve">排水沟      </w:t>
                      </w:r>
                      <w:r>
                        <w:rPr>
                          <w:rFonts w:hint="eastAsia" w:ascii="宋体" w:hAnsi="宋体" w:eastAsia="宋体" w:cs="宋体"/>
                          <w:sz w:val="21"/>
                          <w:szCs w:val="21"/>
                          <w:lang w:val="en-US" w:eastAsia="zh-CN"/>
                        </w:rPr>
                        <w:t>⑨</w:t>
                      </w:r>
                      <w:r>
                        <w:rPr>
                          <w:rFonts w:hint="eastAsia"/>
                          <w:sz w:val="21"/>
                          <w:szCs w:val="21"/>
                          <w:lang w:val="en-US" w:eastAsia="zh-CN"/>
                        </w:rPr>
                        <w:t>污水井</w:t>
                      </w:r>
                    </w:p>
                    <w:p>
                      <w:pPr>
                        <w:pStyle w:val="7"/>
                        <w:jc w:val="both"/>
                        <w:rPr>
                          <w:rFonts w:hint="default"/>
                          <w:sz w:val="21"/>
                          <w:szCs w:val="21"/>
                          <w:lang w:val="en-US" w:eastAsia="zh-CN"/>
                        </w:rPr>
                      </w:pPr>
                      <w:r>
                        <w:rPr>
                          <w:rFonts w:hint="eastAsia" w:ascii="宋体" w:hAnsi="宋体" w:eastAsia="宋体" w:cs="宋体"/>
                          <w:sz w:val="21"/>
                          <w:szCs w:val="21"/>
                          <w:lang w:val="en-US" w:eastAsia="zh-CN"/>
                        </w:rPr>
                        <w:t>⑤</w:t>
                      </w:r>
                      <w:r>
                        <w:rPr>
                          <w:rFonts w:hint="eastAsia"/>
                          <w:sz w:val="21"/>
                          <w:szCs w:val="21"/>
                          <w:lang w:val="en-US" w:eastAsia="zh-CN"/>
                        </w:rPr>
                        <w:t>加药间            管道</w:t>
                      </w:r>
                    </w:p>
                  </w:txbxContent>
                </v:textbox>
              </v:shape>
            </w:pict>
          </mc:Fallback>
        </mc:AlternateContent>
      </w:r>
    </w:p>
    <w:p>
      <w:pPr>
        <w:pStyle w:val="2"/>
        <w:jc w:val="center"/>
        <w:outlineLvl w:val="0"/>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sectPr>
          <w:pgSz w:w="16838" w:h="11906" w:orient="landscape"/>
          <w:pgMar w:top="720" w:right="720" w:bottom="720" w:left="720" w:header="851" w:footer="992" w:gutter="0"/>
          <w:cols w:space="425" w:num="1"/>
          <w:docGrid w:type="lines" w:linePitch="312" w:charSpace="0"/>
        </w:sectPr>
      </w:pP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t>附图4 水厂平面布置图</w:t>
      </w:r>
    </w:p>
    <w:p>
      <w:pPr>
        <w:pStyle w:val="2"/>
        <w:keepNext w:val="0"/>
        <w:keepLines w:val="0"/>
        <w:pageBreakBefore w:val="0"/>
        <w:widowControl w:val="0"/>
        <w:kinsoku/>
        <w:wordWrap/>
        <w:overflowPunct/>
        <w:topLinePunct w:val="0"/>
        <w:autoSpaceDE w:val="0"/>
        <w:autoSpaceDN w:val="0"/>
        <w:bidi w:val="0"/>
        <w:adjustRightInd/>
        <w:snapToGrid/>
        <w:jc w:val="center"/>
        <w:textAlignment w:val="auto"/>
        <w:outlineLvl w:val="9"/>
      </w:pPr>
      <w:r>
        <w:drawing>
          <wp:anchor distT="0" distB="0" distL="114300" distR="114300" simplePos="0" relativeHeight="251736064" behindDoc="0" locked="0" layoutInCell="1" allowOverlap="1">
            <wp:simplePos x="0" y="0"/>
            <wp:positionH relativeFrom="column">
              <wp:posOffset>8695690</wp:posOffset>
            </wp:positionH>
            <wp:positionV relativeFrom="paragraph">
              <wp:posOffset>5076825</wp:posOffset>
            </wp:positionV>
            <wp:extent cx="571500" cy="419100"/>
            <wp:effectExtent l="0" t="0" r="0" b="0"/>
            <wp:wrapNone/>
            <wp:docPr id="1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7"/>
                    <pic:cNvPicPr>
                      <a:picLocks noChangeAspect="1"/>
                    </pic:cNvPicPr>
                  </pic:nvPicPr>
                  <pic:blipFill>
                    <a:blip r:embed="rId26"/>
                    <a:stretch>
                      <a:fillRect/>
                    </a:stretch>
                  </pic:blipFill>
                  <pic:spPr>
                    <a:xfrm>
                      <a:off x="0" y="0"/>
                      <a:ext cx="571500" cy="419100"/>
                    </a:xfrm>
                    <a:prstGeom prst="rect">
                      <a:avLst/>
                    </a:prstGeom>
                    <a:noFill/>
                    <a:ln>
                      <a:noFill/>
                    </a:ln>
                  </pic:spPr>
                </pic:pic>
              </a:graphicData>
            </a:graphic>
          </wp:anchor>
        </w:drawing>
      </w:r>
      <w:r>
        <w:drawing>
          <wp:inline distT="0" distB="0" distL="114300" distR="114300">
            <wp:extent cx="8759190" cy="5459730"/>
            <wp:effectExtent l="0" t="0" r="3810" b="7620"/>
            <wp:docPr id="1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3"/>
                    <pic:cNvPicPr>
                      <a:picLocks noChangeAspect="1"/>
                    </pic:cNvPicPr>
                  </pic:nvPicPr>
                  <pic:blipFill>
                    <a:blip r:embed="rId27"/>
                    <a:stretch>
                      <a:fillRect/>
                    </a:stretch>
                  </pic:blipFill>
                  <pic:spPr>
                    <a:xfrm>
                      <a:off x="0" y="0"/>
                      <a:ext cx="8759190" cy="5459730"/>
                    </a:xfrm>
                    <a:prstGeom prst="rect">
                      <a:avLst/>
                    </a:prstGeom>
                    <a:noFill/>
                    <a:ln>
                      <a:noFill/>
                    </a:ln>
                  </pic:spPr>
                </pic:pic>
              </a:graphicData>
            </a:graphic>
          </wp:inline>
        </w:drawing>
      </w:r>
      <w:r>
        <w:rPr>
          <w:sz w:val="21"/>
          <w:highlight w:val="none"/>
        </w:rPr>
        <mc:AlternateContent>
          <mc:Choice Requires="wps">
            <w:drawing>
              <wp:anchor distT="0" distB="0" distL="114300" distR="114300" simplePos="0" relativeHeight="251731968" behindDoc="0" locked="0" layoutInCell="1" allowOverlap="1">
                <wp:simplePos x="0" y="0"/>
                <wp:positionH relativeFrom="column">
                  <wp:posOffset>610235</wp:posOffset>
                </wp:positionH>
                <wp:positionV relativeFrom="paragraph">
                  <wp:posOffset>5046980</wp:posOffset>
                </wp:positionV>
                <wp:extent cx="423545" cy="0"/>
                <wp:effectExtent l="0" t="19050" r="14605" b="19050"/>
                <wp:wrapNone/>
                <wp:docPr id="142" name="直接连接符 142"/>
                <wp:cNvGraphicFramePr/>
                <a:graphic xmlns:a="http://schemas.openxmlformats.org/drawingml/2006/main">
                  <a:graphicData uri="http://schemas.microsoft.com/office/word/2010/wordprocessingShape">
                    <wps:wsp>
                      <wps:cNvCnPr/>
                      <wps:spPr>
                        <a:xfrm>
                          <a:off x="0" y="0"/>
                          <a:ext cx="423545" cy="0"/>
                        </a:xfrm>
                        <a:prstGeom prst="line">
                          <a:avLst/>
                        </a:prstGeom>
                        <a:ln w="38100">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8.05pt;margin-top:397.4pt;height:0pt;width:33.35pt;z-index:251731968;mso-width-relative:page;mso-height-relative:page;" filled="f" stroked="t" coordsize="21600,21600" o:gfxdata="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Z&#10;Xjb32AAAAAoBAAAPAAAAAAAAAAEAIAAAACIAAABkcnMvZG93bnJldi54bWxQSwECFAAUAAAACACH&#10;TuJA5a9e6+sBAAC1AwAADgAAAAAAAAABACAAAAAnAQAAZHJzL2Uyb0RvYy54bWxQSwUGAAAAAAYA&#10;BgBZAQAAhAUAAAAA&#10;">
                <v:fill on="f" focussize="0,0"/>
                <v:stroke weight="3pt" color="#92D050 [3204]" miterlimit="8" joinstyle="miter"/>
                <v:imagedata o:title=""/>
                <o:lock v:ext="edit" aspectratio="f"/>
              </v:line>
            </w:pict>
          </mc:Fallback>
        </mc:AlternateContent>
      </w:r>
      <w:r>
        <w:rPr>
          <w:sz w:val="21"/>
          <w:highlight w:val="none"/>
        </w:rPr>
        <mc:AlternateContent>
          <mc:Choice Requires="wps">
            <w:drawing>
              <wp:anchor distT="0" distB="0" distL="114300" distR="114300" simplePos="0" relativeHeight="251732992" behindDoc="0" locked="0" layoutInCell="1" allowOverlap="1">
                <wp:simplePos x="0" y="0"/>
                <wp:positionH relativeFrom="column">
                  <wp:posOffset>600710</wp:posOffset>
                </wp:positionH>
                <wp:positionV relativeFrom="paragraph">
                  <wp:posOffset>4728210</wp:posOffset>
                </wp:positionV>
                <wp:extent cx="423545" cy="0"/>
                <wp:effectExtent l="0" t="19050" r="14605" b="19050"/>
                <wp:wrapNone/>
                <wp:docPr id="143" name="直接连接符 143"/>
                <wp:cNvGraphicFramePr/>
                <a:graphic xmlns:a="http://schemas.openxmlformats.org/drawingml/2006/main">
                  <a:graphicData uri="http://schemas.microsoft.com/office/word/2010/wordprocessingShape">
                    <wps:wsp>
                      <wps:cNvCnPr/>
                      <wps:spPr>
                        <a:xfrm>
                          <a:off x="0" y="0"/>
                          <a:ext cx="423545" cy="0"/>
                        </a:xfrm>
                        <a:prstGeom prst="line">
                          <a:avLst/>
                        </a:prstGeom>
                        <a:ln w="38100">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7.3pt;margin-top:372.3pt;height:0pt;width:33.35pt;z-index:251732992;mso-width-relative:page;mso-height-relative:page;" filled="f" stroked="t" coordsize="21600,21600" o:gfxdata="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EEizbfUAAAA&#10;CgEAAA8AAAAAAAAAAQAgAAAAIgAAAGRycy9kb3ducmV2LnhtbFBLAQIUABQAAAAIAIdO4kC4Cz9m&#10;6AEAALUDAAAOAAAAAAAAAAEAIAAAACMBAABkcnMvZTJvRG9jLnhtbFBLBQYAAAAABgAGAFkBAAB9&#10;BQAAAAA=&#10;">
                <v:fill on="f" focussize="0,0"/>
                <v:stroke weight="3pt" color="#FFFF00 [3204]" miterlimit="8" joinstyle="miter"/>
                <v:imagedata o:title=""/>
                <o:lock v:ext="edit" aspectratio="f"/>
              </v:line>
            </w:pict>
          </mc:Fallback>
        </mc:AlternateContent>
      </w:r>
      <w:r>
        <w:rPr>
          <w:sz w:val="21"/>
          <w:highlight w:val="none"/>
        </w:rPr>
        <mc:AlternateContent>
          <mc:Choice Requires="wps">
            <w:drawing>
              <wp:anchor distT="0" distB="0" distL="114300" distR="114300" simplePos="0" relativeHeight="251730944" behindDoc="0" locked="0" layoutInCell="1" allowOverlap="1">
                <wp:simplePos x="0" y="0"/>
                <wp:positionH relativeFrom="column">
                  <wp:posOffset>523875</wp:posOffset>
                </wp:positionH>
                <wp:positionV relativeFrom="paragraph">
                  <wp:posOffset>4254500</wp:posOffset>
                </wp:positionV>
                <wp:extent cx="1333500" cy="1089660"/>
                <wp:effectExtent l="5080" t="4445" r="13970" b="10795"/>
                <wp:wrapNone/>
                <wp:docPr id="141" name="文本框 141"/>
                <wp:cNvGraphicFramePr/>
                <a:graphic xmlns:a="http://schemas.openxmlformats.org/drawingml/2006/main">
                  <a:graphicData uri="http://schemas.microsoft.com/office/word/2010/wordprocessingShape">
                    <wps:wsp>
                      <wps:cNvSpPr txBox="1"/>
                      <wps:spPr>
                        <a:xfrm>
                          <a:off x="0" y="0"/>
                          <a:ext cx="1333500" cy="108966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图例：</w:t>
                            </w:r>
                          </w:p>
                          <w:p>
                            <w:pPr>
                              <w:pStyle w:val="2"/>
                              <w:keepNext w:val="0"/>
                              <w:keepLines w:val="0"/>
                              <w:pageBreakBefore w:val="0"/>
                              <w:widowControl w:val="0"/>
                              <w:kinsoku/>
                              <w:wordWrap/>
                              <w:overflowPunct/>
                              <w:topLinePunct w:val="0"/>
                              <w:bidi w:val="0"/>
                              <w:adjustRightInd/>
                              <w:snapToGrid/>
                              <w:ind w:firstLine="720" w:firstLineChars="300"/>
                              <w:textAlignment w:val="auto"/>
                              <w:rPr>
                                <w:rFonts w:hint="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已建管网</w:t>
                            </w:r>
                          </w:p>
                          <w:p>
                            <w:pPr>
                              <w:pStyle w:val="2"/>
                              <w:keepNext w:val="0"/>
                              <w:keepLines w:val="0"/>
                              <w:pageBreakBefore w:val="0"/>
                              <w:widowControl w:val="0"/>
                              <w:kinsoku/>
                              <w:wordWrap/>
                              <w:overflowPunct/>
                              <w:topLinePunct w:val="0"/>
                              <w:bidi w:val="0"/>
                              <w:adjustRightInd/>
                              <w:snapToGrid/>
                              <w:ind w:firstLine="720" w:firstLineChars="300"/>
                              <w:textAlignment w:val="auto"/>
                              <w:rPr>
                                <w:rFonts w:hint="default"/>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新建管线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25pt;margin-top:335pt;height:85.8pt;width:105pt;z-index:251730944;mso-width-relative:page;mso-height-relative:page;" filled="f" stroked="t" coordsize="21600,21600" o:gfxdata="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pXMevZAAAACgEA&#10;AA8AAAAAAAAAAQAgAAAAIgAAAGRycy9kb3ducmV2LnhtbFBLAQIUABQAAAAIAIdO4kDz5pGtUgIA&#10;AJMEAAAOAAAAAAAAAAEAIAAAACgBAABkcnMvZTJvRG9jLnhtbFBLBQYAAAAABgAGAFkBAADsBQAA&#10;AAA=&#10;">
                <v:fill on="f" focussize="0,0"/>
                <v:stroke weight="0.5pt" color="#000000 [3204]" joinstyle="round"/>
                <v:imagedata o:title=""/>
                <o:lock v:ext="edit" aspectratio="f"/>
                <v:textbox>
                  <w:txbxContent>
                    <w:p>
                      <w:pPr>
                        <w:rPr>
                          <w:rFonts w:hint="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图例：</w:t>
                      </w:r>
                    </w:p>
                    <w:p>
                      <w:pPr>
                        <w:pStyle w:val="2"/>
                        <w:keepNext w:val="0"/>
                        <w:keepLines w:val="0"/>
                        <w:pageBreakBefore w:val="0"/>
                        <w:widowControl w:val="0"/>
                        <w:kinsoku/>
                        <w:wordWrap/>
                        <w:overflowPunct/>
                        <w:topLinePunct w:val="0"/>
                        <w:bidi w:val="0"/>
                        <w:adjustRightInd/>
                        <w:snapToGrid/>
                        <w:ind w:firstLine="720" w:firstLineChars="300"/>
                        <w:textAlignment w:val="auto"/>
                        <w:rPr>
                          <w:rFonts w:hint="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已建管网</w:t>
                      </w:r>
                    </w:p>
                    <w:p>
                      <w:pPr>
                        <w:pStyle w:val="2"/>
                        <w:keepNext w:val="0"/>
                        <w:keepLines w:val="0"/>
                        <w:pageBreakBefore w:val="0"/>
                        <w:widowControl w:val="0"/>
                        <w:kinsoku/>
                        <w:wordWrap/>
                        <w:overflowPunct/>
                        <w:topLinePunct w:val="0"/>
                        <w:bidi w:val="0"/>
                        <w:adjustRightInd/>
                        <w:snapToGrid/>
                        <w:ind w:firstLine="720" w:firstLineChars="300"/>
                        <w:textAlignment w:val="auto"/>
                        <w:rPr>
                          <w:rFonts w:hint="default"/>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新建管线</w:t>
                      </w:r>
                    </w:p>
                  </w:txbxContent>
                </v:textbox>
              </v:shape>
            </w:pict>
          </mc:Fallback>
        </mc:AlternateContent>
      </w:r>
      <w:r>
        <w:rPr>
          <w:highlight w:val="none"/>
        </w:rPr>
        <w:drawing>
          <wp:anchor distT="0" distB="0" distL="114300" distR="114300" simplePos="0" relativeHeight="251734016" behindDoc="0" locked="0" layoutInCell="1" allowOverlap="1">
            <wp:simplePos x="0" y="0"/>
            <wp:positionH relativeFrom="column">
              <wp:posOffset>9066530</wp:posOffset>
            </wp:positionH>
            <wp:positionV relativeFrom="paragraph">
              <wp:posOffset>13335</wp:posOffset>
            </wp:positionV>
            <wp:extent cx="841375" cy="816610"/>
            <wp:effectExtent l="0" t="0" r="15875" b="2540"/>
            <wp:wrapNone/>
            <wp:docPr id="1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
                    <pic:cNvPicPr>
                      <a:picLocks noChangeAspect="1"/>
                    </pic:cNvPicPr>
                  </pic:nvPicPr>
                  <pic:blipFill>
                    <a:blip r:embed="rId22"/>
                    <a:stretch>
                      <a:fillRect/>
                    </a:stretch>
                  </pic:blipFill>
                  <pic:spPr>
                    <a:xfrm>
                      <a:off x="0" y="0"/>
                      <a:ext cx="841375" cy="816610"/>
                    </a:xfrm>
                    <a:prstGeom prst="rect">
                      <a:avLst/>
                    </a:prstGeom>
                    <a:noFill/>
                    <a:ln>
                      <a:noFill/>
                    </a:ln>
                  </pic:spPr>
                </pic:pic>
              </a:graphicData>
            </a:graphic>
          </wp:anchor>
        </w:drawing>
      </w:r>
    </w:p>
    <w:p>
      <w:pPr>
        <w:pStyle w:val="2"/>
        <w:jc w:val="center"/>
        <w:outlineLvl w:val="0"/>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sectPr>
          <w:pgSz w:w="16838" w:h="11906" w:orient="landscape"/>
          <w:pgMar w:top="720" w:right="720" w:bottom="720" w:left="720" w:header="851" w:footer="992" w:gutter="0"/>
          <w:cols w:space="425" w:num="1"/>
          <w:docGrid w:type="lines" w:linePitch="312" w:charSpace="0"/>
        </w:sectPr>
      </w:pP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t>附图5 已建供水管网与新建管线走向示意图</w:t>
      </w:r>
    </w:p>
    <w:p>
      <w:pPr>
        <w:pStyle w:val="2"/>
        <w:jc w:val="center"/>
        <w:outlineLvl w:val="9"/>
      </w:pPr>
      <w:r>
        <w:rPr>
          <w:sz w:val="24"/>
        </w:rPr>
        <mc:AlternateContent>
          <mc:Choice Requires="wps">
            <w:drawing>
              <wp:anchor distT="0" distB="0" distL="114300" distR="114300" simplePos="0" relativeHeight="251751424" behindDoc="0" locked="0" layoutInCell="1" allowOverlap="1">
                <wp:simplePos x="0" y="0"/>
                <wp:positionH relativeFrom="column">
                  <wp:posOffset>4498340</wp:posOffset>
                </wp:positionH>
                <wp:positionV relativeFrom="paragraph">
                  <wp:posOffset>2327910</wp:posOffset>
                </wp:positionV>
                <wp:extent cx="1662430" cy="866140"/>
                <wp:effectExtent l="5715" t="11430" r="8255" b="17780"/>
                <wp:wrapNone/>
                <wp:docPr id="175" name="直接箭头连接符 175"/>
                <wp:cNvGraphicFramePr/>
                <a:graphic xmlns:a="http://schemas.openxmlformats.org/drawingml/2006/main">
                  <a:graphicData uri="http://schemas.microsoft.com/office/word/2010/wordprocessingShape">
                    <wps:wsp>
                      <wps:cNvCnPr/>
                      <wps:spPr>
                        <a:xfrm>
                          <a:off x="0" y="0"/>
                          <a:ext cx="1662430" cy="866140"/>
                        </a:xfrm>
                        <a:prstGeom prst="straightConnector1">
                          <a:avLst/>
                        </a:prstGeom>
                        <a:ln w="25400" cmpd="sng">
                          <a:solidFill>
                            <a:srgbClr val="FF0000"/>
                          </a:solidFill>
                          <a:prstDash val="sysDot"/>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54.2pt;margin-top:183.3pt;height:68.2pt;width:130.9pt;z-index:251751424;mso-width-relative:page;mso-height-relative:page;" filled="f" stroked="t" coordsize="21600,21600" o:gfxdata="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lXoijZAAAACwEAAA8AAAAAAAAA&#10;AQAgAAAAIgAAAGRycy9kb3ducmV2LnhtbFBLAQIUABQAAAAIAIdO4kAk4HUkEAIAAOkDAAAOAAAA&#10;AAAAAAEAIAAAACgBAABkcnMvZTJvRG9jLnhtbFBLBQYAAAAABgAGAFkBAACqBQAAAAA=&#10;">
                <v:fill on="f" focussize="0,0"/>
                <v:stroke weight="2pt" color="#FF0000 [3204]" miterlimit="8" joinstyle="miter" dashstyle="1 1" endarrow="open"/>
                <v:imagedata o:title=""/>
                <o:lock v:ext="edit" aspectratio="f"/>
              </v:shape>
            </w:pict>
          </mc:Fallback>
        </mc:AlternateContent>
      </w:r>
      <w:r>
        <w:rPr>
          <w:sz w:val="24"/>
        </w:rPr>
        <mc:AlternateContent>
          <mc:Choice Requires="wps">
            <w:drawing>
              <wp:anchor distT="0" distB="0" distL="114300" distR="114300" simplePos="0" relativeHeight="251750400" behindDoc="0" locked="0" layoutInCell="1" allowOverlap="1">
                <wp:simplePos x="0" y="0"/>
                <wp:positionH relativeFrom="column">
                  <wp:posOffset>6212840</wp:posOffset>
                </wp:positionH>
                <wp:positionV relativeFrom="paragraph">
                  <wp:posOffset>2976880</wp:posOffset>
                </wp:positionV>
                <wp:extent cx="138430" cy="252730"/>
                <wp:effectExtent l="11430" t="0" r="2540" b="13970"/>
                <wp:wrapNone/>
                <wp:docPr id="174" name="直接箭头连接符 174"/>
                <wp:cNvGraphicFramePr/>
                <a:graphic xmlns:a="http://schemas.openxmlformats.org/drawingml/2006/main">
                  <a:graphicData uri="http://schemas.microsoft.com/office/word/2010/wordprocessingShape">
                    <wps:wsp>
                      <wps:cNvCnPr/>
                      <wps:spPr>
                        <a:xfrm flipV="1">
                          <a:off x="0" y="0"/>
                          <a:ext cx="138430" cy="252730"/>
                        </a:xfrm>
                        <a:prstGeom prst="straightConnector1">
                          <a:avLst/>
                        </a:prstGeom>
                        <a:ln w="25400" cmpd="sng">
                          <a:solidFill>
                            <a:srgbClr val="FF0000"/>
                          </a:solidFill>
                          <a:prstDash val="sysDot"/>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489.2pt;margin-top:234.4pt;height:19.9pt;width:10.9pt;z-index:251750400;mso-width-relative:page;mso-height-relative:page;" filled="f" stroked="t" coordsize="21600,21600" o:gfxdata="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QwCOjbAAAADAEAAA8A&#10;AAAAAAAAAQAgAAAAIgAAAGRycy9kb3ducmV2LnhtbFBLAQIUABQAAAAIAIdO4kA9OzaYFAIAAPID&#10;AAAOAAAAAAAAAAEAIAAAACoBAABkcnMvZTJvRG9jLnhtbFBLBQYAAAAABgAGAFkBAACwBQAAAAA=&#10;">
                <v:fill on="f" focussize="0,0"/>
                <v:stroke weight="2pt" color="#FF0000 [3204]" miterlimit="8" joinstyle="miter" dashstyle="1 1" endarrow="open"/>
                <v:imagedata o:title=""/>
                <o:lock v:ext="edit" aspectratio="f"/>
              </v:shape>
            </w:pict>
          </mc:Fallback>
        </mc:AlternateContent>
      </w:r>
      <w:r>
        <w:rPr>
          <w:sz w:val="24"/>
        </w:rPr>
        <mc:AlternateContent>
          <mc:Choice Requires="wps">
            <w:drawing>
              <wp:anchor distT="0" distB="0" distL="114300" distR="114300" simplePos="0" relativeHeight="251749376" behindDoc="0" locked="0" layoutInCell="1" allowOverlap="1">
                <wp:simplePos x="0" y="0"/>
                <wp:positionH relativeFrom="column">
                  <wp:posOffset>4474845</wp:posOffset>
                </wp:positionH>
                <wp:positionV relativeFrom="paragraph">
                  <wp:posOffset>2024380</wp:posOffset>
                </wp:positionV>
                <wp:extent cx="180975" cy="266700"/>
                <wp:effectExtent l="10795" t="0" r="17780" b="19050"/>
                <wp:wrapNone/>
                <wp:docPr id="173" name="直接箭头连接符 173"/>
                <wp:cNvGraphicFramePr/>
                <a:graphic xmlns:a="http://schemas.openxmlformats.org/drawingml/2006/main">
                  <a:graphicData uri="http://schemas.microsoft.com/office/word/2010/wordprocessingShape">
                    <wps:wsp>
                      <wps:cNvCnPr/>
                      <wps:spPr>
                        <a:xfrm flipV="1">
                          <a:off x="0" y="0"/>
                          <a:ext cx="180975" cy="266700"/>
                        </a:xfrm>
                        <a:prstGeom prst="straightConnector1">
                          <a:avLst/>
                        </a:prstGeom>
                        <a:ln w="25400" cmpd="sng">
                          <a:solidFill>
                            <a:srgbClr val="FF0000"/>
                          </a:solidFill>
                          <a:prstDash val="sysDot"/>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52.35pt;margin-top:159.4pt;height:21pt;width:14.25pt;z-index:251749376;mso-width-relative:page;mso-height-relative:page;" filled="f" stroked="t" coordsize="21600,21600" o:gfxdata="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pcgNtdoAAAALAQAA&#10;DwAAAAAAAAABACAAAAAiAAAAZHJzL2Rvd25yZXYueG1sUEsBAhQAFAAAAAgAh07iQNmksx8XAgAA&#10;8gMAAA4AAAAAAAAAAQAgAAAAKQEAAGRycy9lMm9Eb2MueG1sUEsFBgAAAAAGAAYAWQEAALIFAAAA&#10;AA==&#10;">
                <v:fill on="f" focussize="0,0"/>
                <v:stroke weight="2pt" color="#FF0000 [3204]" miterlimit="8" joinstyle="miter" dashstyle="1 1" endarrow="open"/>
                <v:imagedata o:title=""/>
                <o:lock v:ext="edit" aspectratio="f"/>
              </v:shape>
            </w:pict>
          </mc:Fallback>
        </mc:AlternateContent>
      </w:r>
      <w:r>
        <w:rPr>
          <w:sz w:val="24"/>
        </w:rPr>
        <mc:AlternateContent>
          <mc:Choice Requires="wps">
            <w:drawing>
              <wp:anchor distT="0" distB="0" distL="114300" distR="114300" simplePos="0" relativeHeight="251748352" behindDoc="0" locked="0" layoutInCell="1" allowOverlap="1">
                <wp:simplePos x="0" y="0"/>
                <wp:positionH relativeFrom="column">
                  <wp:posOffset>5846445</wp:posOffset>
                </wp:positionH>
                <wp:positionV relativeFrom="paragraph">
                  <wp:posOffset>2700655</wp:posOffset>
                </wp:positionV>
                <wp:extent cx="514350" cy="276225"/>
                <wp:effectExtent l="0" t="3810" r="19050" b="24765"/>
                <wp:wrapNone/>
                <wp:docPr id="172" name="直接箭头连接符 172"/>
                <wp:cNvGraphicFramePr/>
                <a:graphic xmlns:a="http://schemas.openxmlformats.org/drawingml/2006/main">
                  <a:graphicData uri="http://schemas.microsoft.com/office/word/2010/wordprocessingShape">
                    <wps:wsp>
                      <wps:cNvCnPr/>
                      <wps:spPr>
                        <a:xfrm flipH="1" flipV="1">
                          <a:off x="0" y="0"/>
                          <a:ext cx="514350" cy="276225"/>
                        </a:xfrm>
                        <a:prstGeom prst="straightConnector1">
                          <a:avLst/>
                        </a:prstGeom>
                        <a:ln w="25400" cmpd="sng">
                          <a:solidFill>
                            <a:srgbClr val="FF0000"/>
                          </a:solidFill>
                          <a:prstDash val="sysDot"/>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460.35pt;margin-top:212.65pt;height:21.75pt;width:40.5pt;z-index:251748352;mso-width-relative:page;mso-height-relative:page;" filled="f" stroked="t" coordsize="21600,21600" o:gfxdata="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EfU0jNYAAAAMAQAA&#10;DwAAAAAAAAABACAAAAAiAAAAZHJzL2Rvd25yZXYueG1sUEsBAhQAFAAAAAgAh07iQNI/augbAgAA&#10;/AMAAA4AAAAAAAAAAQAgAAAAJQEAAGRycy9lMm9Eb2MueG1sUEsFBgAAAAAGAAYAWQEAALIFAAAA&#10;AA==&#10;">
                <v:fill on="f" focussize="0,0"/>
                <v:stroke weight="2pt" color="#FF0000 [3204]" miterlimit="8" joinstyle="miter" dashstyle="1 1" endarrow="open"/>
                <v:imagedata o:title=""/>
                <o:lock v:ext="edit" aspectratio="f"/>
              </v:shape>
            </w:pict>
          </mc:Fallback>
        </mc:AlternateContent>
      </w:r>
      <w:r>
        <w:rPr>
          <w:sz w:val="24"/>
        </w:rPr>
        <mc:AlternateContent>
          <mc:Choice Requires="wps">
            <w:drawing>
              <wp:anchor distT="0" distB="0" distL="114300" distR="114300" simplePos="0" relativeHeight="251747328" behindDoc="0" locked="0" layoutInCell="1" allowOverlap="1">
                <wp:simplePos x="0" y="0"/>
                <wp:positionH relativeFrom="column">
                  <wp:posOffset>4698365</wp:posOffset>
                </wp:positionH>
                <wp:positionV relativeFrom="paragraph">
                  <wp:posOffset>2089785</wp:posOffset>
                </wp:positionV>
                <wp:extent cx="843280" cy="447040"/>
                <wp:effectExtent l="5715" t="11430" r="8255" b="17780"/>
                <wp:wrapNone/>
                <wp:docPr id="171" name="直接箭头连接符 171"/>
                <wp:cNvGraphicFramePr/>
                <a:graphic xmlns:a="http://schemas.openxmlformats.org/drawingml/2006/main">
                  <a:graphicData uri="http://schemas.microsoft.com/office/word/2010/wordprocessingShape">
                    <wps:wsp>
                      <wps:cNvCnPr/>
                      <wps:spPr>
                        <a:xfrm>
                          <a:off x="0" y="0"/>
                          <a:ext cx="843280" cy="447040"/>
                        </a:xfrm>
                        <a:prstGeom prst="straightConnector1">
                          <a:avLst/>
                        </a:prstGeom>
                        <a:ln w="25400" cmpd="sng">
                          <a:solidFill>
                            <a:srgbClr val="FF0000"/>
                          </a:solidFill>
                          <a:prstDash val="sysDot"/>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69.95pt;margin-top:164.55pt;height:35.2pt;width:66.4pt;z-index:251747328;mso-width-relative:page;mso-height-relative:page;" filled="f" stroked="t" coordsize="21600,21600" o:gfxdata="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KKrDtoAAAALAQAADwAAAAAAAAAB&#10;ACAAAAAiAAAAZHJzL2Rvd25yZXYueG1sUEsBAhQAFAAAAAgAh07iQJXZPCAOAgAA6AMAAA4AAAAA&#10;AAAAAQAgAAAAKQEAAGRycy9lMm9Eb2MueG1sUEsFBgAAAAAGAAYAWQEAAKkFAAAAAA==&#10;">
                <v:fill on="f" focussize="0,0"/>
                <v:stroke weight="2pt" color="#FF0000 [3204]" miterlimit="8" joinstyle="miter" dashstyle="1 1" endarrow="open"/>
                <v:imagedata o:title=""/>
                <o:lock v:ext="edit" aspectratio="f"/>
              </v:shape>
            </w:pict>
          </mc:Fallback>
        </mc:AlternateContent>
      </w:r>
      <w:r>
        <w:rPr>
          <w:sz w:val="24"/>
        </w:rPr>
        <mc:AlternateContent>
          <mc:Choice Requires="wps">
            <w:drawing>
              <wp:anchor distT="0" distB="0" distL="114300" distR="114300" simplePos="0" relativeHeight="251746304" behindDoc="0" locked="0" layoutInCell="1" allowOverlap="1">
                <wp:simplePos x="0" y="0"/>
                <wp:positionH relativeFrom="column">
                  <wp:posOffset>5504815</wp:posOffset>
                </wp:positionH>
                <wp:positionV relativeFrom="paragraph">
                  <wp:posOffset>2215515</wp:posOffset>
                </wp:positionV>
                <wp:extent cx="683260" cy="351790"/>
                <wp:effectExtent l="0" t="0" r="0" b="0"/>
                <wp:wrapNone/>
                <wp:docPr id="168" name="文本框 168"/>
                <wp:cNvGraphicFramePr/>
                <a:graphic xmlns:a="http://schemas.openxmlformats.org/drawingml/2006/main">
                  <a:graphicData uri="http://schemas.microsoft.com/office/word/2010/wordprocessingShape">
                    <wps:wsp>
                      <wps:cNvSpPr txBox="1"/>
                      <wps:spPr>
                        <a:xfrm rot="1680000">
                          <a:off x="6275070" y="2841625"/>
                          <a:ext cx="683260" cy="351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color w:val="FF0000"/>
                                <w:lang w:val="en-US"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3.45pt;margin-top:174.45pt;height:27.7pt;width:53.8pt;rotation:1835008f;z-index:251746304;mso-width-relative:page;mso-height-relative:page;" filled="f" stroked="f" coordsize="21600,21600" o:gfxdata="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3Zvq8t4AAAAL&#10;AQAADwAAAAAAAAABACAAAAAiAAAAZHJzL2Rvd25yZXYueG1sUEsBAhQAFAAAAAgAh07iQBXZSNRP&#10;AgAAgwQAAA4AAAAAAAAAAQAgAAAALQEAAGRycy9lMm9Eb2MueG1sUEsFBgAAAAAGAAYAWQEAAO4F&#10;AAAAAA==&#10;">
                <v:fill on="f" focussize="0,0"/>
                <v:stroke on="f" weight="0.5pt"/>
                <v:imagedata o:title=""/>
                <o:lock v:ext="edit" aspectratio="f"/>
                <v:textbox>
                  <w:txbxContent>
                    <w:p>
                      <w:pPr>
                        <w:rPr>
                          <w:rFonts w:hint="eastAsia" w:eastAsia="宋体"/>
                          <w:color w:val="FF0000"/>
                          <w:lang w:val="en-US" w:eastAsia="zh-CN"/>
                        </w:rPr>
                      </w:pPr>
                      <w:r>
                        <w:rPr>
                          <w:rFonts w:hint="eastAsia"/>
                          <w:color w:val="FF0000"/>
                          <w:lang w:val="en-US" w:eastAsia="zh-CN"/>
                        </w:rPr>
                        <w:t>化粪池</w:t>
                      </w:r>
                    </w:p>
                  </w:txbxContent>
                </v:textbox>
              </v:shape>
            </w:pict>
          </mc:Fallback>
        </mc:AlternateContent>
      </w:r>
      <w:r>
        <w:rPr>
          <w:sz w:val="24"/>
        </w:rPr>
        <mc:AlternateContent>
          <mc:Choice Requires="wps">
            <w:drawing>
              <wp:anchor distT="0" distB="0" distL="114300" distR="114300" simplePos="0" relativeHeight="251745280" behindDoc="0" locked="0" layoutInCell="1" allowOverlap="1">
                <wp:simplePos x="0" y="0"/>
                <wp:positionH relativeFrom="column">
                  <wp:posOffset>5568315</wp:posOffset>
                </wp:positionH>
                <wp:positionV relativeFrom="paragraph">
                  <wp:posOffset>2493645</wp:posOffset>
                </wp:positionV>
                <wp:extent cx="240665" cy="136525"/>
                <wp:effectExtent l="26035" t="51435" r="38100" b="59690"/>
                <wp:wrapNone/>
                <wp:docPr id="164" name="矩形 164"/>
                <wp:cNvGraphicFramePr/>
                <a:graphic xmlns:a="http://schemas.openxmlformats.org/drawingml/2006/main">
                  <a:graphicData uri="http://schemas.microsoft.com/office/word/2010/wordprocessingShape">
                    <wps:wsp>
                      <wps:cNvSpPr/>
                      <wps:spPr>
                        <a:xfrm rot="1440000">
                          <a:off x="6151245" y="2426335"/>
                          <a:ext cx="240665" cy="136525"/>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8.45pt;margin-top:196.35pt;height:10.75pt;width:18.95pt;rotation:1572864f;z-index:251745280;v-text-anchor:middle;mso-width-relative:page;mso-height-relative:page;" fillcolor="#FF0000" filled="t" stroked="t" coordsize="21600,21600" o:gfxdata="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Pwo9T2gAAAAsBAAAPAAAA&#10;AAAAAAEAIAAAACIAAABkcnMvZG93bnJldi54bWxQSwECFAAUAAAACACHTuJAO5eRpoUCAAARBQAA&#10;DgAAAAAAAAABACAAAAApAQAAZHJzL2Uyb0RvYy54bWxQSwUGAAAAAAYABgBZAQAAIAYAAAAA&#10;">
                <v:fill on="t"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744256" behindDoc="0" locked="0" layoutInCell="1" allowOverlap="1">
                <wp:simplePos x="0" y="0"/>
                <wp:positionH relativeFrom="column">
                  <wp:posOffset>907415</wp:posOffset>
                </wp:positionH>
                <wp:positionV relativeFrom="paragraph">
                  <wp:posOffset>5124450</wp:posOffset>
                </wp:positionV>
                <wp:extent cx="389255" cy="9525"/>
                <wp:effectExtent l="0" t="50165" r="10795" b="54610"/>
                <wp:wrapNone/>
                <wp:docPr id="9" name="直接箭头连接符 9"/>
                <wp:cNvGraphicFramePr/>
                <a:graphic xmlns:a="http://schemas.openxmlformats.org/drawingml/2006/main">
                  <a:graphicData uri="http://schemas.microsoft.com/office/word/2010/wordprocessingShape">
                    <wps:wsp>
                      <wps:cNvCnPr/>
                      <wps:spPr>
                        <a:xfrm>
                          <a:off x="0" y="0"/>
                          <a:ext cx="389255" cy="9525"/>
                        </a:xfrm>
                        <a:prstGeom prst="straightConnector1">
                          <a:avLst/>
                        </a:prstGeom>
                        <a:ln w="25400" cmpd="sng">
                          <a:solidFill>
                            <a:srgbClr val="FF0000"/>
                          </a:solidFill>
                          <a:prstDash val="sysDot"/>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71.45pt;margin-top:403.5pt;height:0.75pt;width:30.65pt;z-index:251744256;mso-width-relative:page;mso-height-relative:page;" filled="f" stroked="t" coordsize="21600,21600" o:gfxdata="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nlhQa2AAAAAsBAAAPAAAAAAAAAAEAIAAA&#10;ACIAAABkcnMvZG93bnJldi54bWxQSwECFAAUAAAACACHTuJAENcYUAwCAADiAwAADgAAAAAAAAAB&#10;ACAAAAAnAQAAZHJzL2Uyb0RvYy54bWxQSwUGAAAAAAYABgBZAQAApQUAAAAA&#10;">
                <v:fill on="f" focussize="0,0"/>
                <v:stroke weight="2pt" color="#FF0000 [3204]" miterlimit="8" joinstyle="miter" dashstyle="1 1" endarrow="open"/>
                <v:imagedata o:title=""/>
                <o:lock v:ext="edit" aspectratio="f"/>
              </v:shape>
            </w:pict>
          </mc:Fallback>
        </mc:AlternateContent>
      </w:r>
      <w:r>
        <w:rPr>
          <w:sz w:val="24"/>
        </w:rPr>
        <mc:AlternateContent>
          <mc:Choice Requires="wps">
            <w:drawing>
              <wp:anchor distT="0" distB="0" distL="114300" distR="114300" simplePos="0" relativeHeight="251743232" behindDoc="0" locked="0" layoutInCell="1" allowOverlap="1">
                <wp:simplePos x="0" y="0"/>
                <wp:positionH relativeFrom="column">
                  <wp:posOffset>907415</wp:posOffset>
                </wp:positionH>
                <wp:positionV relativeFrom="paragraph">
                  <wp:posOffset>4787265</wp:posOffset>
                </wp:positionV>
                <wp:extent cx="389255" cy="9525"/>
                <wp:effectExtent l="0" t="50165" r="10795" b="54610"/>
                <wp:wrapNone/>
                <wp:docPr id="161" name="直接箭头连接符 161"/>
                <wp:cNvGraphicFramePr/>
                <a:graphic xmlns:a="http://schemas.openxmlformats.org/drawingml/2006/main">
                  <a:graphicData uri="http://schemas.microsoft.com/office/word/2010/wordprocessingShape">
                    <wps:wsp>
                      <wps:cNvCnPr/>
                      <wps:spPr>
                        <a:xfrm>
                          <a:off x="0" y="0"/>
                          <a:ext cx="389255" cy="9525"/>
                        </a:xfrm>
                        <a:prstGeom prst="straightConnector1">
                          <a:avLst/>
                        </a:prstGeom>
                        <a:ln w="25400" cmpd="sng">
                          <a:solidFill>
                            <a:srgbClr val="FFFF00"/>
                          </a:solidFill>
                          <a:prstDash val="sysDot"/>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71.45pt;margin-top:376.95pt;height:0.75pt;width:30.65pt;z-index:251743232;mso-width-relative:page;mso-height-relative:page;" filled="f" stroked="t" coordsize="21600,21600" o:gfxdata="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pLD5ntoAAAALAQAADwAAAAAAAAAB&#10;ACAAAAAiAAAAZHJzL2Rvd25yZXYueG1sUEsBAhQAFAAAAAgAh07iQJraA8kOAgAA5gMAAA4AAAAA&#10;AAAAAQAgAAAAKQEAAGRycy9lMm9Eb2MueG1sUEsFBgAAAAAGAAYAWQEAAKkFAAAAAA==&#10;">
                <v:fill on="f" focussize="0,0"/>
                <v:stroke weight="2pt" color="#FFFF00 [3204]" miterlimit="8" joinstyle="miter" dashstyle="1 1" endarrow="open"/>
                <v:imagedata o:title=""/>
                <o:lock v:ext="edit" aspectratio="f"/>
              </v:shape>
            </w:pict>
          </mc:Fallback>
        </mc:AlternateContent>
      </w:r>
      <w:r>
        <w:rPr>
          <w:sz w:val="21"/>
          <w:highlight w:val="none"/>
        </w:rPr>
        <mc:AlternateContent>
          <mc:Choice Requires="wps">
            <w:drawing>
              <wp:anchor distT="0" distB="0" distL="114300" distR="114300" simplePos="0" relativeHeight="251742208" behindDoc="0" locked="0" layoutInCell="1" allowOverlap="1">
                <wp:simplePos x="0" y="0"/>
                <wp:positionH relativeFrom="column">
                  <wp:posOffset>819150</wp:posOffset>
                </wp:positionH>
                <wp:positionV relativeFrom="paragraph">
                  <wp:posOffset>4302760</wp:posOffset>
                </wp:positionV>
                <wp:extent cx="1276985" cy="965200"/>
                <wp:effectExtent l="4445" t="4445" r="13970" b="20955"/>
                <wp:wrapNone/>
                <wp:docPr id="160" name="文本框 160"/>
                <wp:cNvGraphicFramePr/>
                <a:graphic xmlns:a="http://schemas.openxmlformats.org/drawingml/2006/main">
                  <a:graphicData uri="http://schemas.microsoft.com/office/word/2010/wordprocessingShape">
                    <wps:wsp>
                      <wps:cNvSpPr txBox="1"/>
                      <wps:spPr>
                        <a:xfrm>
                          <a:off x="0" y="0"/>
                          <a:ext cx="1276985" cy="96520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图例：</w:t>
                            </w:r>
                          </w:p>
                          <w:p>
                            <w:pPr>
                              <w:pStyle w:val="2"/>
                              <w:keepNext w:val="0"/>
                              <w:keepLines w:val="0"/>
                              <w:pageBreakBefore w:val="0"/>
                              <w:widowControl w:val="0"/>
                              <w:kinsoku/>
                              <w:wordWrap/>
                              <w:overflowPunct/>
                              <w:topLinePunct w:val="0"/>
                              <w:bidi w:val="0"/>
                              <w:adjustRightInd/>
                              <w:snapToGrid/>
                              <w:ind w:firstLine="720" w:firstLineChars="300"/>
                              <w:textAlignment w:val="auto"/>
                              <w:rPr>
                                <w:rFonts w:hint="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雨水走向</w:t>
                            </w:r>
                          </w:p>
                          <w:p>
                            <w:pPr>
                              <w:pStyle w:val="2"/>
                              <w:keepNext w:val="0"/>
                              <w:keepLines w:val="0"/>
                              <w:pageBreakBefore w:val="0"/>
                              <w:widowControl w:val="0"/>
                              <w:kinsoku/>
                              <w:wordWrap/>
                              <w:overflowPunct/>
                              <w:topLinePunct w:val="0"/>
                              <w:bidi w:val="0"/>
                              <w:adjustRightInd/>
                              <w:snapToGrid/>
                              <w:ind w:firstLine="720" w:firstLineChars="300"/>
                              <w:textAlignment w:val="auto"/>
                              <w:rPr>
                                <w:rFonts w:hint="default"/>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污水走向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5pt;margin-top:338.8pt;height:76pt;width:100.55pt;z-index:251742208;mso-width-relative:page;mso-height-relative:page;" filled="f" stroked="t" coordsize="21600,21600" o:gfxdata="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EDuKS2wAAAAsB&#10;AAAPAAAAAAAAAAEAIAAAACIAAABkcnMvZG93bnJldi54bWxQSwECFAAUAAAACACHTuJA1UN8ClEC&#10;AACSBAAADgAAAAAAAAABACAAAAAqAQAAZHJzL2Uyb0RvYy54bWxQSwUGAAAAAAYABgBZAQAA7QUA&#10;AAAA&#10;">
                <v:fill on="f" focussize="0,0"/>
                <v:stroke weight="0.5pt" color="#000000 [3204]" joinstyle="round"/>
                <v:imagedata o:title=""/>
                <o:lock v:ext="edit" aspectratio="f"/>
                <v:textbox>
                  <w:txbxContent>
                    <w:p>
                      <w:pPr>
                        <w:rPr>
                          <w:rFonts w:hint="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图例：</w:t>
                      </w:r>
                    </w:p>
                    <w:p>
                      <w:pPr>
                        <w:pStyle w:val="2"/>
                        <w:keepNext w:val="0"/>
                        <w:keepLines w:val="0"/>
                        <w:pageBreakBefore w:val="0"/>
                        <w:widowControl w:val="0"/>
                        <w:kinsoku/>
                        <w:wordWrap/>
                        <w:overflowPunct/>
                        <w:topLinePunct w:val="0"/>
                        <w:bidi w:val="0"/>
                        <w:adjustRightInd/>
                        <w:snapToGrid/>
                        <w:ind w:firstLine="720" w:firstLineChars="300"/>
                        <w:textAlignment w:val="auto"/>
                        <w:rPr>
                          <w:rFonts w:hint="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雨水走向</w:t>
                      </w:r>
                    </w:p>
                    <w:p>
                      <w:pPr>
                        <w:pStyle w:val="2"/>
                        <w:keepNext w:val="0"/>
                        <w:keepLines w:val="0"/>
                        <w:pageBreakBefore w:val="0"/>
                        <w:widowControl w:val="0"/>
                        <w:kinsoku/>
                        <w:wordWrap/>
                        <w:overflowPunct/>
                        <w:topLinePunct w:val="0"/>
                        <w:bidi w:val="0"/>
                        <w:adjustRightInd/>
                        <w:snapToGrid/>
                        <w:ind w:firstLine="720" w:firstLineChars="300"/>
                        <w:textAlignment w:val="auto"/>
                        <w:rPr>
                          <w:rFonts w:hint="default"/>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污水走向</w:t>
                      </w:r>
                    </w:p>
                  </w:txbxContent>
                </v:textbox>
              </v:shape>
            </w:pict>
          </mc:Fallback>
        </mc:AlternateContent>
      </w:r>
      <w:r>
        <w:rPr>
          <w:sz w:val="24"/>
        </w:rPr>
        <mc:AlternateContent>
          <mc:Choice Requires="wps">
            <w:drawing>
              <wp:anchor distT="0" distB="0" distL="114300" distR="114300" simplePos="0" relativeHeight="251741184" behindDoc="0" locked="0" layoutInCell="1" allowOverlap="1">
                <wp:simplePos x="0" y="0"/>
                <wp:positionH relativeFrom="column">
                  <wp:posOffset>6278245</wp:posOffset>
                </wp:positionH>
                <wp:positionV relativeFrom="paragraph">
                  <wp:posOffset>2996565</wp:posOffset>
                </wp:positionV>
                <wp:extent cx="172720" cy="314325"/>
                <wp:effectExtent l="2540" t="6350" r="15240" b="3175"/>
                <wp:wrapNone/>
                <wp:docPr id="159" name="直接箭头连接符 159"/>
                <wp:cNvGraphicFramePr/>
                <a:graphic xmlns:a="http://schemas.openxmlformats.org/drawingml/2006/main">
                  <a:graphicData uri="http://schemas.microsoft.com/office/word/2010/wordprocessingShape">
                    <wps:wsp>
                      <wps:cNvCnPr/>
                      <wps:spPr>
                        <a:xfrm flipH="1">
                          <a:off x="0" y="0"/>
                          <a:ext cx="172720" cy="314325"/>
                        </a:xfrm>
                        <a:prstGeom prst="straightConnector1">
                          <a:avLst/>
                        </a:prstGeom>
                        <a:ln w="25400" cmpd="sng">
                          <a:solidFill>
                            <a:srgbClr val="FFFF00"/>
                          </a:solidFill>
                          <a:prstDash val="sysDot"/>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94.35pt;margin-top:235.95pt;height:24.75pt;width:13.6pt;z-index:251741184;mso-width-relative:page;mso-height-relative:page;" filled="f" stroked="t" coordsize="21600,21600" o:gfxdata="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gS8Q8NsAAAAMAQAA&#10;DwAAAAAAAAABACAAAAAiAAAAZHJzL2Rvd25yZXYueG1sUEsBAhQAFAAAAAgAh07iQJTnIOsWAgAA&#10;8gMAAA4AAAAAAAAAAQAgAAAAKgEAAGRycy9lMm9Eb2MueG1sUEsFBgAAAAAGAAYAWQEAALIFAAAA&#10;AA==&#10;">
                <v:fill on="f" focussize="0,0"/>
                <v:stroke weight="2pt" color="#FFFF00 [3204]" miterlimit="8" joinstyle="miter" dashstyle="1 1" endarrow="open"/>
                <v:imagedata o:title=""/>
                <o:lock v:ext="edit" aspectratio="f"/>
              </v:shape>
            </w:pict>
          </mc:Fallback>
        </mc:AlternateContent>
      </w:r>
      <w:r>
        <w:rPr>
          <w:sz w:val="24"/>
        </w:rPr>
        <mc:AlternateContent>
          <mc:Choice Requires="wps">
            <w:drawing>
              <wp:anchor distT="0" distB="0" distL="114300" distR="114300" simplePos="0" relativeHeight="251740160" behindDoc="0" locked="0" layoutInCell="1" allowOverlap="1">
                <wp:simplePos x="0" y="0"/>
                <wp:positionH relativeFrom="column">
                  <wp:posOffset>4382770</wp:posOffset>
                </wp:positionH>
                <wp:positionV relativeFrom="paragraph">
                  <wp:posOffset>1967865</wp:posOffset>
                </wp:positionV>
                <wp:extent cx="172720" cy="314325"/>
                <wp:effectExtent l="2540" t="6350" r="15240" b="3175"/>
                <wp:wrapNone/>
                <wp:docPr id="157" name="直接箭头连接符 157"/>
                <wp:cNvGraphicFramePr/>
                <a:graphic xmlns:a="http://schemas.openxmlformats.org/drawingml/2006/main">
                  <a:graphicData uri="http://schemas.microsoft.com/office/word/2010/wordprocessingShape">
                    <wps:wsp>
                      <wps:cNvCnPr/>
                      <wps:spPr>
                        <a:xfrm flipH="1">
                          <a:off x="0" y="0"/>
                          <a:ext cx="172720" cy="314325"/>
                        </a:xfrm>
                        <a:prstGeom prst="straightConnector1">
                          <a:avLst/>
                        </a:prstGeom>
                        <a:ln w="25400" cmpd="sng">
                          <a:solidFill>
                            <a:srgbClr val="FFFF00"/>
                          </a:solidFill>
                          <a:prstDash val="sysDot"/>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45.1pt;margin-top:154.95pt;height:24.75pt;width:13.6pt;z-index:251740160;mso-width-relative:page;mso-height-relative:page;" filled="f" stroked="t" coordsize="21600,21600" o:gfxdata="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6M/LR9sAAAALAQAA&#10;DwAAAAAAAAABACAAAAAiAAAAZHJzL2Rvd25yZXYueG1sUEsBAhQAFAAAAAgAh07iQPykBToWAgAA&#10;8gMAAA4AAAAAAAAAAQAgAAAAKgEAAGRycy9lMm9Eb2MueG1sUEsFBgAAAAAGAAYAWQEAALIFAAAA&#10;AA==&#10;">
                <v:fill on="f" focussize="0,0"/>
                <v:stroke weight="2pt" color="#FFFF00 [3204]" miterlimit="8" joinstyle="miter" dashstyle="1 1" endarrow="open"/>
                <v:imagedata o:title=""/>
                <o:lock v:ext="edit" aspectratio="f"/>
              </v:shape>
            </w:pict>
          </mc:Fallback>
        </mc:AlternateContent>
      </w:r>
      <w:r>
        <w:rPr>
          <w:sz w:val="24"/>
        </w:rPr>
        <mc:AlternateContent>
          <mc:Choice Requires="wps">
            <w:drawing>
              <wp:anchor distT="0" distB="0" distL="114300" distR="114300" simplePos="0" relativeHeight="251739136" behindDoc="0" locked="0" layoutInCell="1" allowOverlap="1">
                <wp:simplePos x="0" y="0"/>
                <wp:positionH relativeFrom="column">
                  <wp:posOffset>4317365</wp:posOffset>
                </wp:positionH>
                <wp:positionV relativeFrom="paragraph">
                  <wp:posOffset>2329815</wp:posOffset>
                </wp:positionV>
                <wp:extent cx="1895475" cy="981075"/>
                <wp:effectExtent l="5715" t="11430" r="3810" b="17145"/>
                <wp:wrapNone/>
                <wp:docPr id="156" name="直接箭头连接符 156"/>
                <wp:cNvGraphicFramePr/>
                <a:graphic xmlns:a="http://schemas.openxmlformats.org/drawingml/2006/main">
                  <a:graphicData uri="http://schemas.microsoft.com/office/word/2010/wordprocessingShape">
                    <wps:wsp>
                      <wps:cNvCnPr/>
                      <wps:spPr>
                        <a:xfrm rot="10800000" flipH="1" flipV="1">
                          <a:off x="0" y="0"/>
                          <a:ext cx="1895475" cy="981075"/>
                        </a:xfrm>
                        <a:prstGeom prst="straightConnector1">
                          <a:avLst/>
                        </a:prstGeom>
                        <a:ln w="25400" cmpd="sng">
                          <a:solidFill>
                            <a:srgbClr val="FFFF00"/>
                          </a:solidFill>
                          <a:prstDash val="sysDot"/>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39.95pt;margin-top:183.45pt;height:77.25pt;width:149.25pt;rotation:11796480f;z-index:251739136;mso-width-relative:page;mso-height-relative:page;" filled="f" stroked="t" coordsize="21600,21600" o:gfxdata="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vY&#10;Ea/YAAAACwEAAA8AAAAAAAAAAQAgAAAAIgAAAGRycy9kb3ducmV2LnhtbFBLAQIUABQAAAAIAIdO&#10;4kCpjMDOIwIAAAwEAAAOAAAAAAAAAAEAIAAAACcBAABkcnMvZTJvRG9jLnhtbFBLBQYAAAAABgAG&#10;AFkBAAC8BQAAAAA=&#10;">
                <v:fill on="f" focussize="0,0"/>
                <v:stroke weight="2pt" color="#FFFF00 [3204]" miterlimit="8" joinstyle="miter" dashstyle="1 1" endarrow="open"/>
                <v:imagedata o:title=""/>
                <o:lock v:ext="edit" aspectratio="f"/>
              </v:shape>
            </w:pict>
          </mc:Fallback>
        </mc:AlternateContent>
      </w:r>
      <w:r>
        <w:rPr>
          <w:sz w:val="24"/>
        </w:rPr>
        <mc:AlternateContent>
          <mc:Choice Requires="wps">
            <w:drawing>
              <wp:anchor distT="0" distB="0" distL="114300" distR="114300" simplePos="0" relativeHeight="251738112" behindDoc="0" locked="0" layoutInCell="1" allowOverlap="1">
                <wp:simplePos x="0" y="0"/>
                <wp:positionH relativeFrom="column">
                  <wp:posOffset>4612640</wp:posOffset>
                </wp:positionH>
                <wp:positionV relativeFrom="paragraph">
                  <wp:posOffset>1977390</wp:posOffset>
                </wp:positionV>
                <wp:extent cx="1895475" cy="981075"/>
                <wp:effectExtent l="5715" t="11430" r="3810" b="17145"/>
                <wp:wrapNone/>
                <wp:docPr id="155" name="直接箭头连接符 155"/>
                <wp:cNvGraphicFramePr/>
                <a:graphic xmlns:a="http://schemas.openxmlformats.org/drawingml/2006/main">
                  <a:graphicData uri="http://schemas.microsoft.com/office/word/2010/wordprocessingShape">
                    <wps:wsp>
                      <wps:cNvCnPr/>
                      <wps:spPr>
                        <a:xfrm rot="10800000" flipH="1" flipV="1">
                          <a:off x="5069840" y="2722245"/>
                          <a:ext cx="1895475" cy="981075"/>
                        </a:xfrm>
                        <a:prstGeom prst="straightConnector1">
                          <a:avLst/>
                        </a:prstGeom>
                        <a:ln w="25400" cmpd="sng">
                          <a:solidFill>
                            <a:srgbClr val="FFFF00"/>
                          </a:solidFill>
                          <a:prstDash val="sysDot"/>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63.2pt;margin-top:155.7pt;height:77.25pt;width:149.25pt;rotation:11796480f;z-index:251738112;mso-width-relative:page;mso-height-relative:page;" filled="f" stroked="t" coordsize="21600,21600" o:gfxdata="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A5tmF1wAAAAwBAAAPAAAAAAAAAAEAIAAAACIAAABkcnMvZG93bnJldi54bWxQ&#10;SwECFAAUAAAACACHTuJA3t6FwzECAAAYBAAADgAAAAAAAAABACAAAAAmAQAAZHJzL2Uyb0RvYy54&#10;bWxQSwUGAAAAAAYABgBZAQAAyQUAAAAA&#10;">
                <v:fill on="f" focussize="0,0"/>
                <v:stroke weight="2pt" color="#FFFF00 [3204]" miterlimit="8" joinstyle="miter" dashstyle="1 1" endarrow="open"/>
                <v:imagedata o:title=""/>
                <o:lock v:ext="edit" aspectratio="f"/>
              </v:shape>
            </w:pict>
          </mc:Fallback>
        </mc:AlternateContent>
      </w:r>
      <w:r>
        <w:drawing>
          <wp:anchor distT="0" distB="0" distL="114300" distR="114300" simplePos="0" relativeHeight="251737088" behindDoc="0" locked="0" layoutInCell="1" allowOverlap="1">
            <wp:simplePos x="0" y="0"/>
            <wp:positionH relativeFrom="column">
              <wp:posOffset>8363585</wp:posOffset>
            </wp:positionH>
            <wp:positionV relativeFrom="paragraph">
              <wp:posOffset>4846320</wp:posOffset>
            </wp:positionV>
            <wp:extent cx="590550" cy="438150"/>
            <wp:effectExtent l="0" t="0" r="0" b="0"/>
            <wp:wrapNone/>
            <wp:docPr id="1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9"/>
                    <pic:cNvPicPr>
                      <a:picLocks noChangeAspect="1"/>
                    </pic:cNvPicPr>
                  </pic:nvPicPr>
                  <pic:blipFill>
                    <a:blip r:embed="rId28"/>
                    <a:stretch>
                      <a:fillRect/>
                    </a:stretch>
                  </pic:blipFill>
                  <pic:spPr>
                    <a:xfrm>
                      <a:off x="0" y="0"/>
                      <a:ext cx="590550" cy="438150"/>
                    </a:xfrm>
                    <a:prstGeom prst="rect">
                      <a:avLst/>
                    </a:prstGeom>
                    <a:noFill/>
                    <a:ln>
                      <a:noFill/>
                    </a:ln>
                  </pic:spPr>
                </pic:pic>
              </a:graphicData>
            </a:graphic>
          </wp:anchor>
        </w:drawing>
      </w:r>
      <w:r>
        <w:rPr>
          <w:highlight w:val="none"/>
        </w:rPr>
        <w:drawing>
          <wp:anchor distT="0" distB="0" distL="114300" distR="114300" simplePos="0" relativeHeight="251735040" behindDoc="0" locked="0" layoutInCell="1" allowOverlap="1">
            <wp:simplePos x="0" y="0"/>
            <wp:positionH relativeFrom="column">
              <wp:posOffset>8918575</wp:posOffset>
            </wp:positionH>
            <wp:positionV relativeFrom="paragraph">
              <wp:posOffset>-18415</wp:posOffset>
            </wp:positionV>
            <wp:extent cx="841375" cy="816610"/>
            <wp:effectExtent l="0" t="0" r="15875" b="2540"/>
            <wp:wrapNone/>
            <wp:docPr id="1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
                    <pic:cNvPicPr>
                      <a:picLocks noChangeAspect="1"/>
                    </pic:cNvPicPr>
                  </pic:nvPicPr>
                  <pic:blipFill>
                    <a:blip r:embed="rId22"/>
                    <a:stretch>
                      <a:fillRect/>
                    </a:stretch>
                  </pic:blipFill>
                  <pic:spPr>
                    <a:xfrm>
                      <a:off x="0" y="0"/>
                      <a:ext cx="841375" cy="816610"/>
                    </a:xfrm>
                    <a:prstGeom prst="rect">
                      <a:avLst/>
                    </a:prstGeom>
                    <a:noFill/>
                    <a:ln>
                      <a:noFill/>
                    </a:ln>
                  </pic:spPr>
                </pic:pic>
              </a:graphicData>
            </a:graphic>
          </wp:anchor>
        </w:drawing>
      </w:r>
      <w:r>
        <w:drawing>
          <wp:inline distT="0" distB="0" distL="114300" distR="114300">
            <wp:extent cx="8143875" cy="5209540"/>
            <wp:effectExtent l="0" t="0" r="9525" b="10160"/>
            <wp:docPr id="1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
                    <pic:cNvPicPr>
                      <a:picLocks noChangeAspect="1"/>
                    </pic:cNvPicPr>
                  </pic:nvPicPr>
                  <pic:blipFill>
                    <a:blip r:embed="rId29"/>
                    <a:stretch>
                      <a:fillRect/>
                    </a:stretch>
                  </pic:blipFill>
                  <pic:spPr>
                    <a:xfrm>
                      <a:off x="0" y="0"/>
                      <a:ext cx="8143875" cy="5209540"/>
                    </a:xfrm>
                    <a:prstGeom prst="rect">
                      <a:avLst/>
                    </a:prstGeom>
                    <a:noFill/>
                    <a:ln>
                      <a:noFill/>
                    </a:ln>
                  </pic:spPr>
                </pic:pic>
              </a:graphicData>
            </a:graphic>
          </wp:inline>
        </w:drawing>
      </w:r>
    </w:p>
    <w:p>
      <w:pPr>
        <w:pStyle w:val="2"/>
        <w:jc w:val="center"/>
        <w:outlineLvl w:val="0"/>
      </w:pP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t>附图6 管理区雨污水走向示意图</w:t>
      </w:r>
    </w:p>
    <w:p>
      <w:pPr>
        <w:pStyle w:val="2"/>
        <w:jc w:val="center"/>
        <w:outlineLvl w:val="0"/>
        <w:rPr>
          <w:rFonts w:hint="default"/>
          <w:lang w:val="en-US" w:eastAsia="zh-CN"/>
        </w:rPr>
        <w:sectPr>
          <w:pgSz w:w="16838" w:h="11906" w:orient="landscape"/>
          <w:pgMar w:top="720" w:right="720" w:bottom="720" w:left="720" w:header="851" w:footer="992" w:gutter="0"/>
          <w:cols w:space="425" w:num="1"/>
          <w:docGrid w:type="lines" w:linePitch="312" w:charSpace="0"/>
        </w:sectPr>
      </w:pPr>
    </w:p>
    <w:p>
      <w:pPr>
        <w:pStyle w:val="7"/>
        <w:rPr>
          <w:highlight w:val="none"/>
        </w:rPr>
      </w:pPr>
      <w:r>
        <w:rPr>
          <w:sz w:val="21"/>
          <w:highlight w:val="none"/>
        </w:rPr>
        <mc:AlternateContent>
          <mc:Choice Requires="wps">
            <w:drawing>
              <wp:anchor distT="0" distB="0" distL="114300" distR="114300" simplePos="0" relativeHeight="251698176" behindDoc="0" locked="0" layoutInCell="1" allowOverlap="1">
                <wp:simplePos x="0" y="0"/>
                <wp:positionH relativeFrom="column">
                  <wp:posOffset>6730365</wp:posOffset>
                </wp:positionH>
                <wp:positionV relativeFrom="paragraph">
                  <wp:posOffset>1016000</wp:posOffset>
                </wp:positionV>
                <wp:extent cx="1160145" cy="649605"/>
                <wp:effectExtent l="1400175" t="6350" r="11430" b="163195"/>
                <wp:wrapNone/>
                <wp:docPr id="60" name="矩形标注 60"/>
                <wp:cNvGraphicFramePr/>
                <a:graphic xmlns:a="http://schemas.openxmlformats.org/drawingml/2006/main">
                  <a:graphicData uri="http://schemas.microsoft.com/office/word/2010/wordprocessingShape">
                    <wps:wsp>
                      <wps:cNvSpPr/>
                      <wps:spPr>
                        <a:xfrm>
                          <a:off x="6788785" y="2081530"/>
                          <a:ext cx="1160145" cy="649605"/>
                        </a:xfrm>
                        <a:prstGeom prst="wedgeRectCallout">
                          <a:avLst>
                            <a:gd name="adj1" fmla="val -166365"/>
                            <a:gd name="adj2" fmla="val 71603"/>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p>
                            <w:pPr>
                              <w:pStyle w:val="2"/>
                              <w:rPr>
                                <w:rFonts w:hint="default"/>
                                <w:lang w:val="en-US" w:eastAsia="zh-CN"/>
                              </w:rPr>
                            </w:pPr>
                            <w:r>
                              <w:rPr>
                                <w:rFonts w:hint="eastAsia"/>
                                <w:color w:val="000000" w:themeColor="text1"/>
                                <w:lang w:val="en-US" w:eastAsia="zh-CN"/>
                                <w14:textFill>
                                  <w14:solidFill>
                                    <w14:schemeClr w14:val="tx1"/>
                                  </w14:solidFill>
                                </w14:textFill>
                              </w:rPr>
                              <w:t>重点管控单元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29.95pt;margin-top:80pt;height:51.15pt;width:91.35pt;z-index:251698176;v-text-anchor:middle;mso-width-relative:page;mso-height-relative:page;" filled="f" stroked="t" coordsize="21600,21600" o:gfxdata="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NqefF9sAAAANAQAADwAAAAAAAAABACAA&#10;AAAiAAAAZHJzL2Rvd25yZXYueG1sUEsBAhQAFAAAAAgAh07iQILBeXC1AgAASQUAAA4AAAAAAAAA&#10;AQAgAAAAKgEAAGRycy9lMm9Eb2MueG1sUEsFBgAAAAAGAAYAWQEAAFEGAAAAAA==&#10;" adj="-25135,26266">
                <v:fill on="f" focussize="0,0"/>
                <v:stroke weight="1pt" color="#000000 [3213]" miterlimit="8" joinstyle="miter"/>
                <v:imagedata o:title=""/>
                <o:lock v:ext="edit" aspectratio="f"/>
                <v:textbox>
                  <w:txbxContent>
                    <w:p>
                      <w:pPr>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p>
                      <w:pPr>
                        <w:pStyle w:val="2"/>
                        <w:rPr>
                          <w:rFonts w:hint="default"/>
                          <w:lang w:val="en-US" w:eastAsia="zh-CN"/>
                        </w:rPr>
                      </w:pPr>
                      <w:r>
                        <w:rPr>
                          <w:rFonts w:hint="eastAsia"/>
                          <w:color w:val="000000" w:themeColor="text1"/>
                          <w:lang w:val="en-US" w:eastAsia="zh-CN"/>
                          <w14:textFill>
                            <w14:solidFill>
                              <w14:schemeClr w14:val="tx1"/>
                            </w14:solidFill>
                          </w14:textFill>
                        </w:rPr>
                        <w:t>重点管控单元</w:t>
                      </w:r>
                    </w:p>
                  </w:txbxContent>
                </v:textbox>
              </v:shape>
            </w:pict>
          </mc:Fallback>
        </mc:AlternateContent>
      </w:r>
      <w:r>
        <w:rPr>
          <w:sz w:val="21"/>
          <w:highlight w:val="none"/>
        </w:rPr>
        <mc:AlternateContent>
          <mc:Choice Requires="wps">
            <w:drawing>
              <wp:anchor distT="0" distB="0" distL="114300" distR="114300" simplePos="0" relativeHeight="251697152" behindDoc="0" locked="0" layoutInCell="1" allowOverlap="1">
                <wp:simplePos x="0" y="0"/>
                <wp:positionH relativeFrom="column">
                  <wp:posOffset>5257800</wp:posOffset>
                </wp:positionH>
                <wp:positionV relativeFrom="paragraph">
                  <wp:posOffset>1798320</wp:posOffset>
                </wp:positionV>
                <wp:extent cx="95885" cy="100965"/>
                <wp:effectExtent l="6350" t="6350" r="12065" b="6985"/>
                <wp:wrapNone/>
                <wp:docPr id="59" name="椭圆 59"/>
                <wp:cNvGraphicFramePr/>
                <a:graphic xmlns:a="http://schemas.openxmlformats.org/drawingml/2006/main">
                  <a:graphicData uri="http://schemas.microsoft.com/office/word/2010/wordprocessingShape">
                    <wps:wsp>
                      <wps:cNvSpPr/>
                      <wps:spPr>
                        <a:xfrm>
                          <a:off x="5706745" y="2540635"/>
                          <a:ext cx="95885" cy="100965"/>
                        </a:xfrm>
                        <a:prstGeom prst="ellips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14pt;margin-top:141.6pt;height:7.95pt;width:7.55pt;z-index:251697152;v-text-anchor:middle;mso-width-relative:page;mso-height-relative:page;" fillcolor="#000000 [3213]" filled="t" stroked="t" coordsize="21600,21600" o:gfxdata="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ydPiNNoAAAALAQAADwAAAAAAAAABACAAAAAiAAAA&#10;ZHJzL2Rvd25yZXYueG1sUEsBAhQAFAAAAAgAh07iQA7CZct3AgAAAwUAAA4AAAAAAAAAAQAgAAAA&#10;KQEAAGRycy9lMm9Eb2MueG1sUEsFBgAAAAAGAAYAWQEAABIGAAAAAA==&#10;">
                <v:fill on="t" focussize="0,0"/>
                <v:stroke weight="1pt" color="#000000 [3213]" miterlimit="8" joinstyle="miter"/>
                <v:imagedata o:title=""/>
                <o:lock v:ext="edit" aspectratio="f"/>
              </v:shape>
            </w:pict>
          </mc:Fallback>
        </mc:AlternateContent>
      </w:r>
      <w:r>
        <w:rPr>
          <w:highlight w:val="none"/>
        </w:rPr>
        <w:drawing>
          <wp:inline distT="0" distB="0" distL="114300" distR="114300">
            <wp:extent cx="9436100" cy="5190490"/>
            <wp:effectExtent l="0" t="0" r="12700" b="10160"/>
            <wp:docPr id="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pic:cNvPicPr>
                      <a:picLocks noChangeAspect="1"/>
                    </pic:cNvPicPr>
                  </pic:nvPicPr>
                  <pic:blipFill>
                    <a:blip r:embed="rId30"/>
                    <a:stretch>
                      <a:fillRect/>
                    </a:stretch>
                  </pic:blipFill>
                  <pic:spPr>
                    <a:xfrm>
                      <a:off x="0" y="0"/>
                      <a:ext cx="9436100" cy="5190490"/>
                    </a:xfrm>
                    <a:prstGeom prst="rect">
                      <a:avLst/>
                    </a:prstGeom>
                    <a:noFill/>
                    <a:ln>
                      <a:noFill/>
                    </a:ln>
                  </pic:spPr>
                </pic:pic>
              </a:graphicData>
            </a:graphic>
          </wp:inline>
        </w:drawing>
      </w:r>
    </w:p>
    <w:p>
      <w:pPr>
        <w:pStyle w:val="2"/>
        <w:jc w:val="center"/>
        <w:outlineLvl w:val="0"/>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sectPr>
          <w:pgSz w:w="16838" w:h="11906" w:orient="landscape"/>
          <w:pgMar w:top="720" w:right="720" w:bottom="720" w:left="720" w:header="851" w:footer="992" w:gutter="0"/>
          <w:cols w:space="425" w:num="1"/>
          <w:docGrid w:type="lines" w:linePitch="312" w:charSpace="0"/>
        </w:sectPr>
      </w:pP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t>附图7 岳阳市环境管控单元图</w:t>
      </w:r>
    </w:p>
    <w:p>
      <w:pPr>
        <w:pStyle w:val="2"/>
        <w:jc w:val="center"/>
        <w:outlineLvl w:val="9"/>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pPr>
      <w:r>
        <w:rPr>
          <w:sz w:val="24"/>
          <w:highlight w:val="none"/>
        </w:rPr>
        <mc:AlternateContent>
          <mc:Choice Requires="wps">
            <w:drawing>
              <wp:anchor distT="0" distB="0" distL="114300" distR="114300" simplePos="0" relativeHeight="251700224" behindDoc="0" locked="0" layoutInCell="1" allowOverlap="1">
                <wp:simplePos x="0" y="0"/>
                <wp:positionH relativeFrom="column">
                  <wp:posOffset>3292475</wp:posOffset>
                </wp:positionH>
                <wp:positionV relativeFrom="paragraph">
                  <wp:posOffset>860425</wp:posOffset>
                </wp:positionV>
                <wp:extent cx="2348230" cy="706120"/>
                <wp:effectExtent l="0" t="0" r="0" b="0"/>
                <wp:wrapNone/>
                <wp:docPr id="65" name="文本框 65"/>
                <wp:cNvGraphicFramePr/>
                <a:graphic xmlns:a="http://schemas.openxmlformats.org/drawingml/2006/main">
                  <a:graphicData uri="http://schemas.microsoft.com/office/word/2010/wordprocessingShape">
                    <wps:wsp>
                      <wps:cNvSpPr txBox="1"/>
                      <wps:spPr>
                        <a:xfrm>
                          <a:off x="4225925" y="1647825"/>
                          <a:ext cx="2348230" cy="706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color w:val="FFC000"/>
                                <w:highlight w:val="none"/>
                                <w:lang w:val="en-US" w:eastAsia="zh-CN"/>
                              </w:rPr>
                            </w:pPr>
                            <w:r>
                              <w:rPr>
                                <w:rFonts w:hint="eastAsia"/>
                                <w:b/>
                                <w:bCs/>
                                <w:color w:val="FFC000"/>
                                <w:highlight w:val="none"/>
                                <w:lang w:val="en-US" w:eastAsia="zh-CN"/>
                              </w:rPr>
                              <w:t>木形村</w:t>
                            </w:r>
                          </w:p>
                          <w:p>
                            <w:pPr>
                              <w:pStyle w:val="2"/>
                              <w:rPr>
                                <w:rFonts w:hint="eastAsia"/>
                                <w:b/>
                                <w:bCs/>
                                <w:color w:val="FFC000" w:themeColor="accent4"/>
                                <w:lang w:val="en-US" w:eastAsia="zh-CN"/>
                                <w14:textFill>
                                  <w14:solidFill>
                                    <w14:schemeClr w14:val="accent4"/>
                                  </w14:solidFill>
                                </w14:textFill>
                              </w:rPr>
                            </w:pPr>
                            <w:r>
                              <w:rPr>
                                <w:rFonts w:hint="eastAsia"/>
                                <w:b/>
                                <w:bCs/>
                                <w:color w:val="FFC000" w:themeColor="accent4"/>
                                <w:lang w:val="en-US" w:eastAsia="zh-CN"/>
                                <w14:textFill>
                                  <w14:solidFill>
                                    <w14:schemeClr w14:val="accent4"/>
                                  </w14:solidFill>
                                </w14:textFill>
                              </w:rPr>
                              <w:t>113.527698263，29.383969175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9.25pt;margin-top:67.75pt;height:55.6pt;width:184.9pt;z-index:251700224;mso-width-relative:page;mso-height-relative:page;" filled="f" stroked="f" coordsize="21600,21600" o:gfxdata="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tTuNsAAAALAQAADwAAAAAA&#10;AAABACAAAAAiAAAAZHJzL2Rvd25yZXYueG1sUEsBAhQAFAAAAAgAh07iQCeNc85JAgAAdAQAAA4A&#10;AAAAAAAAAQAgAAAAKgEAAGRycy9lMm9Eb2MueG1sUEsFBgAAAAAGAAYAWQEAAOUFAAAAAA==&#10;">
                <v:fill on="f" focussize="0,0"/>
                <v:stroke on="f" weight="0.5pt"/>
                <v:imagedata o:title=""/>
                <o:lock v:ext="edit" aspectratio="f"/>
                <v:textbox>
                  <w:txbxContent>
                    <w:p>
                      <w:pPr>
                        <w:jc w:val="center"/>
                        <w:rPr>
                          <w:rFonts w:hint="eastAsia"/>
                          <w:b/>
                          <w:bCs/>
                          <w:color w:val="FFC000"/>
                          <w:highlight w:val="none"/>
                          <w:lang w:val="en-US" w:eastAsia="zh-CN"/>
                        </w:rPr>
                      </w:pPr>
                      <w:r>
                        <w:rPr>
                          <w:rFonts w:hint="eastAsia"/>
                          <w:b/>
                          <w:bCs/>
                          <w:color w:val="FFC000"/>
                          <w:highlight w:val="none"/>
                          <w:lang w:val="en-US" w:eastAsia="zh-CN"/>
                        </w:rPr>
                        <w:t>木形村</w:t>
                      </w:r>
                    </w:p>
                    <w:p>
                      <w:pPr>
                        <w:pStyle w:val="2"/>
                        <w:rPr>
                          <w:rFonts w:hint="eastAsia"/>
                          <w:b/>
                          <w:bCs/>
                          <w:color w:val="FFC000" w:themeColor="accent4"/>
                          <w:lang w:val="en-US" w:eastAsia="zh-CN"/>
                          <w14:textFill>
                            <w14:solidFill>
                              <w14:schemeClr w14:val="accent4"/>
                            </w14:solidFill>
                          </w14:textFill>
                        </w:rPr>
                      </w:pPr>
                      <w:r>
                        <w:rPr>
                          <w:rFonts w:hint="eastAsia"/>
                          <w:b/>
                          <w:bCs/>
                          <w:color w:val="FFC000" w:themeColor="accent4"/>
                          <w:lang w:val="en-US" w:eastAsia="zh-CN"/>
                          <w14:textFill>
                            <w14:solidFill>
                              <w14:schemeClr w14:val="accent4"/>
                            </w14:solidFill>
                          </w14:textFill>
                        </w:rPr>
                        <w:t>113.527698263，29.383969175</w:t>
                      </w:r>
                    </w:p>
                  </w:txbxContent>
                </v:textbox>
              </v:shape>
            </w:pict>
          </mc:Fallback>
        </mc:AlternateContent>
      </w:r>
      <w:r>
        <w:rPr>
          <w:sz w:val="24"/>
          <w:highlight w:val="none"/>
        </w:rPr>
        <mc:AlternateContent>
          <mc:Choice Requires="wps">
            <w:drawing>
              <wp:anchor distT="0" distB="0" distL="114300" distR="114300" simplePos="0" relativeHeight="251703296" behindDoc="0" locked="0" layoutInCell="1" allowOverlap="1">
                <wp:simplePos x="0" y="0"/>
                <wp:positionH relativeFrom="column">
                  <wp:posOffset>3689985</wp:posOffset>
                </wp:positionH>
                <wp:positionV relativeFrom="paragraph">
                  <wp:posOffset>4013200</wp:posOffset>
                </wp:positionV>
                <wp:extent cx="2288540" cy="83058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2288540" cy="8305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color w:val="FFC000"/>
                                <w:highlight w:val="none"/>
                                <w:lang w:val="en-US" w:eastAsia="zh-CN"/>
                              </w:rPr>
                            </w:pPr>
                            <w:r>
                              <w:rPr>
                                <w:rFonts w:hint="eastAsia"/>
                                <w:b/>
                                <w:bCs/>
                                <w:color w:val="FFC000"/>
                                <w:highlight w:val="none"/>
                                <w:lang w:val="en-US" w:eastAsia="zh-CN"/>
                              </w:rPr>
                              <w:t>忠防社区</w:t>
                            </w:r>
                          </w:p>
                          <w:p>
                            <w:pPr>
                              <w:pStyle w:val="2"/>
                              <w:rPr>
                                <w:rFonts w:hint="eastAsia"/>
                                <w:b/>
                                <w:bCs/>
                                <w:color w:val="FFC000" w:themeColor="accent4"/>
                                <w:lang w:val="en-US" w:eastAsia="zh-CN"/>
                                <w14:textFill>
                                  <w14:solidFill>
                                    <w14:schemeClr w14:val="accent4"/>
                                  </w14:solidFill>
                                </w14:textFill>
                              </w:rPr>
                            </w:pPr>
                            <w:r>
                              <w:rPr>
                                <w:rFonts w:hint="eastAsia"/>
                                <w:b/>
                                <w:bCs/>
                                <w:color w:val="FFC000" w:themeColor="accent4"/>
                                <w:lang w:val="en-US" w:eastAsia="zh-CN"/>
                                <w14:textFill>
                                  <w14:solidFill>
                                    <w14:schemeClr w14:val="accent4"/>
                                  </w14:solidFill>
                                </w14:textFill>
                              </w:rPr>
                              <w:t>113.528266891，29.378765690</w:t>
                            </w:r>
                          </w:p>
                          <w:p>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0.55pt;margin-top:316pt;height:65.4pt;width:180.2pt;z-index:251703296;mso-width-relative:page;mso-height-relative:page;" filled="f" stroked="f" coordsize="21600,21600" o:gfxdata="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o/lKzcAAAACwEAAA8AAAAAAAAAAQAgAAAAIgAA&#10;AGRycy9kb3ducmV2LnhtbFBLAQIUABQAAAAIAIdO4kAnhebZPQIAAGgEAAAOAAAAAAAAAAEAIAAA&#10;ACsBAABkcnMvZTJvRG9jLnhtbFBLBQYAAAAABgAGAFkBAADaBQAAAAA=&#10;">
                <v:fill on="f" focussize="0,0"/>
                <v:stroke on="f" weight="0.5pt"/>
                <v:imagedata o:title=""/>
                <o:lock v:ext="edit" aspectratio="f"/>
                <v:textbox>
                  <w:txbxContent>
                    <w:p>
                      <w:pPr>
                        <w:jc w:val="center"/>
                        <w:rPr>
                          <w:rFonts w:hint="eastAsia"/>
                          <w:b/>
                          <w:bCs/>
                          <w:color w:val="FFC000"/>
                          <w:highlight w:val="none"/>
                          <w:lang w:val="en-US" w:eastAsia="zh-CN"/>
                        </w:rPr>
                      </w:pPr>
                      <w:r>
                        <w:rPr>
                          <w:rFonts w:hint="eastAsia"/>
                          <w:b/>
                          <w:bCs/>
                          <w:color w:val="FFC000"/>
                          <w:highlight w:val="none"/>
                          <w:lang w:val="en-US" w:eastAsia="zh-CN"/>
                        </w:rPr>
                        <w:t>忠防社区</w:t>
                      </w:r>
                    </w:p>
                    <w:p>
                      <w:pPr>
                        <w:pStyle w:val="2"/>
                        <w:rPr>
                          <w:rFonts w:hint="eastAsia"/>
                          <w:b/>
                          <w:bCs/>
                          <w:color w:val="FFC000" w:themeColor="accent4"/>
                          <w:lang w:val="en-US" w:eastAsia="zh-CN"/>
                          <w14:textFill>
                            <w14:solidFill>
                              <w14:schemeClr w14:val="accent4"/>
                            </w14:solidFill>
                          </w14:textFill>
                        </w:rPr>
                      </w:pPr>
                      <w:r>
                        <w:rPr>
                          <w:rFonts w:hint="eastAsia"/>
                          <w:b/>
                          <w:bCs/>
                          <w:color w:val="FFC000" w:themeColor="accent4"/>
                          <w:lang w:val="en-US" w:eastAsia="zh-CN"/>
                          <w14:textFill>
                            <w14:solidFill>
                              <w14:schemeClr w14:val="accent4"/>
                            </w14:solidFill>
                          </w14:textFill>
                        </w:rPr>
                        <w:t>113.528266891，29.378765690</w:t>
                      </w:r>
                    </w:p>
                    <w:p>
                      <w:pPr>
                        <w:pStyle w:val="2"/>
                        <w:rPr>
                          <w:rFonts w:hint="default"/>
                          <w:lang w:val="en-US" w:eastAsia="zh-CN"/>
                        </w:rPr>
                      </w:pPr>
                    </w:p>
                  </w:txbxContent>
                </v:textbox>
              </v:shape>
            </w:pict>
          </mc:Fallback>
        </mc:AlternateContent>
      </w:r>
      <w:r>
        <w:rPr>
          <w:highlight w:val="none"/>
        </w:rPr>
        <w:drawing>
          <wp:anchor distT="0" distB="0" distL="114300" distR="114300" simplePos="0" relativeHeight="251699200" behindDoc="0" locked="0" layoutInCell="1" allowOverlap="1">
            <wp:simplePos x="0" y="0"/>
            <wp:positionH relativeFrom="column">
              <wp:posOffset>8910955</wp:posOffset>
            </wp:positionH>
            <wp:positionV relativeFrom="paragraph">
              <wp:posOffset>109220</wp:posOffset>
            </wp:positionV>
            <wp:extent cx="841375" cy="816610"/>
            <wp:effectExtent l="0" t="0" r="15875" b="2540"/>
            <wp:wrapNone/>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22"/>
                    <a:stretch>
                      <a:fillRect/>
                    </a:stretch>
                  </pic:blipFill>
                  <pic:spPr>
                    <a:xfrm>
                      <a:off x="0" y="0"/>
                      <a:ext cx="841375" cy="816610"/>
                    </a:xfrm>
                    <a:prstGeom prst="rect">
                      <a:avLst/>
                    </a:prstGeom>
                    <a:noFill/>
                    <a:ln>
                      <a:noFill/>
                    </a:ln>
                  </pic:spPr>
                </pic:pic>
              </a:graphicData>
            </a:graphic>
          </wp:anchor>
        </w:drawing>
      </w:r>
      <w:r>
        <w:rPr>
          <w:highlight w:val="none"/>
        </w:rPr>
        <w:drawing>
          <wp:anchor distT="0" distB="0" distL="114300" distR="114300" simplePos="0" relativeHeight="251712512" behindDoc="0" locked="0" layoutInCell="1" allowOverlap="1">
            <wp:simplePos x="0" y="0"/>
            <wp:positionH relativeFrom="column">
              <wp:posOffset>8155305</wp:posOffset>
            </wp:positionH>
            <wp:positionV relativeFrom="paragraph">
              <wp:posOffset>5213985</wp:posOffset>
            </wp:positionV>
            <wp:extent cx="502285" cy="337185"/>
            <wp:effectExtent l="0" t="0" r="12065" b="5715"/>
            <wp:wrapNone/>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31"/>
                    <a:stretch>
                      <a:fillRect/>
                    </a:stretch>
                  </pic:blipFill>
                  <pic:spPr>
                    <a:xfrm>
                      <a:off x="0" y="0"/>
                      <a:ext cx="502285" cy="337185"/>
                    </a:xfrm>
                    <a:prstGeom prst="rect">
                      <a:avLst/>
                    </a:prstGeom>
                    <a:noFill/>
                    <a:ln>
                      <a:noFill/>
                    </a:ln>
                  </pic:spPr>
                </pic:pic>
              </a:graphicData>
            </a:graphic>
          </wp:anchor>
        </w:drawing>
      </w:r>
      <w:r>
        <w:rPr>
          <w:sz w:val="24"/>
          <w:highlight w:val="none"/>
        </w:rPr>
        <mc:AlternateContent>
          <mc:Choice Requires="wps">
            <w:drawing>
              <wp:anchor distT="0" distB="0" distL="114300" distR="114300" simplePos="0" relativeHeight="251702272" behindDoc="0" locked="0" layoutInCell="1" allowOverlap="1">
                <wp:simplePos x="0" y="0"/>
                <wp:positionH relativeFrom="column">
                  <wp:posOffset>1722120</wp:posOffset>
                </wp:positionH>
                <wp:positionV relativeFrom="paragraph">
                  <wp:posOffset>439420</wp:posOffset>
                </wp:positionV>
                <wp:extent cx="823595" cy="38989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823595" cy="389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FF" w:themeColor="background1"/>
                                <w:highlight w:val="none"/>
                                <w:lang w:val="en-US" w:eastAsia="zh-CN"/>
                                <w14:textFill>
                                  <w14:solidFill>
                                    <w14:schemeClr w14:val="bg1"/>
                                  </w14:solidFill>
                                </w14:textFill>
                              </w:rPr>
                            </w:pPr>
                            <w:r>
                              <w:rPr>
                                <w:rFonts w:hint="eastAsia"/>
                                <w:b/>
                                <w:bCs/>
                                <w:color w:val="FFFFFF" w:themeColor="background1"/>
                                <w:highlight w:val="none"/>
                                <w:lang w:val="en-US" w:eastAsia="zh-CN"/>
                                <w14:textFill>
                                  <w14:solidFill>
                                    <w14:schemeClr w14:val="bg1"/>
                                  </w14:solidFill>
                                </w14:textFill>
                              </w:rPr>
                              <w:t>游港河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6pt;margin-top:34.6pt;height:30.7pt;width:64.85pt;z-index:251702272;mso-width-relative:page;mso-height-relative:page;" filled="f" stroked="f" coordsize="21600,21600" o:gfxdata="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M8pcTbAAAACgEAAA8AAAAAAAAAAQAgAAAAIgAA&#10;AGRycy9kb3ducmV2LnhtbFBLAQIUABQAAAAIAIdO4kCFZroyPgIAAGcEAAAOAAAAAAAAAAEAIAAA&#10;ACoBAABkcnMvZTJvRG9jLnhtbFBLBQYAAAAABgAGAFkBAADaBQAAAAA=&#10;">
                <v:fill on="f" focussize="0,0"/>
                <v:stroke on="f" weight="0.5pt"/>
                <v:imagedata o:title=""/>
                <o:lock v:ext="edit" aspectratio="f"/>
                <v:textbox>
                  <w:txbxContent>
                    <w:p>
                      <w:pPr>
                        <w:rPr>
                          <w:rFonts w:hint="default" w:eastAsia="宋体"/>
                          <w:b/>
                          <w:bCs/>
                          <w:color w:val="FFFFFF" w:themeColor="background1"/>
                          <w:highlight w:val="none"/>
                          <w:lang w:val="en-US" w:eastAsia="zh-CN"/>
                          <w14:textFill>
                            <w14:solidFill>
                              <w14:schemeClr w14:val="bg1"/>
                            </w14:solidFill>
                          </w14:textFill>
                        </w:rPr>
                      </w:pPr>
                      <w:r>
                        <w:rPr>
                          <w:rFonts w:hint="eastAsia"/>
                          <w:b/>
                          <w:bCs/>
                          <w:color w:val="FFFFFF" w:themeColor="background1"/>
                          <w:highlight w:val="none"/>
                          <w:lang w:val="en-US" w:eastAsia="zh-CN"/>
                          <w14:textFill>
                            <w14:solidFill>
                              <w14:schemeClr w14:val="bg1"/>
                            </w14:solidFill>
                          </w14:textFill>
                        </w:rPr>
                        <w:t>游港河</w:t>
                      </w:r>
                    </w:p>
                  </w:txbxContent>
                </v:textbox>
              </v:shape>
            </w:pict>
          </mc:Fallback>
        </mc:AlternateContent>
      </w:r>
      <w:r>
        <w:rPr>
          <w:sz w:val="24"/>
          <w:highlight w:val="none"/>
        </w:rPr>
        <mc:AlternateContent>
          <mc:Choice Requires="wps">
            <w:drawing>
              <wp:anchor distT="0" distB="0" distL="114300" distR="114300" simplePos="0" relativeHeight="251705344" behindDoc="0" locked="0" layoutInCell="1" allowOverlap="1">
                <wp:simplePos x="0" y="0"/>
                <wp:positionH relativeFrom="column">
                  <wp:posOffset>1184275</wp:posOffset>
                </wp:positionH>
                <wp:positionV relativeFrom="paragraph">
                  <wp:posOffset>10795</wp:posOffset>
                </wp:positionV>
                <wp:extent cx="3667125" cy="590550"/>
                <wp:effectExtent l="3810" t="28575" r="24765" b="47625"/>
                <wp:wrapNone/>
                <wp:docPr id="73" name="任意多边形 73"/>
                <wp:cNvGraphicFramePr/>
                <a:graphic xmlns:a="http://schemas.openxmlformats.org/drawingml/2006/main">
                  <a:graphicData uri="http://schemas.microsoft.com/office/word/2010/wordprocessingShape">
                    <wps:wsp>
                      <wps:cNvSpPr/>
                      <wps:spPr>
                        <a:xfrm>
                          <a:off x="1641475" y="755650"/>
                          <a:ext cx="3667125" cy="590550"/>
                        </a:xfrm>
                        <a:custGeom>
                          <a:avLst/>
                          <a:gdLst>
                            <a:gd name="connisteX0" fmla="*/ 0 w 3667125"/>
                            <a:gd name="connsiteY0" fmla="*/ 571500 h 590550"/>
                            <a:gd name="connisteX1" fmla="*/ 809625 w 3667125"/>
                            <a:gd name="connsiteY1" fmla="*/ 466725 h 590550"/>
                            <a:gd name="connisteX2" fmla="*/ 1838325 w 3667125"/>
                            <a:gd name="connsiteY2" fmla="*/ 590550 h 590550"/>
                            <a:gd name="connisteX3" fmla="*/ 2619375 w 3667125"/>
                            <a:gd name="connsiteY3" fmla="*/ 342900 h 590550"/>
                            <a:gd name="connisteX4" fmla="*/ 3667125 w 3667125"/>
                            <a:gd name="connsiteY4" fmla="*/ 0 h 5905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667125" h="590550">
                              <a:moveTo>
                                <a:pt x="0" y="571500"/>
                              </a:moveTo>
                              <a:lnTo>
                                <a:pt x="809625" y="466725"/>
                              </a:lnTo>
                              <a:lnTo>
                                <a:pt x="1838325" y="590550"/>
                              </a:lnTo>
                              <a:lnTo>
                                <a:pt x="2619375" y="342900"/>
                              </a:lnTo>
                              <a:lnTo>
                                <a:pt x="3667125" y="0"/>
                              </a:lnTo>
                            </a:path>
                          </a:pathLst>
                        </a:custGeom>
                        <a:noFill/>
                        <a:ln w="60325"/>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93.25pt;margin-top:0.85pt;height:46.5pt;width:288.75pt;z-index:251705344;mso-width-relative:page;mso-height-relative:page;" filled="f" stroked="t" coordsize="3667125,590550" o:gfxdata="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" path="m0,571500l809625,466725,1838325,590550,2619375,342900,3667125,0e">
                <v:path o:connectlocs="0,571500;809625,466725;1838325,590550;2619375,342900;3667125,0" o:connectangles="0,0,0,0,0"/>
                <v:fill on="f" focussize="0,0"/>
                <v:stroke weight="4.75pt" color="#2E75B6 [2404]" miterlimit="8" joinstyle="miter"/>
                <v:imagedata o:title=""/>
                <o:lock v:ext="edit" aspectratio="f"/>
              </v:shape>
            </w:pict>
          </mc:Fallback>
        </mc:AlternateContent>
      </w:r>
      <w:r>
        <w:rPr>
          <w:sz w:val="24"/>
          <w:highlight w:val="none"/>
        </w:rPr>
        <mc:AlternateContent>
          <mc:Choice Requires="wps">
            <w:drawing>
              <wp:anchor distT="0" distB="0" distL="114300" distR="114300" simplePos="0" relativeHeight="251701248" behindDoc="0" locked="0" layoutInCell="1" allowOverlap="1">
                <wp:simplePos x="0" y="0"/>
                <wp:positionH relativeFrom="column">
                  <wp:posOffset>6014720</wp:posOffset>
                </wp:positionH>
                <wp:positionV relativeFrom="paragraph">
                  <wp:posOffset>2560320</wp:posOffset>
                </wp:positionV>
                <wp:extent cx="720090" cy="640715"/>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720090" cy="640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0"/>
                                <w:szCs w:val="20"/>
                                <w:highlight w:val="none"/>
                                <w:lang w:val="en-US" w:eastAsia="zh-CN"/>
                              </w:rPr>
                            </w:pPr>
                            <w:r>
                              <w:rPr>
                                <w:rFonts w:hint="eastAsia"/>
                                <w:b/>
                                <w:bCs/>
                                <w:color w:val="FFFF00"/>
                                <w:sz w:val="20"/>
                                <w:szCs w:val="20"/>
                                <w:highlight w:val="none"/>
                                <w:lang w:val="en-US" w:eastAsia="zh-CN"/>
                              </w:rPr>
                              <w:t>水库大坝</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3.6pt;margin-top:201.6pt;height:50.45pt;width:56.7pt;z-index:251701248;mso-width-relative:page;mso-height-relative:page;" filled="f" stroked="f" coordsize="21600,21600" o:gfxdata="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be9bNwAAAAMAQAADwAAAAAAAAABACAAAAAiAAAAZHJz&#10;L2Rvd25yZXYueG1sUEsBAhQAFAAAAAgAh07iQASuO6o5AgAAZwQAAA4AAAAAAAAAAQAgAAAAKwEA&#10;AGRycy9lMm9Eb2MueG1sUEsFBgAAAAAGAAYAWQEAANYFAAAAAA==&#10;">
                <v:fill on="f" focussize="0,0"/>
                <v:stroke on="f" weight="0.5pt"/>
                <v:imagedata o:title=""/>
                <o:lock v:ext="edit" aspectratio="f"/>
                <v:textbox>
                  <w:txbxContent>
                    <w:p>
                      <w:pPr>
                        <w:rPr>
                          <w:rFonts w:hint="default" w:eastAsia="宋体"/>
                          <w:b/>
                          <w:bCs/>
                          <w:color w:val="FFFF00"/>
                          <w:sz w:val="20"/>
                          <w:szCs w:val="20"/>
                          <w:highlight w:val="none"/>
                          <w:lang w:val="en-US" w:eastAsia="zh-CN"/>
                        </w:rPr>
                      </w:pPr>
                      <w:r>
                        <w:rPr>
                          <w:rFonts w:hint="eastAsia"/>
                          <w:b/>
                          <w:bCs/>
                          <w:color w:val="FFFF00"/>
                          <w:sz w:val="20"/>
                          <w:szCs w:val="20"/>
                          <w:highlight w:val="none"/>
                          <w:lang w:val="en-US" w:eastAsia="zh-CN"/>
                        </w:rPr>
                        <w:t>水库大坝</w:t>
                      </w:r>
                    </w:p>
                  </w:txbxContent>
                </v:textbox>
              </v:shape>
            </w:pict>
          </mc:Fallback>
        </mc:AlternateContent>
      </w:r>
      <w:r>
        <w:rPr>
          <w:sz w:val="24"/>
          <w:highlight w:val="none"/>
        </w:rPr>
        <mc:AlternateContent>
          <mc:Choice Requires="wps">
            <w:drawing>
              <wp:anchor distT="0" distB="0" distL="114300" distR="114300" simplePos="0" relativeHeight="251704320" behindDoc="0" locked="0" layoutInCell="1" allowOverlap="1">
                <wp:simplePos x="0" y="0"/>
                <wp:positionH relativeFrom="column">
                  <wp:posOffset>6494145</wp:posOffset>
                </wp:positionH>
                <wp:positionV relativeFrom="paragraph">
                  <wp:posOffset>2849245</wp:posOffset>
                </wp:positionV>
                <wp:extent cx="823595" cy="38989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823595" cy="389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FF" w:themeColor="background1"/>
                                <w:highlight w:val="none"/>
                                <w:lang w:val="en-US" w:eastAsia="zh-CN"/>
                                <w14:textFill>
                                  <w14:solidFill>
                                    <w14:schemeClr w14:val="bg1"/>
                                  </w14:solidFill>
                                </w14:textFill>
                              </w:rPr>
                            </w:pPr>
                            <w:r>
                              <w:rPr>
                                <w:rFonts w:hint="eastAsia"/>
                                <w:b/>
                                <w:bCs/>
                                <w:color w:val="FFFFFF" w:themeColor="background1"/>
                                <w:highlight w:val="none"/>
                                <w:lang w:val="en-US" w:eastAsia="zh-CN"/>
                                <w14:textFill>
                                  <w14:solidFill>
                                    <w14:schemeClr w14:val="bg1"/>
                                  </w14:solidFill>
                                </w14:textFill>
                              </w:rPr>
                              <w:t>木形水库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1.35pt;margin-top:224.35pt;height:30.7pt;width:64.85pt;z-index:251704320;mso-width-relative:page;mso-height-relative:page;" filled="f" stroked="f" coordsize="21600,21600" o:gfxdata="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XbZibcAAAADQEAAA8AAAAAAAAAAQAgAAAAIgAA&#10;AGRycy9kb3ducmV2LnhtbFBLAQIUABQAAAAIAIdO4kBvl1UnPQIAAGcEAAAOAAAAAAAAAAEAIAAA&#10;ACsBAABkcnMvZTJvRG9jLnhtbFBLBQYAAAAABgAGAFkBAADaBQAAAAA=&#10;">
                <v:fill on="f" focussize="0,0"/>
                <v:stroke on="f" weight="0.5pt"/>
                <v:imagedata o:title=""/>
                <o:lock v:ext="edit" aspectratio="f"/>
                <v:textbox>
                  <w:txbxContent>
                    <w:p>
                      <w:pPr>
                        <w:rPr>
                          <w:rFonts w:hint="default" w:eastAsia="宋体"/>
                          <w:b/>
                          <w:bCs/>
                          <w:color w:val="FFFFFF" w:themeColor="background1"/>
                          <w:highlight w:val="none"/>
                          <w:lang w:val="en-US" w:eastAsia="zh-CN"/>
                          <w14:textFill>
                            <w14:solidFill>
                              <w14:schemeClr w14:val="bg1"/>
                            </w14:solidFill>
                          </w14:textFill>
                        </w:rPr>
                      </w:pPr>
                      <w:r>
                        <w:rPr>
                          <w:rFonts w:hint="eastAsia"/>
                          <w:b/>
                          <w:bCs/>
                          <w:color w:val="FFFFFF" w:themeColor="background1"/>
                          <w:highlight w:val="none"/>
                          <w:lang w:val="en-US" w:eastAsia="zh-CN"/>
                          <w14:textFill>
                            <w14:solidFill>
                              <w14:schemeClr w14:val="bg1"/>
                            </w14:solidFill>
                          </w14:textFill>
                        </w:rPr>
                        <w:t>木形水库</w:t>
                      </w:r>
                    </w:p>
                  </w:txbxContent>
                </v:textbox>
              </v:shape>
            </w:pict>
          </mc:Fallback>
        </mc:AlternateContent>
      </w:r>
      <w:r>
        <w:rPr>
          <w:highlight w:val="none"/>
        </w:rPr>
        <w:drawing>
          <wp:inline distT="0" distB="0" distL="114300" distR="114300">
            <wp:extent cx="7521575" cy="5523230"/>
            <wp:effectExtent l="0" t="0" r="3175" b="1270"/>
            <wp:docPr id="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
                    <pic:cNvPicPr>
                      <a:picLocks noChangeAspect="1"/>
                    </pic:cNvPicPr>
                  </pic:nvPicPr>
                  <pic:blipFill>
                    <a:blip r:embed="rId32"/>
                    <a:stretch>
                      <a:fillRect/>
                    </a:stretch>
                  </pic:blipFill>
                  <pic:spPr>
                    <a:xfrm>
                      <a:off x="0" y="0"/>
                      <a:ext cx="7521575" cy="5523230"/>
                    </a:xfrm>
                    <a:prstGeom prst="rect">
                      <a:avLst/>
                    </a:prstGeom>
                    <a:noFill/>
                    <a:ln>
                      <a:noFill/>
                    </a:ln>
                  </pic:spPr>
                </pic:pic>
              </a:graphicData>
            </a:graphic>
          </wp:inline>
        </w:drawing>
      </w:r>
    </w:p>
    <w:p>
      <w:pPr>
        <w:pStyle w:val="2"/>
        <w:jc w:val="center"/>
        <w:outlineLvl w:val="0"/>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sectPr>
          <w:pgSz w:w="16838" w:h="11906" w:orient="landscape"/>
          <w:pgMar w:top="720" w:right="720" w:bottom="720" w:left="720" w:header="851" w:footer="992" w:gutter="0"/>
          <w:cols w:space="425" w:num="1"/>
          <w:docGrid w:type="lines" w:linePitch="312" w:charSpace="0"/>
        </w:sectPr>
      </w:pP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t>附图8 项目环保目标示意图</w:t>
      </w:r>
    </w:p>
    <w:p>
      <w:pPr>
        <w:pStyle w:val="2"/>
        <w:jc w:val="center"/>
        <w:outlineLvl w:val="9"/>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pPr>
      <w:r>
        <w:rPr>
          <w:sz w:val="24"/>
          <w:highlight w:val="none"/>
        </w:rPr>
        <mc:AlternateContent>
          <mc:Choice Requires="wps">
            <w:drawing>
              <wp:anchor distT="0" distB="0" distL="114300" distR="114300" simplePos="0" relativeHeight="251707392" behindDoc="0" locked="0" layoutInCell="1" allowOverlap="1">
                <wp:simplePos x="0" y="0"/>
                <wp:positionH relativeFrom="column">
                  <wp:posOffset>1482725</wp:posOffset>
                </wp:positionH>
                <wp:positionV relativeFrom="paragraph">
                  <wp:posOffset>694055</wp:posOffset>
                </wp:positionV>
                <wp:extent cx="504825" cy="40005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504825" cy="400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00"/>
                                <w:lang w:val="en-US" w:eastAsia="zh-CN"/>
                              </w:rPr>
                            </w:pPr>
                            <w:r>
                              <w:rPr>
                                <w:rFonts w:hint="eastAsia"/>
                                <w:color w:val="FFFF00"/>
                                <w:lang w:val="en-US" w:eastAsia="zh-CN"/>
                              </w:rPr>
                              <w:t>S2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75pt;margin-top:54.65pt;height:31.5pt;width:39.75pt;z-index:251707392;mso-width-relative:page;mso-height-relative:page;" filled="f" stroked="f" coordsize="21600,21600" o:gfxdata="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X/6bmNsAAAALAQAADwAAAAAAAAABACAAAAAiAAAAZHJz&#10;L2Rvd25yZXYueG1sUEsBAhQAFAAAAAgAh07iQDVRwaU6AgAAZwQAAA4AAAAAAAAAAQAgAAAAKgEA&#10;AGRycy9lMm9Eb2MueG1sUEsFBgAAAAAGAAYAWQEAANYFAAAAAA==&#10;">
                <v:fill on="f" focussize="0,0"/>
                <v:stroke on="f" weight="0.5pt"/>
                <v:imagedata o:title=""/>
                <o:lock v:ext="edit" aspectratio="f"/>
                <v:textbox>
                  <w:txbxContent>
                    <w:p>
                      <w:pPr>
                        <w:rPr>
                          <w:rFonts w:hint="default" w:eastAsia="宋体"/>
                          <w:color w:val="FFFF00"/>
                          <w:lang w:val="en-US" w:eastAsia="zh-CN"/>
                        </w:rPr>
                      </w:pPr>
                      <w:r>
                        <w:rPr>
                          <w:rFonts w:hint="eastAsia"/>
                          <w:color w:val="FFFF00"/>
                          <w:lang w:val="en-US" w:eastAsia="zh-CN"/>
                        </w:rPr>
                        <w:t>S2</w:t>
                      </w:r>
                    </w:p>
                  </w:txbxContent>
                </v:textbox>
              </v:shape>
            </w:pict>
          </mc:Fallback>
        </mc:AlternateContent>
      </w:r>
      <w:r>
        <w:rPr>
          <w:sz w:val="24"/>
          <w:highlight w:val="none"/>
        </w:rPr>
        <mc:AlternateContent>
          <mc:Choice Requires="wps">
            <w:drawing>
              <wp:anchor distT="0" distB="0" distL="114300" distR="114300" simplePos="0" relativeHeight="251706368" behindDoc="0" locked="0" layoutInCell="1" allowOverlap="1">
                <wp:simplePos x="0" y="0"/>
                <wp:positionH relativeFrom="column">
                  <wp:posOffset>1668780</wp:posOffset>
                </wp:positionH>
                <wp:positionV relativeFrom="paragraph">
                  <wp:posOffset>607695</wp:posOffset>
                </wp:positionV>
                <wp:extent cx="123825" cy="142875"/>
                <wp:effectExtent l="6350" t="6350" r="22225" b="22225"/>
                <wp:wrapNone/>
                <wp:docPr id="78" name="椭圆 78"/>
                <wp:cNvGraphicFramePr/>
                <a:graphic xmlns:a="http://schemas.openxmlformats.org/drawingml/2006/main">
                  <a:graphicData uri="http://schemas.microsoft.com/office/word/2010/wordprocessingShape">
                    <wps:wsp>
                      <wps:cNvSpPr/>
                      <wps:spPr>
                        <a:xfrm>
                          <a:off x="0" y="0"/>
                          <a:ext cx="123825" cy="142875"/>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31.4pt;margin-top:47.85pt;height:11.25pt;width:9.75pt;z-index:251706368;v-text-anchor:middle;mso-width-relative:page;mso-height-relative:page;" fillcolor="#FFFF00" filled="t" stroked="t" coordsize="21600,21600" o:gfxdata="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ETW5aTaAAAACgEAAA8AAAAAAAAAAQAgAAAAIgAAAGRycy9kb3du&#10;cmV2LnhtbFBLAQIUABQAAAAIAIdO4kC+VrKkbwIAAPgEAAAOAAAAAAAAAAEAIAAAACkBAABkcnMv&#10;ZTJvRG9jLnhtbFBLBQYAAAAABgAGAFkBAAAKBgAAAAA=&#10;">
                <v:fill on="t" focussize="0,0"/>
                <v:stroke weight="1pt" color="#FFFF00 [2404]" miterlimit="8" joinstyle="miter"/>
                <v:imagedata o:title=""/>
                <o:lock v:ext="edit" aspectratio="f"/>
              </v:shape>
            </w:pict>
          </mc:Fallback>
        </mc:AlternateContent>
      </w:r>
      <w:r>
        <w:rPr>
          <w:highlight w:val="none"/>
        </w:rPr>
        <w:drawing>
          <wp:anchor distT="0" distB="0" distL="114300" distR="114300" simplePos="0" relativeHeight="251711488" behindDoc="0" locked="0" layoutInCell="1" allowOverlap="1">
            <wp:simplePos x="0" y="0"/>
            <wp:positionH relativeFrom="column">
              <wp:posOffset>7816850</wp:posOffset>
            </wp:positionH>
            <wp:positionV relativeFrom="paragraph">
              <wp:posOffset>5139690</wp:posOffset>
            </wp:positionV>
            <wp:extent cx="502285" cy="337185"/>
            <wp:effectExtent l="0" t="0" r="12065" b="5715"/>
            <wp:wrapNone/>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31"/>
                    <a:stretch>
                      <a:fillRect/>
                    </a:stretch>
                  </pic:blipFill>
                  <pic:spPr>
                    <a:xfrm>
                      <a:off x="0" y="0"/>
                      <a:ext cx="502285" cy="337185"/>
                    </a:xfrm>
                    <a:prstGeom prst="rect">
                      <a:avLst/>
                    </a:prstGeom>
                    <a:noFill/>
                    <a:ln>
                      <a:noFill/>
                    </a:ln>
                  </pic:spPr>
                </pic:pic>
              </a:graphicData>
            </a:graphic>
          </wp:anchor>
        </w:drawing>
      </w:r>
      <w:r>
        <w:rPr>
          <w:sz w:val="24"/>
          <w:highlight w:val="none"/>
        </w:rPr>
        <mc:AlternateContent>
          <mc:Choice Requires="wps">
            <w:drawing>
              <wp:anchor distT="0" distB="0" distL="114300" distR="114300" simplePos="0" relativeHeight="251710464" behindDoc="0" locked="0" layoutInCell="1" allowOverlap="1">
                <wp:simplePos x="0" y="0"/>
                <wp:positionH relativeFrom="column">
                  <wp:posOffset>6804025</wp:posOffset>
                </wp:positionH>
                <wp:positionV relativeFrom="paragraph">
                  <wp:posOffset>2995930</wp:posOffset>
                </wp:positionV>
                <wp:extent cx="504825" cy="400050"/>
                <wp:effectExtent l="0" t="0" r="0" b="0"/>
                <wp:wrapNone/>
                <wp:docPr id="79" name="文本框 79"/>
                <wp:cNvGraphicFramePr/>
                <a:graphic xmlns:a="http://schemas.openxmlformats.org/drawingml/2006/main">
                  <a:graphicData uri="http://schemas.microsoft.com/office/word/2010/wordprocessingShape">
                    <wps:wsp>
                      <wps:cNvSpPr txBox="1"/>
                      <wps:spPr>
                        <a:xfrm>
                          <a:off x="7413625" y="3902710"/>
                          <a:ext cx="504825" cy="400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00"/>
                                <w:lang w:val="en-US" w:eastAsia="zh-CN"/>
                              </w:rPr>
                            </w:pPr>
                            <w:r>
                              <w:rPr>
                                <w:rFonts w:hint="eastAsia"/>
                                <w:color w:val="FFFF00"/>
                                <w:lang w:val="en-US" w:eastAsia="zh-CN"/>
                              </w:rPr>
                              <w:t>S1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5.75pt;margin-top:235.9pt;height:31.5pt;width:39.75pt;z-index:251710464;mso-width-relative:page;mso-height-relative:page;" filled="f" stroked="f" coordsize="21600,21600" o:gfxdata="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GYo9m3AAAAA0BAAAPAAAAAAAA&#10;AAEAIAAAACIAAABkcnMvZG93bnJldi54bWxQSwECFAAUAAAACACHTuJAIhQZRkcCAABzBAAADgAA&#10;AAAAAAABACAAAAArAQAAZHJzL2Uyb0RvYy54bWxQSwUGAAAAAAYABgBZAQAA5AUAAAAA&#10;">
                <v:fill on="f" focussize="0,0"/>
                <v:stroke on="f" weight="0.5pt"/>
                <v:imagedata o:title=""/>
                <o:lock v:ext="edit" aspectratio="f"/>
                <v:textbox>
                  <w:txbxContent>
                    <w:p>
                      <w:pPr>
                        <w:rPr>
                          <w:rFonts w:hint="default" w:eastAsia="宋体"/>
                          <w:color w:val="FFFF00"/>
                          <w:lang w:val="en-US" w:eastAsia="zh-CN"/>
                        </w:rPr>
                      </w:pPr>
                      <w:r>
                        <w:rPr>
                          <w:rFonts w:hint="eastAsia"/>
                          <w:color w:val="FFFF00"/>
                          <w:lang w:val="en-US" w:eastAsia="zh-CN"/>
                        </w:rPr>
                        <w:t>S1</w:t>
                      </w:r>
                    </w:p>
                  </w:txbxContent>
                </v:textbox>
              </v:shape>
            </w:pict>
          </mc:Fallback>
        </mc:AlternateContent>
      </w:r>
      <w:r>
        <w:rPr>
          <w:sz w:val="24"/>
          <w:highlight w:val="none"/>
        </w:rPr>
        <mc:AlternateContent>
          <mc:Choice Requires="wps">
            <w:drawing>
              <wp:anchor distT="0" distB="0" distL="114300" distR="114300" simplePos="0" relativeHeight="251709440" behindDoc="0" locked="0" layoutInCell="1" allowOverlap="1">
                <wp:simplePos x="0" y="0"/>
                <wp:positionH relativeFrom="column">
                  <wp:posOffset>6851650</wp:posOffset>
                </wp:positionH>
                <wp:positionV relativeFrom="paragraph">
                  <wp:posOffset>2938780</wp:posOffset>
                </wp:positionV>
                <wp:extent cx="123825" cy="142875"/>
                <wp:effectExtent l="6350" t="6350" r="22225" b="22225"/>
                <wp:wrapNone/>
                <wp:docPr id="77" name="椭圆 77"/>
                <wp:cNvGraphicFramePr/>
                <a:graphic xmlns:a="http://schemas.openxmlformats.org/drawingml/2006/main">
                  <a:graphicData uri="http://schemas.microsoft.com/office/word/2010/wordprocessingShape">
                    <wps:wsp>
                      <wps:cNvSpPr/>
                      <wps:spPr>
                        <a:xfrm>
                          <a:off x="7308850" y="3693160"/>
                          <a:ext cx="123825" cy="142875"/>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39.5pt;margin-top:231.4pt;height:11.25pt;width:9.75pt;z-index:251709440;v-text-anchor:middle;mso-width-relative:page;mso-height-relative:page;" fillcolor="#FFFF00" filled="t" stroked="t" coordsize="21600,21600" o:gfxdata="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soNCsdwAAAANAQAADwAAAAAAAAABACAA&#10;AAAiAAAAZHJzL2Rvd25yZXYueG1sUEsBAhQAFAAAAAgAh07iQCdT7pd7AgAABAUAAA4AAAAAAAAA&#10;AQAgAAAAKwEAAGRycy9lMm9Eb2MueG1sUEsFBgAAAAAGAAYAWQEAABgGAAAAAA==&#10;">
                <v:fill on="t" focussize="0,0"/>
                <v:stroke weight="1pt" color="#FFFF00 [2404]" miterlimit="8" joinstyle="miter"/>
                <v:imagedata o:title=""/>
                <o:lock v:ext="edit" aspectratio="f"/>
              </v:shape>
            </w:pict>
          </mc:Fallback>
        </mc:AlternateContent>
      </w:r>
      <w:r>
        <w:rPr>
          <w:highlight w:val="none"/>
        </w:rPr>
        <w:drawing>
          <wp:anchor distT="0" distB="0" distL="114300" distR="114300" simplePos="0" relativeHeight="251708416" behindDoc="0" locked="0" layoutInCell="1" allowOverlap="1">
            <wp:simplePos x="0" y="0"/>
            <wp:positionH relativeFrom="column">
              <wp:posOffset>8563610</wp:posOffset>
            </wp:positionH>
            <wp:positionV relativeFrom="paragraph">
              <wp:posOffset>82550</wp:posOffset>
            </wp:positionV>
            <wp:extent cx="841375" cy="816610"/>
            <wp:effectExtent l="0" t="0" r="15875" b="2540"/>
            <wp:wrapNone/>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22"/>
                    <a:stretch>
                      <a:fillRect/>
                    </a:stretch>
                  </pic:blipFill>
                  <pic:spPr>
                    <a:xfrm>
                      <a:off x="0" y="0"/>
                      <a:ext cx="841375" cy="816610"/>
                    </a:xfrm>
                    <a:prstGeom prst="rect">
                      <a:avLst/>
                    </a:prstGeom>
                    <a:noFill/>
                    <a:ln>
                      <a:noFill/>
                    </a:ln>
                  </pic:spPr>
                </pic:pic>
              </a:graphicData>
            </a:graphic>
          </wp:anchor>
        </w:drawing>
      </w:r>
      <w:r>
        <w:rPr>
          <w:highlight w:val="none"/>
        </w:rPr>
        <w:drawing>
          <wp:inline distT="0" distB="0" distL="114300" distR="114300">
            <wp:extent cx="6868160" cy="5460365"/>
            <wp:effectExtent l="0" t="0" r="8890" b="6985"/>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0"/>
                    <pic:cNvPicPr>
                      <a:picLocks noChangeAspect="1"/>
                    </pic:cNvPicPr>
                  </pic:nvPicPr>
                  <pic:blipFill>
                    <a:blip r:embed="rId33"/>
                    <a:stretch>
                      <a:fillRect/>
                    </a:stretch>
                  </pic:blipFill>
                  <pic:spPr>
                    <a:xfrm>
                      <a:off x="0" y="0"/>
                      <a:ext cx="6868160" cy="5460365"/>
                    </a:xfrm>
                    <a:prstGeom prst="rect">
                      <a:avLst/>
                    </a:prstGeom>
                    <a:noFill/>
                    <a:ln>
                      <a:noFill/>
                    </a:ln>
                  </pic:spPr>
                </pic:pic>
              </a:graphicData>
            </a:graphic>
          </wp:inline>
        </w:drawing>
      </w:r>
    </w:p>
    <w:p>
      <w:pPr>
        <w:pStyle w:val="2"/>
        <w:jc w:val="center"/>
        <w:outlineLvl w:val="0"/>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pP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t>附图9 地表水引用数据点位示意图</w:t>
      </w:r>
    </w:p>
    <w:p>
      <w:pPr>
        <w:pStyle w:val="7"/>
        <w:jc w:val="center"/>
        <w:rPr>
          <w:rFonts w:hint="default"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pP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drawing>
          <wp:inline distT="0" distB="0" distL="114300" distR="114300">
            <wp:extent cx="3362960" cy="2526030"/>
            <wp:effectExtent l="0" t="0" r="8890" b="7620"/>
            <wp:docPr id="91" name="图片 91" descr="09226184712ffd9b00fe07c8036ef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09226184712ffd9b00fe07c8036ef90"/>
                    <pic:cNvPicPr>
                      <a:picLocks noChangeAspect="1"/>
                    </pic:cNvPicPr>
                  </pic:nvPicPr>
                  <pic:blipFill>
                    <a:blip r:embed="rId34"/>
                    <a:stretch>
                      <a:fillRect/>
                    </a:stretch>
                  </pic:blipFill>
                  <pic:spPr>
                    <a:xfrm>
                      <a:off x="0" y="0"/>
                      <a:ext cx="3362960" cy="2526030"/>
                    </a:xfrm>
                    <a:prstGeom prst="rect">
                      <a:avLst/>
                    </a:prstGeom>
                  </pic:spPr>
                </pic:pic>
              </a:graphicData>
            </a:graphic>
          </wp:inline>
        </w:drawing>
      </w: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t xml:space="preserve">  </w:t>
      </w:r>
      <w:r>
        <w:rPr>
          <w:rFonts w:hint="default"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drawing>
          <wp:inline distT="0" distB="0" distL="114300" distR="114300">
            <wp:extent cx="3434080" cy="2521585"/>
            <wp:effectExtent l="0" t="0" r="13970" b="12065"/>
            <wp:docPr id="95" name="图片 95" descr="d3ac4e8bfed53ab68336a2ceae5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d3ac4e8bfed53ab68336a2ceae59573"/>
                    <pic:cNvPicPr>
                      <a:picLocks noChangeAspect="1"/>
                    </pic:cNvPicPr>
                  </pic:nvPicPr>
                  <pic:blipFill>
                    <a:blip r:embed="rId35"/>
                    <a:stretch>
                      <a:fillRect/>
                    </a:stretch>
                  </pic:blipFill>
                  <pic:spPr>
                    <a:xfrm>
                      <a:off x="0" y="0"/>
                      <a:ext cx="3434080" cy="2521585"/>
                    </a:xfrm>
                    <a:prstGeom prst="rect">
                      <a:avLst/>
                    </a:prstGeom>
                  </pic:spPr>
                </pic:pic>
              </a:graphicData>
            </a:graphic>
          </wp:inline>
        </w:drawing>
      </w:r>
    </w:p>
    <w:p>
      <w:pPr>
        <w:rPr>
          <w:rFonts w:hint="default"/>
          <w:highlight w:val="none"/>
          <w:lang w:val="en-US" w:eastAsia="zh-CN"/>
        </w:rPr>
      </w:pPr>
    </w:p>
    <w:p>
      <w:pPr>
        <w:jc w:val="center"/>
        <w:rPr>
          <w:rFonts w:hint="default" w:eastAsia="宋体"/>
          <w:highlight w:val="none"/>
          <w:lang w:val="en-US" w:eastAsia="zh-CN"/>
        </w:rPr>
      </w:pPr>
      <w:r>
        <w:rPr>
          <w:highlight w:val="none"/>
        </w:rPr>
        <w:drawing>
          <wp:inline distT="0" distB="0" distL="114300" distR="114300">
            <wp:extent cx="3325495" cy="2548890"/>
            <wp:effectExtent l="0" t="0" r="8255" b="3810"/>
            <wp:docPr id="9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2"/>
                    <pic:cNvPicPr>
                      <a:picLocks noChangeAspect="1"/>
                    </pic:cNvPicPr>
                  </pic:nvPicPr>
                  <pic:blipFill>
                    <a:blip r:embed="rId36"/>
                    <a:stretch>
                      <a:fillRect/>
                    </a:stretch>
                  </pic:blipFill>
                  <pic:spPr>
                    <a:xfrm>
                      <a:off x="0" y="0"/>
                      <a:ext cx="3325495" cy="2548890"/>
                    </a:xfrm>
                    <a:prstGeom prst="rect">
                      <a:avLst/>
                    </a:prstGeom>
                    <a:noFill/>
                    <a:ln>
                      <a:noFill/>
                    </a:ln>
                  </pic:spPr>
                </pic:pic>
              </a:graphicData>
            </a:graphic>
          </wp:inline>
        </w:drawing>
      </w:r>
      <w:r>
        <w:rPr>
          <w:rFonts w:hint="eastAsia"/>
          <w:highlight w:val="none"/>
          <w:lang w:val="en-US" w:eastAsia="zh-CN"/>
        </w:rPr>
        <w:t xml:space="preserve">  </w:t>
      </w:r>
      <w:r>
        <w:rPr>
          <w:highlight w:val="none"/>
        </w:rPr>
        <w:drawing>
          <wp:inline distT="0" distB="0" distL="114300" distR="114300">
            <wp:extent cx="3474085" cy="2562860"/>
            <wp:effectExtent l="0" t="0" r="12065" b="8890"/>
            <wp:docPr id="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
                    <pic:cNvPicPr>
                      <a:picLocks noChangeAspect="1"/>
                    </pic:cNvPicPr>
                  </pic:nvPicPr>
                  <pic:blipFill>
                    <a:blip r:embed="rId37"/>
                    <a:stretch>
                      <a:fillRect/>
                    </a:stretch>
                  </pic:blipFill>
                  <pic:spPr>
                    <a:xfrm>
                      <a:off x="0" y="0"/>
                      <a:ext cx="3474085" cy="2562860"/>
                    </a:xfrm>
                    <a:prstGeom prst="rect">
                      <a:avLst/>
                    </a:prstGeom>
                    <a:noFill/>
                    <a:ln>
                      <a:noFill/>
                    </a:ln>
                  </pic:spPr>
                </pic:pic>
              </a:graphicData>
            </a:graphic>
          </wp:inline>
        </w:drawing>
      </w:r>
    </w:p>
    <w:p>
      <w:pPr>
        <w:pStyle w:val="2"/>
        <w:jc w:val="center"/>
        <w:outlineLvl w:val="0"/>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pP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t>附图10 项目周边环境现状照片</w:t>
      </w:r>
    </w:p>
    <w:p>
      <w:pPr>
        <w:pStyle w:val="2"/>
        <w:jc w:val="center"/>
        <w:outlineLvl w:val="0"/>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sectPr>
          <w:pgSz w:w="16838" w:h="11906" w:orient="landscape"/>
          <w:pgMar w:top="720" w:right="720" w:bottom="720" w:left="720" w:header="851" w:footer="992" w:gutter="0"/>
          <w:cols w:space="425" w:num="1"/>
          <w:docGrid w:type="lines" w:linePitch="312" w:charSpace="0"/>
        </w:sectPr>
      </w:pPr>
    </w:p>
    <w:p>
      <w:pPr>
        <w:pStyle w:val="2"/>
        <w:jc w:val="center"/>
        <w:outlineLvl w:val="9"/>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pP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drawing>
          <wp:inline distT="0" distB="0" distL="114300" distR="114300">
            <wp:extent cx="5459730" cy="4094480"/>
            <wp:effectExtent l="0" t="0" r="7620" b="1270"/>
            <wp:docPr id="103" name="图片 103" descr="b0e4faba2967c200845c4f99b3929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b0e4faba2967c200845c4f99b3929d1"/>
                    <pic:cNvPicPr>
                      <a:picLocks noChangeAspect="1"/>
                    </pic:cNvPicPr>
                  </pic:nvPicPr>
                  <pic:blipFill>
                    <a:blip r:embed="rId38"/>
                    <a:stretch>
                      <a:fillRect/>
                    </a:stretch>
                  </pic:blipFill>
                  <pic:spPr>
                    <a:xfrm>
                      <a:off x="0" y="0"/>
                      <a:ext cx="5459730" cy="4094480"/>
                    </a:xfrm>
                    <a:prstGeom prst="rect">
                      <a:avLst/>
                    </a:prstGeom>
                  </pic:spPr>
                </pic:pic>
              </a:graphicData>
            </a:graphic>
          </wp:inline>
        </w:drawing>
      </w: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drawing>
          <wp:inline distT="0" distB="0" distL="114300" distR="114300">
            <wp:extent cx="5534660" cy="4152900"/>
            <wp:effectExtent l="0" t="0" r="8890" b="0"/>
            <wp:docPr id="135" name="图片 135" descr="c062a858aef8761a2c16b35da100f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062a858aef8761a2c16b35da100f73"/>
                    <pic:cNvPicPr>
                      <a:picLocks noChangeAspect="1"/>
                    </pic:cNvPicPr>
                  </pic:nvPicPr>
                  <pic:blipFill>
                    <a:blip r:embed="rId39"/>
                    <a:stretch>
                      <a:fillRect/>
                    </a:stretch>
                  </pic:blipFill>
                  <pic:spPr>
                    <a:xfrm>
                      <a:off x="0" y="0"/>
                      <a:ext cx="5534660" cy="4152900"/>
                    </a:xfrm>
                    <a:prstGeom prst="rect">
                      <a:avLst/>
                    </a:prstGeom>
                  </pic:spPr>
                </pic:pic>
              </a:graphicData>
            </a:graphic>
          </wp:inline>
        </w:drawing>
      </w:r>
    </w:p>
    <w:p>
      <w:pPr>
        <w:pStyle w:val="2"/>
        <w:jc w:val="center"/>
        <w:outlineLvl w:val="0"/>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sectPr>
          <w:pgSz w:w="11906" w:h="16838"/>
          <w:pgMar w:top="720" w:right="720" w:bottom="720" w:left="720" w:header="851" w:footer="992" w:gutter="0"/>
          <w:cols w:space="425" w:num="1"/>
          <w:docGrid w:type="lines" w:linePitch="312" w:charSpace="0"/>
        </w:sectPr>
      </w:pPr>
      <w:r>
        <w:rPr>
          <w:rFonts w:hint="eastAsia" w:ascii="Times New Roman" w:hAnsi="Times New Roman" w:cs="Times New Roman"/>
          <w:b/>
          <w:bCs/>
          <w:color w:val="000000" w:themeColor="text1"/>
          <w:kern w:val="2"/>
          <w:sz w:val="24"/>
          <w:szCs w:val="32"/>
          <w:highlight w:val="none"/>
          <w:lang w:val="en-US" w:eastAsia="zh-CN" w:bidi="zh-CN"/>
          <w14:textFill>
            <w14:solidFill>
              <w14:schemeClr w14:val="tx1"/>
            </w14:solidFill>
          </w14:textFill>
        </w:rPr>
        <w:t>附图11 工程师现场勘查照片</w:t>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附件1 项目</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委托书</w:t>
      </w:r>
    </w:p>
    <w:p>
      <w:pPr>
        <w:jc w:val="right"/>
        <w:rPr>
          <w:rFonts w:hint="eastAsia"/>
          <w:sz w:val="28"/>
          <w:szCs w:val="36"/>
          <w:highlight w:val="none"/>
        </w:rPr>
      </w:pPr>
      <w:r>
        <w:drawing>
          <wp:inline distT="0" distB="0" distL="114300" distR="114300">
            <wp:extent cx="6458585" cy="7368540"/>
            <wp:effectExtent l="0" t="0" r="18415" b="3810"/>
            <wp:docPr id="1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
                    <pic:cNvPicPr>
                      <a:picLocks noChangeAspect="1"/>
                    </pic:cNvPicPr>
                  </pic:nvPicPr>
                  <pic:blipFill>
                    <a:blip r:embed="rId40"/>
                    <a:stretch>
                      <a:fillRect/>
                    </a:stretch>
                  </pic:blipFill>
                  <pic:spPr>
                    <a:xfrm>
                      <a:off x="0" y="0"/>
                      <a:ext cx="6458585" cy="7368540"/>
                    </a:xfrm>
                    <a:prstGeom prst="rect">
                      <a:avLst/>
                    </a:prstGeom>
                    <a:noFill/>
                    <a:ln>
                      <a:noFill/>
                    </a:ln>
                  </pic:spPr>
                </pic:pic>
              </a:graphicData>
            </a:graphic>
          </wp:inline>
        </w:drawing>
      </w:r>
    </w:p>
    <w:p>
      <w:pPr>
        <w:pStyle w:val="7"/>
        <w:rPr>
          <w:rFonts w:hint="default"/>
          <w:color w:val="000000" w:themeColor="text1"/>
          <w:highlight w:val="none"/>
          <w:lang w:val="en-US" w:eastAsia="zh-CN"/>
          <w14:textFill>
            <w14:solidFill>
              <w14:schemeClr w14:val="tx1"/>
            </w14:solidFill>
          </w14:textFill>
        </w:rPr>
      </w:pPr>
    </w:p>
    <w:p>
      <w:pP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br w:type="page"/>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2</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建设项目用地预审与选址意见书</w:t>
      </w:r>
    </w:p>
    <w:p>
      <w:pPr>
        <w:jc w:val="cente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highlight w:val="none"/>
        </w:rPr>
        <w:drawing>
          <wp:inline distT="0" distB="0" distL="114300" distR="114300">
            <wp:extent cx="6148705" cy="3792855"/>
            <wp:effectExtent l="0" t="0" r="4445" b="1714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41"/>
                    <a:stretch>
                      <a:fillRect/>
                    </a:stretch>
                  </pic:blipFill>
                  <pic:spPr>
                    <a:xfrm>
                      <a:off x="0" y="0"/>
                      <a:ext cx="6148705" cy="3792855"/>
                    </a:xfrm>
                    <a:prstGeom prst="rect">
                      <a:avLst/>
                    </a:prstGeom>
                    <a:noFill/>
                    <a:ln>
                      <a:noFill/>
                    </a:ln>
                  </pic:spPr>
                </pic:pic>
              </a:graphicData>
            </a:graphic>
          </wp:inline>
        </w:drawing>
      </w:r>
      <w:r>
        <w:rPr>
          <w:highlight w:val="none"/>
        </w:rPr>
        <w:drawing>
          <wp:inline distT="0" distB="0" distL="114300" distR="114300">
            <wp:extent cx="6184900" cy="4374515"/>
            <wp:effectExtent l="0" t="0" r="6350" b="698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42"/>
                    <a:stretch>
                      <a:fillRect/>
                    </a:stretch>
                  </pic:blipFill>
                  <pic:spPr>
                    <a:xfrm>
                      <a:off x="0" y="0"/>
                      <a:ext cx="6184900" cy="4374515"/>
                    </a:xfrm>
                    <a:prstGeom prst="rect">
                      <a:avLst/>
                    </a:prstGeom>
                    <a:noFill/>
                    <a:ln>
                      <a:noFill/>
                    </a:ln>
                  </pic:spPr>
                </pic:pic>
              </a:graphicData>
            </a:graphic>
          </wp:inline>
        </w:drawing>
      </w:r>
      <w:r>
        <w:rPr>
          <w:highlight w:val="none"/>
        </w:rPr>
        <w:drawing>
          <wp:inline distT="0" distB="0" distL="114300" distR="114300">
            <wp:extent cx="6002655" cy="8602345"/>
            <wp:effectExtent l="0" t="0" r="17145" b="825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43"/>
                    <a:stretch>
                      <a:fillRect/>
                    </a:stretch>
                  </pic:blipFill>
                  <pic:spPr>
                    <a:xfrm>
                      <a:off x="0" y="0"/>
                      <a:ext cx="6002655" cy="8602345"/>
                    </a:xfrm>
                    <a:prstGeom prst="rect">
                      <a:avLst/>
                    </a:prstGeom>
                    <a:noFill/>
                    <a:ln>
                      <a:noFill/>
                    </a:ln>
                  </pic:spPr>
                </pic:pic>
              </a:graphicData>
            </a:graphic>
          </wp:inline>
        </w:drawing>
      </w:r>
      <w:r>
        <w:rPr>
          <w:highlight w:val="none"/>
        </w:rPr>
        <w:drawing>
          <wp:inline distT="0" distB="0" distL="114300" distR="114300">
            <wp:extent cx="5984875" cy="8691880"/>
            <wp:effectExtent l="0" t="0" r="15875" b="1397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44"/>
                    <a:stretch>
                      <a:fillRect/>
                    </a:stretch>
                  </pic:blipFill>
                  <pic:spPr>
                    <a:xfrm>
                      <a:off x="0" y="0"/>
                      <a:ext cx="5984875" cy="8691880"/>
                    </a:xfrm>
                    <a:prstGeom prst="rect">
                      <a:avLst/>
                    </a:prstGeom>
                    <a:noFill/>
                    <a:ln>
                      <a:noFill/>
                    </a:ln>
                  </pic:spPr>
                </pic:pic>
              </a:graphicData>
            </a:graphic>
          </wp:inline>
        </w:drawing>
      </w:r>
      <w:r>
        <w:rPr>
          <w:highlight w:val="none"/>
        </w:rPr>
        <w:drawing>
          <wp:inline distT="0" distB="0" distL="114300" distR="114300">
            <wp:extent cx="5836920" cy="8642985"/>
            <wp:effectExtent l="0" t="0" r="11430" b="5715"/>
            <wp:docPr id="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
                    <pic:cNvPicPr>
                      <a:picLocks noChangeAspect="1"/>
                    </pic:cNvPicPr>
                  </pic:nvPicPr>
                  <pic:blipFill>
                    <a:blip r:embed="rId45"/>
                    <a:stretch>
                      <a:fillRect/>
                    </a:stretch>
                  </pic:blipFill>
                  <pic:spPr>
                    <a:xfrm>
                      <a:off x="0" y="0"/>
                      <a:ext cx="5836920" cy="8642985"/>
                    </a:xfrm>
                    <a:prstGeom prst="rect">
                      <a:avLst/>
                    </a:prstGeom>
                    <a:noFill/>
                    <a:ln>
                      <a:noFill/>
                    </a:ln>
                  </pic:spPr>
                </pic:pic>
              </a:graphicData>
            </a:graphic>
          </wp:inline>
        </w:drawing>
      </w:r>
      <w:r>
        <w:rPr>
          <w:highlight w:val="none"/>
        </w:rPr>
        <w:drawing>
          <wp:inline distT="0" distB="0" distL="114300" distR="114300">
            <wp:extent cx="6188710" cy="5944870"/>
            <wp:effectExtent l="0" t="0" r="2540" b="17780"/>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pic:cNvPicPr>
                      <a:picLocks noChangeAspect="1"/>
                    </pic:cNvPicPr>
                  </pic:nvPicPr>
                  <pic:blipFill>
                    <a:blip r:embed="rId46"/>
                    <a:stretch>
                      <a:fillRect/>
                    </a:stretch>
                  </pic:blipFill>
                  <pic:spPr>
                    <a:xfrm>
                      <a:off x="0" y="0"/>
                      <a:ext cx="6188710" cy="5944870"/>
                    </a:xfrm>
                    <a:prstGeom prst="rect">
                      <a:avLst/>
                    </a:prstGeom>
                    <a:noFill/>
                    <a:ln>
                      <a:noFill/>
                    </a:ln>
                  </pic:spPr>
                </pic:pic>
              </a:graphicData>
            </a:graphic>
          </wp:inline>
        </w:drawing>
      </w:r>
    </w:p>
    <w:p>
      <w:pP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br w:type="page"/>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附件3 土地权属意见</w:t>
      </w:r>
    </w:p>
    <w:p>
      <w:pPr>
        <w:pStyle w:val="7"/>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drawing>
          <wp:inline distT="0" distB="0" distL="114300" distR="114300">
            <wp:extent cx="6186805" cy="8509000"/>
            <wp:effectExtent l="0" t="0" r="4445" b="6350"/>
            <wp:docPr id="81" name="图片 81" descr="9abdec27362fe96c5d54a5f53b415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9abdec27362fe96c5d54a5f53b4151f"/>
                    <pic:cNvPicPr>
                      <a:picLocks noChangeAspect="1"/>
                    </pic:cNvPicPr>
                  </pic:nvPicPr>
                  <pic:blipFill>
                    <a:blip r:embed="rId47"/>
                    <a:stretch>
                      <a:fillRect/>
                    </a:stretch>
                  </pic:blipFill>
                  <pic:spPr>
                    <a:xfrm>
                      <a:off x="0" y="0"/>
                      <a:ext cx="6186805" cy="8509000"/>
                    </a:xfrm>
                    <a:prstGeom prst="rect">
                      <a:avLst/>
                    </a:prstGeom>
                  </pic:spPr>
                </pic:pic>
              </a:graphicData>
            </a:graphic>
          </wp:inline>
        </w:drawing>
      </w:r>
    </w:p>
    <w:p>
      <w:pPr>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br w:type="page"/>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4</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用地预审与选址初审意见</w:t>
      </w:r>
    </w:p>
    <w:p>
      <w:pPr>
        <w:jc w:val="center"/>
        <w:rPr>
          <w:rFonts w:hint="default"/>
          <w:color w:val="000000" w:themeColor="text1"/>
          <w:highlight w:val="none"/>
          <w:lang w:val="en-US" w:eastAsia="zh-CN"/>
          <w14:textFill>
            <w14:solidFill>
              <w14:schemeClr w14:val="tx1"/>
            </w14:solidFill>
          </w14:textFill>
        </w:rPr>
      </w:pPr>
      <w:r>
        <w:rPr>
          <w:highlight w:val="none"/>
        </w:rPr>
        <w:drawing>
          <wp:inline distT="0" distB="0" distL="114300" distR="114300">
            <wp:extent cx="5915025" cy="8201025"/>
            <wp:effectExtent l="0" t="0" r="9525" b="9525"/>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48"/>
                    <a:stretch>
                      <a:fillRect/>
                    </a:stretch>
                  </pic:blipFill>
                  <pic:spPr>
                    <a:xfrm>
                      <a:off x="0" y="0"/>
                      <a:ext cx="5915025" cy="8201025"/>
                    </a:xfrm>
                    <a:prstGeom prst="rect">
                      <a:avLst/>
                    </a:prstGeom>
                    <a:noFill/>
                    <a:ln>
                      <a:noFill/>
                    </a:ln>
                  </pic:spPr>
                </pic:pic>
              </a:graphicData>
            </a:graphic>
          </wp:inline>
        </w:drawing>
      </w:r>
      <w:r>
        <w:rPr>
          <w:highlight w:val="none"/>
        </w:rPr>
        <w:drawing>
          <wp:inline distT="0" distB="0" distL="114300" distR="114300">
            <wp:extent cx="6172200" cy="8681085"/>
            <wp:effectExtent l="0" t="0" r="0" b="5715"/>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1"/>
                    </pic:cNvPicPr>
                  </pic:nvPicPr>
                  <pic:blipFill>
                    <a:blip r:embed="rId49"/>
                    <a:stretch>
                      <a:fillRect/>
                    </a:stretch>
                  </pic:blipFill>
                  <pic:spPr>
                    <a:xfrm>
                      <a:off x="0" y="0"/>
                      <a:ext cx="6172200" cy="8681085"/>
                    </a:xfrm>
                    <a:prstGeom prst="rect">
                      <a:avLst/>
                    </a:prstGeom>
                    <a:noFill/>
                    <a:ln>
                      <a:noFill/>
                    </a:ln>
                  </pic:spPr>
                </pic:pic>
              </a:graphicData>
            </a:graphic>
          </wp:inline>
        </w:drawing>
      </w:r>
      <w:r>
        <w:rPr>
          <w:highlight w:val="none"/>
        </w:rPr>
        <w:drawing>
          <wp:inline distT="0" distB="0" distL="114300" distR="114300">
            <wp:extent cx="6290310" cy="8687435"/>
            <wp:effectExtent l="0" t="0" r="15240" b="18415"/>
            <wp:docPr id="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
                    <pic:cNvPicPr>
                      <a:picLocks noChangeAspect="1"/>
                    </pic:cNvPicPr>
                  </pic:nvPicPr>
                  <pic:blipFill>
                    <a:blip r:embed="rId50"/>
                    <a:stretch>
                      <a:fillRect/>
                    </a:stretch>
                  </pic:blipFill>
                  <pic:spPr>
                    <a:xfrm>
                      <a:off x="0" y="0"/>
                      <a:ext cx="6290310" cy="8687435"/>
                    </a:xfrm>
                    <a:prstGeom prst="rect">
                      <a:avLst/>
                    </a:prstGeom>
                    <a:noFill/>
                    <a:ln>
                      <a:noFill/>
                    </a:ln>
                  </pic:spPr>
                </pic:pic>
              </a:graphicData>
            </a:graphic>
          </wp:inline>
        </w:drawing>
      </w:r>
    </w:p>
    <w:p>
      <w:pPr>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br w:type="page"/>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5</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可研报告批复</w:t>
      </w:r>
    </w:p>
    <w:p>
      <w:pPr>
        <w:pStyle w:val="2"/>
        <w:jc w:val="center"/>
        <w:rPr>
          <w:rFonts w:hint="default"/>
          <w:color w:val="000000" w:themeColor="text1"/>
          <w:highlight w:val="none"/>
          <w:lang w:val="en-US" w:eastAsia="zh-CN"/>
          <w14:textFill>
            <w14:solidFill>
              <w14:schemeClr w14:val="tx1"/>
            </w14:solidFill>
          </w14:textFill>
        </w:rPr>
        <w:sectPr>
          <w:pgSz w:w="11906" w:h="16838"/>
          <w:pgMar w:top="1440" w:right="1080" w:bottom="1440" w:left="1080" w:header="851" w:footer="992" w:gutter="0"/>
          <w:cols w:space="425" w:num="1"/>
          <w:docGrid w:type="lines" w:linePitch="312" w:charSpace="0"/>
        </w:sectPr>
      </w:pPr>
      <w:r>
        <w:rPr>
          <w:highlight w:val="none"/>
        </w:rPr>
        <w:drawing>
          <wp:inline distT="0" distB="0" distL="114300" distR="114300">
            <wp:extent cx="6115050" cy="8291195"/>
            <wp:effectExtent l="0" t="0" r="0" b="14605"/>
            <wp:docPr id="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1"/>
                    </pic:cNvPicPr>
                  </pic:nvPicPr>
                  <pic:blipFill>
                    <a:blip r:embed="rId51"/>
                    <a:srcRect r="7002"/>
                    <a:stretch>
                      <a:fillRect/>
                    </a:stretch>
                  </pic:blipFill>
                  <pic:spPr>
                    <a:xfrm>
                      <a:off x="0" y="0"/>
                      <a:ext cx="6115050" cy="8291195"/>
                    </a:xfrm>
                    <a:prstGeom prst="rect">
                      <a:avLst/>
                    </a:prstGeom>
                    <a:noFill/>
                    <a:ln>
                      <a:noFill/>
                    </a:ln>
                  </pic:spPr>
                </pic:pic>
              </a:graphicData>
            </a:graphic>
          </wp:inline>
        </w:drawing>
      </w:r>
      <w:r>
        <w:rPr>
          <w:highlight w:val="none"/>
        </w:rPr>
        <w:drawing>
          <wp:inline distT="0" distB="0" distL="114300" distR="114300">
            <wp:extent cx="6275070" cy="8127365"/>
            <wp:effectExtent l="0" t="0" r="11430" b="6985"/>
            <wp:docPr id="8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3"/>
                    <pic:cNvPicPr>
                      <a:picLocks noChangeAspect="1"/>
                    </pic:cNvPicPr>
                  </pic:nvPicPr>
                  <pic:blipFill>
                    <a:blip r:embed="rId52"/>
                    <a:stretch>
                      <a:fillRect/>
                    </a:stretch>
                  </pic:blipFill>
                  <pic:spPr>
                    <a:xfrm>
                      <a:off x="0" y="0"/>
                      <a:ext cx="6275070" cy="8127365"/>
                    </a:xfrm>
                    <a:prstGeom prst="rect">
                      <a:avLst/>
                    </a:prstGeom>
                    <a:noFill/>
                    <a:ln>
                      <a:noFill/>
                    </a:ln>
                  </pic:spPr>
                </pic:pic>
              </a:graphicData>
            </a:graphic>
          </wp:inline>
        </w:drawing>
      </w:r>
      <w:r>
        <w:rPr>
          <w:highlight w:val="none"/>
        </w:rPr>
        <w:drawing>
          <wp:inline distT="0" distB="0" distL="114300" distR="114300">
            <wp:extent cx="6209030" cy="8313420"/>
            <wp:effectExtent l="0" t="0" r="1270" b="11430"/>
            <wp:docPr id="8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4"/>
                    <pic:cNvPicPr>
                      <a:picLocks noChangeAspect="1"/>
                    </pic:cNvPicPr>
                  </pic:nvPicPr>
                  <pic:blipFill>
                    <a:blip r:embed="rId53"/>
                    <a:stretch>
                      <a:fillRect/>
                    </a:stretch>
                  </pic:blipFill>
                  <pic:spPr>
                    <a:xfrm>
                      <a:off x="0" y="0"/>
                      <a:ext cx="6209030" cy="8313420"/>
                    </a:xfrm>
                    <a:prstGeom prst="rect">
                      <a:avLst/>
                    </a:prstGeom>
                    <a:noFill/>
                    <a:ln>
                      <a:noFill/>
                    </a:ln>
                  </pic:spPr>
                </pic:pic>
              </a:graphicData>
            </a:graphic>
          </wp:inline>
        </w:drawing>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6</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初步设计报告批复</w:t>
      </w:r>
    </w:p>
    <w:p>
      <w:pPr>
        <w:pStyle w:val="2"/>
        <w:jc w:val="center"/>
        <w:rPr>
          <w:highlight w:val="none"/>
        </w:rPr>
        <w:sectPr>
          <w:pgSz w:w="11906" w:h="16838"/>
          <w:pgMar w:top="1440" w:right="1080" w:bottom="1440" w:left="1080" w:header="851" w:footer="992" w:gutter="0"/>
          <w:cols w:space="425" w:num="1"/>
          <w:docGrid w:type="lines" w:linePitch="312" w:charSpace="0"/>
        </w:sectPr>
      </w:pPr>
      <w:r>
        <w:rPr>
          <w:highlight w:val="none"/>
        </w:rPr>
        <w:drawing>
          <wp:inline distT="0" distB="0" distL="114300" distR="114300">
            <wp:extent cx="6040755" cy="8389620"/>
            <wp:effectExtent l="0" t="0" r="17145" b="11430"/>
            <wp:docPr id="8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5"/>
                    <pic:cNvPicPr>
                      <a:picLocks noChangeAspect="1"/>
                    </pic:cNvPicPr>
                  </pic:nvPicPr>
                  <pic:blipFill>
                    <a:blip r:embed="rId54"/>
                    <a:stretch>
                      <a:fillRect/>
                    </a:stretch>
                  </pic:blipFill>
                  <pic:spPr>
                    <a:xfrm>
                      <a:off x="0" y="0"/>
                      <a:ext cx="6040755" cy="8389620"/>
                    </a:xfrm>
                    <a:prstGeom prst="rect">
                      <a:avLst/>
                    </a:prstGeom>
                    <a:noFill/>
                    <a:ln>
                      <a:noFill/>
                    </a:ln>
                  </pic:spPr>
                </pic:pic>
              </a:graphicData>
            </a:graphic>
          </wp:inline>
        </w:drawing>
      </w:r>
      <w:r>
        <w:rPr>
          <w:highlight w:val="none"/>
        </w:rPr>
        <w:drawing>
          <wp:inline distT="0" distB="0" distL="114300" distR="114300">
            <wp:extent cx="6169660" cy="8761095"/>
            <wp:effectExtent l="0" t="0" r="2540" b="1905"/>
            <wp:docPr id="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6"/>
                    <pic:cNvPicPr>
                      <a:picLocks noChangeAspect="1"/>
                    </pic:cNvPicPr>
                  </pic:nvPicPr>
                  <pic:blipFill>
                    <a:blip r:embed="rId55"/>
                    <a:stretch>
                      <a:fillRect/>
                    </a:stretch>
                  </pic:blipFill>
                  <pic:spPr>
                    <a:xfrm>
                      <a:off x="0" y="0"/>
                      <a:ext cx="6169660" cy="8761095"/>
                    </a:xfrm>
                    <a:prstGeom prst="rect">
                      <a:avLst/>
                    </a:prstGeom>
                    <a:noFill/>
                    <a:ln>
                      <a:noFill/>
                    </a:ln>
                  </pic:spPr>
                </pic:pic>
              </a:graphicData>
            </a:graphic>
          </wp:inline>
        </w:drawing>
      </w:r>
      <w:r>
        <w:rPr>
          <w:highlight w:val="none"/>
        </w:rPr>
        <w:drawing>
          <wp:inline distT="0" distB="0" distL="114300" distR="114300">
            <wp:extent cx="6267450" cy="8692515"/>
            <wp:effectExtent l="0" t="0" r="0" b="13335"/>
            <wp:docPr id="9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7"/>
                    <pic:cNvPicPr>
                      <a:picLocks noChangeAspect="1"/>
                    </pic:cNvPicPr>
                  </pic:nvPicPr>
                  <pic:blipFill>
                    <a:blip r:embed="rId56"/>
                    <a:stretch>
                      <a:fillRect/>
                    </a:stretch>
                  </pic:blipFill>
                  <pic:spPr>
                    <a:xfrm>
                      <a:off x="0" y="0"/>
                      <a:ext cx="6267450" cy="8692515"/>
                    </a:xfrm>
                    <a:prstGeom prst="rect">
                      <a:avLst/>
                    </a:prstGeom>
                    <a:noFill/>
                    <a:ln>
                      <a:noFill/>
                    </a:ln>
                  </pic:spPr>
                </pic:pic>
              </a:graphicData>
            </a:graphic>
          </wp:inline>
        </w:drawing>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7</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水质检测报告</w:t>
      </w:r>
    </w:p>
    <w:p>
      <w:pPr>
        <w:pStyle w:val="7"/>
        <w:jc w:val="center"/>
        <w:rPr>
          <w:rFonts w:hint="eastAsia" w:eastAsiaTheme="minorEastAsia"/>
          <w:highlight w:val="none"/>
          <w:lang w:eastAsia="zh-CN"/>
        </w:rPr>
      </w:pPr>
      <w:r>
        <w:rPr>
          <w:rFonts w:hint="eastAsia" w:eastAsiaTheme="minorEastAsia"/>
          <w:highlight w:val="none"/>
          <w:lang w:eastAsia="zh-CN"/>
        </w:rPr>
        <w:drawing>
          <wp:inline distT="0" distB="0" distL="114300" distR="114300">
            <wp:extent cx="5989320" cy="8468995"/>
            <wp:effectExtent l="0" t="0" r="11430" b="8255"/>
            <wp:docPr id="69" name="图片 69"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0001"/>
                    <pic:cNvPicPr>
                      <a:picLocks noChangeAspect="1"/>
                    </pic:cNvPicPr>
                  </pic:nvPicPr>
                  <pic:blipFill>
                    <a:blip r:embed="rId57"/>
                    <a:stretch>
                      <a:fillRect/>
                    </a:stretch>
                  </pic:blipFill>
                  <pic:spPr>
                    <a:xfrm>
                      <a:off x="0" y="0"/>
                      <a:ext cx="5989320" cy="8468995"/>
                    </a:xfrm>
                    <a:prstGeom prst="rect">
                      <a:avLst/>
                    </a:prstGeom>
                  </pic:spPr>
                </pic:pic>
              </a:graphicData>
            </a:graphic>
          </wp:inline>
        </w:drawing>
      </w:r>
      <w:r>
        <w:rPr>
          <w:rFonts w:hint="eastAsia" w:eastAsiaTheme="minorEastAsia"/>
          <w:highlight w:val="none"/>
          <w:lang w:eastAsia="zh-CN"/>
        </w:rPr>
        <w:drawing>
          <wp:inline distT="0" distB="0" distL="114300" distR="114300">
            <wp:extent cx="6101080" cy="8625840"/>
            <wp:effectExtent l="0" t="0" r="13970" b="3810"/>
            <wp:docPr id="98" name="图片 98"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0002"/>
                    <pic:cNvPicPr>
                      <a:picLocks noChangeAspect="1"/>
                    </pic:cNvPicPr>
                  </pic:nvPicPr>
                  <pic:blipFill>
                    <a:blip r:embed="rId58"/>
                    <a:stretch>
                      <a:fillRect/>
                    </a:stretch>
                  </pic:blipFill>
                  <pic:spPr>
                    <a:xfrm>
                      <a:off x="0" y="0"/>
                      <a:ext cx="6101080" cy="8625840"/>
                    </a:xfrm>
                    <a:prstGeom prst="rect">
                      <a:avLst/>
                    </a:prstGeom>
                  </pic:spPr>
                </pic:pic>
              </a:graphicData>
            </a:graphic>
          </wp:inline>
        </w:drawing>
      </w:r>
      <w:r>
        <w:drawing>
          <wp:inline distT="0" distB="0" distL="114300" distR="114300">
            <wp:extent cx="6141085" cy="8696325"/>
            <wp:effectExtent l="0" t="0" r="12065" b="9525"/>
            <wp:docPr id="1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
                    <pic:cNvPicPr>
                      <a:picLocks noChangeAspect="1"/>
                    </pic:cNvPicPr>
                  </pic:nvPicPr>
                  <pic:blipFill>
                    <a:blip r:embed="rId59"/>
                    <a:stretch>
                      <a:fillRect/>
                    </a:stretch>
                  </pic:blipFill>
                  <pic:spPr>
                    <a:xfrm>
                      <a:off x="0" y="0"/>
                      <a:ext cx="6141085" cy="8696325"/>
                    </a:xfrm>
                    <a:prstGeom prst="rect">
                      <a:avLst/>
                    </a:prstGeom>
                    <a:noFill/>
                    <a:ln>
                      <a:noFill/>
                    </a:ln>
                  </pic:spPr>
                </pic:pic>
              </a:graphicData>
            </a:graphic>
          </wp:inline>
        </w:drawing>
      </w:r>
      <w:r>
        <w:drawing>
          <wp:inline distT="0" distB="0" distL="114300" distR="114300">
            <wp:extent cx="6110605" cy="8667115"/>
            <wp:effectExtent l="0" t="0" r="4445" b="635"/>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60"/>
                    <a:stretch>
                      <a:fillRect/>
                    </a:stretch>
                  </pic:blipFill>
                  <pic:spPr>
                    <a:xfrm>
                      <a:off x="0" y="0"/>
                      <a:ext cx="6110605" cy="8667115"/>
                    </a:xfrm>
                    <a:prstGeom prst="rect">
                      <a:avLst/>
                    </a:prstGeom>
                    <a:noFill/>
                    <a:ln>
                      <a:noFill/>
                    </a:ln>
                  </pic:spPr>
                </pic:pic>
              </a:graphicData>
            </a:graphic>
          </wp:inline>
        </w:drawing>
      </w:r>
      <w:r>
        <w:rPr>
          <w:rFonts w:hint="eastAsia" w:eastAsiaTheme="minorEastAsia"/>
          <w:highlight w:val="none"/>
          <w:lang w:eastAsia="zh-CN"/>
        </w:rPr>
        <w:drawing>
          <wp:inline distT="0" distB="0" distL="114300" distR="114300">
            <wp:extent cx="6186170" cy="8385175"/>
            <wp:effectExtent l="0" t="0" r="0" b="0"/>
            <wp:docPr id="139" name="图片 139" descr="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0005"/>
                    <pic:cNvPicPr>
                      <a:picLocks noChangeAspect="1"/>
                    </pic:cNvPicPr>
                  </pic:nvPicPr>
                  <pic:blipFill>
                    <a:blip r:embed="rId61"/>
                    <a:srcRect b="4124"/>
                    <a:stretch>
                      <a:fillRect/>
                    </a:stretch>
                  </pic:blipFill>
                  <pic:spPr>
                    <a:xfrm>
                      <a:off x="0" y="0"/>
                      <a:ext cx="6186170" cy="8385175"/>
                    </a:xfrm>
                    <a:prstGeom prst="rect">
                      <a:avLst/>
                    </a:prstGeom>
                  </pic:spPr>
                </pic:pic>
              </a:graphicData>
            </a:graphic>
          </wp:inline>
        </w:drawing>
      </w:r>
      <w:r>
        <w:rPr>
          <w:rFonts w:hint="eastAsia" w:eastAsiaTheme="minorEastAsia"/>
          <w:highlight w:val="none"/>
          <w:lang w:eastAsia="zh-CN"/>
        </w:rPr>
        <w:drawing>
          <wp:inline distT="0" distB="0" distL="114300" distR="114300">
            <wp:extent cx="6186170" cy="8509000"/>
            <wp:effectExtent l="0" t="0" r="0" b="0"/>
            <wp:docPr id="140" name="图片 140" descr="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0006"/>
                    <pic:cNvPicPr>
                      <a:picLocks noChangeAspect="1"/>
                    </pic:cNvPicPr>
                  </pic:nvPicPr>
                  <pic:blipFill>
                    <a:blip r:embed="rId62"/>
                    <a:srcRect b="2708"/>
                    <a:stretch>
                      <a:fillRect/>
                    </a:stretch>
                  </pic:blipFill>
                  <pic:spPr>
                    <a:xfrm>
                      <a:off x="0" y="0"/>
                      <a:ext cx="6186170" cy="8509000"/>
                    </a:xfrm>
                    <a:prstGeom prst="rect">
                      <a:avLst/>
                    </a:prstGeom>
                  </pic:spPr>
                </pic:pic>
              </a:graphicData>
            </a:graphic>
          </wp:inline>
        </w:drawing>
      </w:r>
      <w:r>
        <w:rPr>
          <w:rFonts w:hint="eastAsia" w:eastAsiaTheme="minorEastAsia"/>
          <w:highlight w:val="none"/>
          <w:lang w:eastAsia="zh-CN"/>
        </w:rPr>
        <w:drawing>
          <wp:inline distT="0" distB="0" distL="114300" distR="114300">
            <wp:extent cx="6186170" cy="8509000"/>
            <wp:effectExtent l="0" t="0" r="0" b="0"/>
            <wp:docPr id="144" name="图片 144" descr="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0007"/>
                    <pic:cNvPicPr>
                      <a:picLocks noChangeAspect="1"/>
                    </pic:cNvPicPr>
                  </pic:nvPicPr>
                  <pic:blipFill>
                    <a:blip r:embed="rId63"/>
                    <a:srcRect b="2708"/>
                    <a:stretch>
                      <a:fillRect/>
                    </a:stretch>
                  </pic:blipFill>
                  <pic:spPr>
                    <a:xfrm>
                      <a:off x="0" y="0"/>
                      <a:ext cx="6186170" cy="8509000"/>
                    </a:xfrm>
                    <a:prstGeom prst="rect">
                      <a:avLst/>
                    </a:prstGeom>
                  </pic:spPr>
                </pic:pic>
              </a:graphicData>
            </a:graphic>
          </wp:inline>
        </w:drawing>
      </w:r>
      <w:r>
        <w:rPr>
          <w:rFonts w:hint="eastAsia" w:eastAsiaTheme="minorEastAsia"/>
          <w:highlight w:val="none"/>
          <w:lang w:eastAsia="zh-CN"/>
        </w:rPr>
        <w:drawing>
          <wp:inline distT="0" distB="0" distL="114300" distR="114300">
            <wp:extent cx="6186170" cy="8404225"/>
            <wp:effectExtent l="0" t="0" r="0" b="0"/>
            <wp:docPr id="149" name="图片 149"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0008"/>
                    <pic:cNvPicPr>
                      <a:picLocks noChangeAspect="1"/>
                    </pic:cNvPicPr>
                  </pic:nvPicPr>
                  <pic:blipFill>
                    <a:blip r:embed="rId64"/>
                    <a:srcRect b="3906"/>
                    <a:stretch>
                      <a:fillRect/>
                    </a:stretch>
                  </pic:blipFill>
                  <pic:spPr>
                    <a:xfrm>
                      <a:off x="0" y="0"/>
                      <a:ext cx="6186170" cy="8404225"/>
                    </a:xfrm>
                    <a:prstGeom prst="rect">
                      <a:avLst/>
                    </a:prstGeom>
                  </pic:spPr>
                </pic:pic>
              </a:graphicData>
            </a:graphic>
          </wp:inline>
        </w:drawing>
      </w:r>
      <w:r>
        <w:rPr>
          <w:rFonts w:hint="eastAsia" w:eastAsiaTheme="minorEastAsia"/>
          <w:highlight w:val="none"/>
          <w:lang w:eastAsia="zh-CN"/>
        </w:rPr>
        <w:drawing>
          <wp:inline distT="0" distB="0" distL="114300" distR="114300">
            <wp:extent cx="6186170" cy="8337550"/>
            <wp:effectExtent l="0" t="0" r="0" b="0"/>
            <wp:docPr id="153" name="图片 153"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0009"/>
                    <pic:cNvPicPr>
                      <a:picLocks noChangeAspect="1"/>
                    </pic:cNvPicPr>
                  </pic:nvPicPr>
                  <pic:blipFill>
                    <a:blip r:embed="rId65"/>
                    <a:srcRect b="4669"/>
                    <a:stretch>
                      <a:fillRect/>
                    </a:stretch>
                  </pic:blipFill>
                  <pic:spPr>
                    <a:xfrm>
                      <a:off x="0" y="0"/>
                      <a:ext cx="6186170" cy="8337550"/>
                    </a:xfrm>
                    <a:prstGeom prst="rect">
                      <a:avLst/>
                    </a:prstGeom>
                  </pic:spPr>
                </pic:pic>
              </a:graphicData>
            </a:graphic>
          </wp:inline>
        </w:drawing>
      </w:r>
      <w:r>
        <w:rPr>
          <w:rFonts w:hint="eastAsia" w:eastAsiaTheme="minorEastAsia"/>
          <w:highlight w:val="none"/>
          <w:lang w:eastAsia="zh-CN"/>
        </w:rPr>
        <w:drawing>
          <wp:inline distT="0" distB="0" distL="114300" distR="114300">
            <wp:extent cx="6186170" cy="8413750"/>
            <wp:effectExtent l="0" t="0" r="0" b="0"/>
            <wp:docPr id="158" name="图片 158" descr="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0010"/>
                    <pic:cNvPicPr>
                      <a:picLocks noChangeAspect="1"/>
                    </pic:cNvPicPr>
                  </pic:nvPicPr>
                  <pic:blipFill>
                    <a:blip r:embed="rId66"/>
                    <a:srcRect b="3797"/>
                    <a:stretch>
                      <a:fillRect/>
                    </a:stretch>
                  </pic:blipFill>
                  <pic:spPr>
                    <a:xfrm>
                      <a:off x="0" y="0"/>
                      <a:ext cx="6186170" cy="8413750"/>
                    </a:xfrm>
                    <a:prstGeom prst="rect">
                      <a:avLst/>
                    </a:prstGeom>
                  </pic:spPr>
                </pic:pic>
              </a:graphicData>
            </a:graphic>
          </wp:inline>
        </w:drawing>
      </w:r>
      <w:r>
        <w:rPr>
          <w:rFonts w:hint="eastAsia" w:eastAsiaTheme="minorEastAsia"/>
          <w:highlight w:val="none"/>
          <w:lang w:eastAsia="zh-CN"/>
        </w:rPr>
        <w:drawing>
          <wp:inline distT="0" distB="0" distL="114300" distR="114300">
            <wp:extent cx="6186170" cy="8366125"/>
            <wp:effectExtent l="0" t="0" r="0" b="0"/>
            <wp:docPr id="162" name="图片 162" descr="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0011"/>
                    <pic:cNvPicPr>
                      <a:picLocks noChangeAspect="1"/>
                    </pic:cNvPicPr>
                  </pic:nvPicPr>
                  <pic:blipFill>
                    <a:blip r:embed="rId67"/>
                    <a:srcRect b="4342"/>
                    <a:stretch>
                      <a:fillRect/>
                    </a:stretch>
                  </pic:blipFill>
                  <pic:spPr>
                    <a:xfrm>
                      <a:off x="0" y="0"/>
                      <a:ext cx="6186170" cy="8366125"/>
                    </a:xfrm>
                    <a:prstGeom prst="rect">
                      <a:avLst/>
                    </a:prstGeom>
                  </pic:spPr>
                </pic:pic>
              </a:graphicData>
            </a:graphic>
          </wp:inline>
        </w:drawing>
      </w:r>
      <w:r>
        <w:rPr>
          <w:rFonts w:hint="eastAsia" w:eastAsiaTheme="minorEastAsia"/>
          <w:highlight w:val="none"/>
          <w:lang w:eastAsia="zh-CN"/>
        </w:rPr>
        <w:drawing>
          <wp:inline distT="0" distB="0" distL="114300" distR="114300">
            <wp:extent cx="6186170" cy="8489950"/>
            <wp:effectExtent l="0" t="0" r="0" b="0"/>
            <wp:docPr id="163" name="图片 163" descr="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0012"/>
                    <pic:cNvPicPr>
                      <a:picLocks noChangeAspect="1"/>
                    </pic:cNvPicPr>
                  </pic:nvPicPr>
                  <pic:blipFill>
                    <a:blip r:embed="rId68"/>
                    <a:srcRect b="2926"/>
                    <a:stretch>
                      <a:fillRect/>
                    </a:stretch>
                  </pic:blipFill>
                  <pic:spPr>
                    <a:xfrm>
                      <a:off x="0" y="0"/>
                      <a:ext cx="6186170" cy="8489950"/>
                    </a:xfrm>
                    <a:prstGeom prst="rect">
                      <a:avLst/>
                    </a:prstGeom>
                  </pic:spPr>
                </pic:pic>
              </a:graphicData>
            </a:graphic>
          </wp:inline>
        </w:drawing>
      </w:r>
      <w:r>
        <w:rPr>
          <w:rFonts w:hint="eastAsia" w:eastAsiaTheme="minorEastAsia"/>
          <w:highlight w:val="none"/>
          <w:lang w:eastAsia="zh-CN"/>
        </w:rPr>
        <w:drawing>
          <wp:inline distT="0" distB="0" distL="114300" distR="114300">
            <wp:extent cx="6186170" cy="8394700"/>
            <wp:effectExtent l="0" t="0" r="0" b="0"/>
            <wp:docPr id="165" name="图片 165" descr="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0013"/>
                    <pic:cNvPicPr>
                      <a:picLocks noChangeAspect="1"/>
                    </pic:cNvPicPr>
                  </pic:nvPicPr>
                  <pic:blipFill>
                    <a:blip r:embed="rId69"/>
                    <a:srcRect b="4015"/>
                    <a:stretch>
                      <a:fillRect/>
                    </a:stretch>
                  </pic:blipFill>
                  <pic:spPr>
                    <a:xfrm>
                      <a:off x="0" y="0"/>
                      <a:ext cx="6186170" cy="8394700"/>
                    </a:xfrm>
                    <a:prstGeom prst="rect">
                      <a:avLst/>
                    </a:prstGeom>
                  </pic:spPr>
                </pic:pic>
              </a:graphicData>
            </a:graphic>
          </wp:inline>
        </w:drawing>
      </w:r>
      <w:r>
        <w:rPr>
          <w:rFonts w:hint="eastAsia" w:eastAsiaTheme="minorEastAsia"/>
          <w:highlight w:val="none"/>
          <w:lang w:eastAsia="zh-CN"/>
        </w:rPr>
        <w:drawing>
          <wp:inline distT="0" distB="0" distL="114300" distR="114300">
            <wp:extent cx="6186170" cy="8442325"/>
            <wp:effectExtent l="0" t="0" r="0" b="0"/>
            <wp:docPr id="166" name="图片 166" descr="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0014"/>
                    <pic:cNvPicPr>
                      <a:picLocks noChangeAspect="1"/>
                    </pic:cNvPicPr>
                  </pic:nvPicPr>
                  <pic:blipFill>
                    <a:blip r:embed="rId70"/>
                    <a:srcRect b="3471"/>
                    <a:stretch>
                      <a:fillRect/>
                    </a:stretch>
                  </pic:blipFill>
                  <pic:spPr>
                    <a:xfrm>
                      <a:off x="0" y="0"/>
                      <a:ext cx="6186170" cy="8442325"/>
                    </a:xfrm>
                    <a:prstGeom prst="rect">
                      <a:avLst/>
                    </a:prstGeom>
                  </pic:spPr>
                </pic:pic>
              </a:graphicData>
            </a:graphic>
          </wp:inline>
        </w:drawing>
      </w:r>
    </w:p>
    <w:p>
      <w:pP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br w:type="page"/>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8</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木形水库环评批复</w:t>
      </w:r>
    </w:p>
    <w:p>
      <w:pPr>
        <w:jc w:val="center"/>
        <w:rPr>
          <w:highlight w:val="none"/>
        </w:rPr>
        <w:sectPr>
          <w:pgSz w:w="11906" w:h="16838"/>
          <w:pgMar w:top="1440" w:right="1080" w:bottom="1440" w:left="1080" w:header="851" w:footer="992" w:gutter="0"/>
          <w:cols w:space="425" w:num="1"/>
          <w:docGrid w:type="lines" w:linePitch="312" w:charSpace="0"/>
        </w:sectPr>
      </w:pPr>
      <w:r>
        <w:rPr>
          <w:highlight w:val="none"/>
        </w:rPr>
        <w:drawing>
          <wp:inline distT="0" distB="0" distL="114300" distR="114300">
            <wp:extent cx="5974080" cy="8464550"/>
            <wp:effectExtent l="0" t="0" r="7620" b="12700"/>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71"/>
                    <a:stretch>
                      <a:fillRect/>
                    </a:stretch>
                  </pic:blipFill>
                  <pic:spPr>
                    <a:xfrm>
                      <a:off x="0" y="0"/>
                      <a:ext cx="5974080" cy="8464550"/>
                    </a:xfrm>
                    <a:prstGeom prst="rect">
                      <a:avLst/>
                    </a:prstGeom>
                    <a:noFill/>
                    <a:ln>
                      <a:noFill/>
                    </a:ln>
                  </pic:spPr>
                </pic:pic>
              </a:graphicData>
            </a:graphic>
          </wp:inline>
        </w:drawing>
      </w:r>
      <w:r>
        <w:rPr>
          <w:highlight w:val="none"/>
        </w:rPr>
        <w:drawing>
          <wp:inline distT="0" distB="0" distL="114300" distR="114300">
            <wp:extent cx="6166485" cy="8740775"/>
            <wp:effectExtent l="0" t="0" r="5715" b="3175"/>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72"/>
                    <a:stretch>
                      <a:fillRect/>
                    </a:stretch>
                  </pic:blipFill>
                  <pic:spPr>
                    <a:xfrm>
                      <a:off x="0" y="0"/>
                      <a:ext cx="6166485" cy="8740775"/>
                    </a:xfrm>
                    <a:prstGeom prst="rect">
                      <a:avLst/>
                    </a:prstGeom>
                    <a:noFill/>
                    <a:ln>
                      <a:noFill/>
                    </a:ln>
                  </pic:spPr>
                </pic:pic>
              </a:graphicData>
            </a:graphic>
          </wp:inline>
        </w:drawing>
      </w:r>
      <w:r>
        <w:rPr>
          <w:highlight w:val="none"/>
        </w:rPr>
        <w:drawing>
          <wp:inline distT="0" distB="0" distL="114300" distR="114300">
            <wp:extent cx="6099810" cy="8696325"/>
            <wp:effectExtent l="0" t="0" r="15240" b="9525"/>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73"/>
                    <a:stretch>
                      <a:fillRect/>
                    </a:stretch>
                  </pic:blipFill>
                  <pic:spPr>
                    <a:xfrm>
                      <a:off x="0" y="0"/>
                      <a:ext cx="6099810" cy="8696325"/>
                    </a:xfrm>
                    <a:prstGeom prst="rect">
                      <a:avLst/>
                    </a:prstGeom>
                    <a:noFill/>
                    <a:ln>
                      <a:noFill/>
                    </a:ln>
                  </pic:spPr>
                </pic:pic>
              </a:graphicData>
            </a:graphic>
          </wp:inline>
        </w:drawing>
      </w:r>
      <w:r>
        <w:rPr>
          <w:highlight w:val="none"/>
        </w:rPr>
        <w:drawing>
          <wp:inline distT="0" distB="0" distL="114300" distR="114300">
            <wp:extent cx="5890895" cy="8642985"/>
            <wp:effectExtent l="0" t="0" r="14605" b="5715"/>
            <wp:docPr id="1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
                    <pic:cNvPicPr>
                      <a:picLocks noChangeAspect="1"/>
                    </pic:cNvPicPr>
                  </pic:nvPicPr>
                  <pic:blipFill>
                    <a:blip r:embed="rId74"/>
                    <a:stretch>
                      <a:fillRect/>
                    </a:stretch>
                  </pic:blipFill>
                  <pic:spPr>
                    <a:xfrm>
                      <a:off x="0" y="0"/>
                      <a:ext cx="5890895" cy="8642985"/>
                    </a:xfrm>
                    <a:prstGeom prst="rect">
                      <a:avLst/>
                    </a:prstGeom>
                    <a:noFill/>
                    <a:ln>
                      <a:noFill/>
                    </a:ln>
                  </pic:spPr>
                </pic:pic>
              </a:graphicData>
            </a:graphic>
          </wp:inline>
        </w:drawing>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9</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地表水引用数据监测报告</w:t>
      </w:r>
    </w:p>
    <w:p>
      <w:pPr>
        <w:jc w:val="center"/>
        <w:rPr>
          <w:rFonts w:hint="eastAsia"/>
          <w:highlight w:val="none"/>
        </w:rPr>
      </w:pPr>
      <w:r>
        <w:rPr>
          <w:rFonts w:hint="eastAsia"/>
          <w:highlight w:val="none"/>
        </w:rPr>
        <w:drawing>
          <wp:inline distT="0" distB="0" distL="114300" distR="114300">
            <wp:extent cx="5925185" cy="8376920"/>
            <wp:effectExtent l="0" t="0" r="18415" b="5080"/>
            <wp:docPr id="2" name="图片 2" descr="061608584152_0JK2204462湖南省临湘市忠防镇木形水库新建工程项目黄扫描件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61608584152_0JK2204462湖南省临湘市忠防镇木形水库新建工程项目黄扫描件_1"/>
                    <pic:cNvPicPr>
                      <a:picLocks noChangeAspect="1"/>
                    </pic:cNvPicPr>
                  </pic:nvPicPr>
                  <pic:blipFill>
                    <a:blip r:embed="rId75"/>
                    <a:stretch>
                      <a:fillRect/>
                    </a:stretch>
                  </pic:blipFill>
                  <pic:spPr>
                    <a:xfrm>
                      <a:off x="0" y="0"/>
                      <a:ext cx="5925185" cy="8376920"/>
                    </a:xfrm>
                    <a:prstGeom prst="rect">
                      <a:avLst/>
                    </a:prstGeom>
                    <a:noFill/>
                    <a:ln>
                      <a:noFill/>
                    </a:ln>
                  </pic:spPr>
                </pic:pic>
              </a:graphicData>
            </a:graphic>
          </wp:inline>
        </w:drawing>
      </w:r>
    </w:p>
    <w:p>
      <w:pPr>
        <w:pStyle w:val="67"/>
        <w:jc w:val="center"/>
        <w:outlineLvl w:val="9"/>
        <w:rPr>
          <w:rFonts w:hint="eastAsia"/>
          <w:highlight w:val="none"/>
        </w:rPr>
      </w:pPr>
      <w:r>
        <w:rPr>
          <w:rFonts w:hint="eastAsia"/>
          <w:highlight w:val="none"/>
        </w:rPr>
        <w:drawing>
          <wp:inline distT="0" distB="0" distL="114300" distR="114300">
            <wp:extent cx="6120130" cy="8651875"/>
            <wp:effectExtent l="0" t="0" r="13970" b="15875"/>
            <wp:docPr id="4" name="图片 3" descr="061608584152_0JK2204462湖南省临湘市忠防镇木形水库新建工程项目黄扫描件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061608584152_0JK2204462湖南省临湘市忠防镇木形水库新建工程项目黄扫描件_2"/>
                    <pic:cNvPicPr>
                      <a:picLocks noChangeAspect="1"/>
                    </pic:cNvPicPr>
                  </pic:nvPicPr>
                  <pic:blipFill>
                    <a:blip r:embed="rId76"/>
                    <a:stretch>
                      <a:fillRect/>
                    </a:stretch>
                  </pic:blipFill>
                  <pic:spPr>
                    <a:xfrm>
                      <a:off x="0" y="0"/>
                      <a:ext cx="6120130" cy="8651875"/>
                    </a:xfrm>
                    <a:prstGeom prst="rect">
                      <a:avLst/>
                    </a:prstGeom>
                    <a:noFill/>
                    <a:ln>
                      <a:noFill/>
                    </a:ln>
                  </pic:spPr>
                </pic:pic>
              </a:graphicData>
            </a:graphic>
          </wp:inline>
        </w:drawing>
      </w:r>
    </w:p>
    <w:p>
      <w:pPr>
        <w:pStyle w:val="72"/>
        <w:ind w:firstLine="0" w:firstLineChars="0"/>
        <w:jc w:val="center"/>
        <w:rPr>
          <w:rFonts w:hint="eastAsia"/>
          <w:highlight w:val="none"/>
        </w:rPr>
      </w:pPr>
      <w:r>
        <w:rPr>
          <w:rFonts w:hint="eastAsia"/>
          <w:highlight w:val="none"/>
        </w:rPr>
        <w:drawing>
          <wp:inline distT="0" distB="0" distL="114300" distR="114300">
            <wp:extent cx="6097905" cy="8620760"/>
            <wp:effectExtent l="0" t="0" r="17145" b="8890"/>
            <wp:docPr id="7" name="图片 4" descr="061608584152_0JK2204462湖南省临湘市忠防镇木形水库新建工程项目黄扫描件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descr="061608584152_0JK2204462湖南省临湘市忠防镇木形水库新建工程项目黄扫描件_3"/>
                    <pic:cNvPicPr>
                      <a:picLocks noChangeAspect="1"/>
                    </pic:cNvPicPr>
                  </pic:nvPicPr>
                  <pic:blipFill>
                    <a:blip r:embed="rId77"/>
                    <a:stretch>
                      <a:fillRect/>
                    </a:stretch>
                  </pic:blipFill>
                  <pic:spPr>
                    <a:xfrm>
                      <a:off x="0" y="0"/>
                      <a:ext cx="6097905" cy="8620760"/>
                    </a:xfrm>
                    <a:prstGeom prst="rect">
                      <a:avLst/>
                    </a:prstGeom>
                    <a:noFill/>
                    <a:ln>
                      <a:noFill/>
                    </a:ln>
                  </pic:spPr>
                </pic:pic>
              </a:graphicData>
            </a:graphic>
          </wp:inline>
        </w:drawing>
      </w:r>
    </w:p>
    <w:p>
      <w:pPr>
        <w:pStyle w:val="72"/>
        <w:ind w:firstLine="0" w:firstLineChars="0"/>
        <w:jc w:val="center"/>
        <w:rPr>
          <w:rFonts w:hint="eastAsia"/>
          <w:highlight w:val="none"/>
        </w:rPr>
      </w:pPr>
      <w:r>
        <w:rPr>
          <w:rFonts w:hint="eastAsia"/>
          <w:highlight w:val="none"/>
        </w:rPr>
        <w:drawing>
          <wp:inline distT="0" distB="0" distL="114300" distR="114300">
            <wp:extent cx="6120130" cy="8651875"/>
            <wp:effectExtent l="0" t="0" r="13970" b="15875"/>
            <wp:docPr id="39" name="图片 5" descr="061608584152_0JK2204462湖南省临湘市忠防镇木形水库新建工程项目黄扫描件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descr="061608584152_0JK2204462湖南省临湘市忠防镇木形水库新建工程项目黄扫描件_4"/>
                    <pic:cNvPicPr>
                      <a:picLocks noChangeAspect="1"/>
                    </pic:cNvPicPr>
                  </pic:nvPicPr>
                  <pic:blipFill>
                    <a:blip r:embed="rId78"/>
                    <a:stretch>
                      <a:fillRect/>
                    </a:stretch>
                  </pic:blipFill>
                  <pic:spPr>
                    <a:xfrm>
                      <a:off x="0" y="0"/>
                      <a:ext cx="6120130" cy="8651875"/>
                    </a:xfrm>
                    <a:prstGeom prst="rect">
                      <a:avLst/>
                    </a:prstGeom>
                    <a:noFill/>
                    <a:ln>
                      <a:noFill/>
                    </a:ln>
                  </pic:spPr>
                </pic:pic>
              </a:graphicData>
            </a:graphic>
          </wp:inline>
        </w:drawing>
      </w:r>
    </w:p>
    <w:p>
      <w:pPr>
        <w:pStyle w:val="72"/>
        <w:ind w:firstLine="0" w:firstLineChars="0"/>
        <w:jc w:val="center"/>
        <w:rPr>
          <w:rFonts w:hint="eastAsia"/>
          <w:highlight w:val="none"/>
        </w:rPr>
      </w:pPr>
      <w:r>
        <w:rPr>
          <w:rFonts w:hint="eastAsia"/>
          <w:highlight w:val="none"/>
        </w:rPr>
        <w:drawing>
          <wp:inline distT="0" distB="0" distL="114300" distR="114300">
            <wp:extent cx="6134735" cy="8672830"/>
            <wp:effectExtent l="0" t="0" r="18415" b="13970"/>
            <wp:docPr id="110" name="图片 6" descr="061608584152_0JK2204462湖南省临湘市忠防镇木形水库新建工程项目黄扫描件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descr="061608584152_0JK2204462湖南省临湘市忠防镇木形水库新建工程项目黄扫描件_5"/>
                    <pic:cNvPicPr>
                      <a:picLocks noChangeAspect="1"/>
                    </pic:cNvPicPr>
                  </pic:nvPicPr>
                  <pic:blipFill>
                    <a:blip r:embed="rId79"/>
                    <a:stretch>
                      <a:fillRect/>
                    </a:stretch>
                  </pic:blipFill>
                  <pic:spPr>
                    <a:xfrm>
                      <a:off x="0" y="0"/>
                      <a:ext cx="6134735" cy="8672830"/>
                    </a:xfrm>
                    <a:prstGeom prst="rect">
                      <a:avLst/>
                    </a:prstGeom>
                    <a:noFill/>
                    <a:ln>
                      <a:noFill/>
                    </a:ln>
                  </pic:spPr>
                </pic:pic>
              </a:graphicData>
            </a:graphic>
          </wp:inline>
        </w:drawing>
      </w:r>
    </w:p>
    <w:p>
      <w:pPr>
        <w:pStyle w:val="72"/>
        <w:ind w:firstLine="0" w:firstLineChars="0"/>
        <w:jc w:val="center"/>
        <w:rPr>
          <w:rFonts w:hint="eastAsia"/>
          <w:highlight w:val="none"/>
        </w:rPr>
      </w:pPr>
      <w:r>
        <w:rPr>
          <w:rFonts w:hint="eastAsia"/>
          <w:highlight w:val="none"/>
        </w:rPr>
        <w:drawing>
          <wp:inline distT="0" distB="0" distL="114300" distR="114300">
            <wp:extent cx="6127750" cy="8662670"/>
            <wp:effectExtent l="0" t="0" r="6350" b="5080"/>
            <wp:docPr id="111" name="图片 7" descr="061608584152_0JK2204462湖南省临湘市忠防镇木形水库新建工程项目黄扫描件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descr="061608584152_0JK2204462湖南省临湘市忠防镇木形水库新建工程项目黄扫描件_6"/>
                    <pic:cNvPicPr>
                      <a:picLocks noChangeAspect="1"/>
                    </pic:cNvPicPr>
                  </pic:nvPicPr>
                  <pic:blipFill>
                    <a:blip r:embed="rId80"/>
                    <a:stretch>
                      <a:fillRect/>
                    </a:stretch>
                  </pic:blipFill>
                  <pic:spPr>
                    <a:xfrm>
                      <a:off x="0" y="0"/>
                      <a:ext cx="6127750" cy="8662670"/>
                    </a:xfrm>
                    <a:prstGeom prst="rect">
                      <a:avLst/>
                    </a:prstGeom>
                    <a:noFill/>
                    <a:ln>
                      <a:noFill/>
                    </a:ln>
                  </pic:spPr>
                </pic:pic>
              </a:graphicData>
            </a:graphic>
          </wp:inline>
        </w:drawing>
      </w:r>
    </w:p>
    <w:p>
      <w:pPr>
        <w:jc w:val="center"/>
        <w:rPr>
          <w:rFonts w:hint="eastAsia"/>
          <w:b/>
          <w:sz w:val="30"/>
          <w:szCs w:val="30"/>
          <w:highlight w:val="none"/>
        </w:rPr>
      </w:pPr>
      <w:r>
        <w:rPr>
          <w:rFonts w:hint="eastAsia"/>
          <w:b/>
          <w:sz w:val="30"/>
          <w:szCs w:val="30"/>
          <w:highlight w:val="none"/>
        </w:rPr>
        <w:drawing>
          <wp:inline distT="0" distB="0" distL="114300" distR="114300">
            <wp:extent cx="6112510" cy="8641715"/>
            <wp:effectExtent l="0" t="0" r="2540" b="6985"/>
            <wp:docPr id="105" name="图片 8" descr="061608584152_0JK2204462湖南省临湘市忠防镇木形水库新建工程项目黄扫描件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8" descr="061608584152_0JK2204462湖南省临湘市忠防镇木形水库新建工程项目黄扫描件_7"/>
                    <pic:cNvPicPr>
                      <a:picLocks noChangeAspect="1"/>
                    </pic:cNvPicPr>
                  </pic:nvPicPr>
                  <pic:blipFill>
                    <a:blip r:embed="rId81"/>
                    <a:stretch>
                      <a:fillRect/>
                    </a:stretch>
                  </pic:blipFill>
                  <pic:spPr>
                    <a:xfrm>
                      <a:off x="0" y="0"/>
                      <a:ext cx="6112510" cy="8641715"/>
                    </a:xfrm>
                    <a:prstGeom prst="rect">
                      <a:avLst/>
                    </a:prstGeom>
                    <a:noFill/>
                    <a:ln>
                      <a:noFill/>
                    </a:ln>
                  </pic:spPr>
                </pic:pic>
              </a:graphicData>
            </a:graphic>
          </wp:inline>
        </w:drawing>
      </w:r>
    </w:p>
    <w:p>
      <w:pPr>
        <w:jc w:val="center"/>
        <w:rPr>
          <w:rFonts w:hint="eastAsia"/>
          <w:b/>
          <w:sz w:val="30"/>
          <w:szCs w:val="30"/>
          <w:highlight w:val="none"/>
        </w:rPr>
      </w:pPr>
      <w:r>
        <w:rPr>
          <w:rFonts w:hint="eastAsia"/>
          <w:b/>
          <w:sz w:val="30"/>
          <w:szCs w:val="30"/>
          <w:highlight w:val="none"/>
        </w:rPr>
        <w:drawing>
          <wp:inline distT="0" distB="0" distL="114300" distR="114300">
            <wp:extent cx="6195060" cy="8757920"/>
            <wp:effectExtent l="0" t="0" r="15240" b="5080"/>
            <wp:docPr id="113" name="图片 9" descr="061608584152_0JK2204462湖南省临湘市忠防镇木形水库新建工程项目黄扫描件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descr="061608584152_0JK2204462湖南省临湘市忠防镇木形水库新建工程项目黄扫描件_8"/>
                    <pic:cNvPicPr>
                      <a:picLocks noChangeAspect="1"/>
                    </pic:cNvPicPr>
                  </pic:nvPicPr>
                  <pic:blipFill>
                    <a:blip r:embed="rId82"/>
                    <a:stretch>
                      <a:fillRect/>
                    </a:stretch>
                  </pic:blipFill>
                  <pic:spPr>
                    <a:xfrm>
                      <a:off x="0" y="0"/>
                      <a:ext cx="6195060" cy="8757920"/>
                    </a:xfrm>
                    <a:prstGeom prst="rect">
                      <a:avLst/>
                    </a:prstGeom>
                    <a:noFill/>
                    <a:ln>
                      <a:noFill/>
                    </a:ln>
                  </pic:spPr>
                </pic:pic>
              </a:graphicData>
            </a:graphic>
          </wp:inline>
        </w:drawing>
      </w:r>
    </w:p>
    <w:p>
      <w:pPr>
        <w:numPr>
          <w:ilvl w:val="0"/>
          <w:numId w:val="0"/>
        </w:numPr>
        <w:ind w:leftChars="0"/>
        <w:jc w:val="center"/>
        <w:outlineLvl w:val="9"/>
        <w:rPr>
          <w:rFonts w:hint="eastAsia"/>
          <w:b/>
          <w:sz w:val="30"/>
          <w:szCs w:val="30"/>
          <w:highlight w:val="none"/>
        </w:rPr>
      </w:pPr>
      <w:r>
        <w:rPr>
          <w:rFonts w:hint="eastAsia"/>
          <w:b/>
          <w:sz w:val="30"/>
          <w:szCs w:val="30"/>
          <w:highlight w:val="none"/>
        </w:rPr>
        <w:drawing>
          <wp:inline distT="0" distB="0" distL="114300" distR="114300">
            <wp:extent cx="6059805" cy="8566785"/>
            <wp:effectExtent l="0" t="0" r="17145" b="5715"/>
            <wp:docPr id="109" name="图片 10" descr="061608584152_0JK2204462湖南省临湘市忠防镇木形水库新建工程项目黄扫描件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 descr="061608584152_0JK2204462湖南省临湘市忠防镇木形水库新建工程项目黄扫描件_9"/>
                    <pic:cNvPicPr>
                      <a:picLocks noChangeAspect="1"/>
                    </pic:cNvPicPr>
                  </pic:nvPicPr>
                  <pic:blipFill>
                    <a:blip r:embed="rId83"/>
                    <a:stretch>
                      <a:fillRect/>
                    </a:stretch>
                  </pic:blipFill>
                  <pic:spPr>
                    <a:xfrm>
                      <a:off x="0" y="0"/>
                      <a:ext cx="6059805" cy="8566785"/>
                    </a:xfrm>
                    <a:prstGeom prst="rect">
                      <a:avLst/>
                    </a:prstGeom>
                    <a:noFill/>
                    <a:ln>
                      <a:noFill/>
                    </a:ln>
                  </pic:spPr>
                </pic:pic>
              </a:graphicData>
            </a:graphic>
          </wp:inline>
        </w:drawing>
      </w:r>
    </w:p>
    <w:p>
      <w:pPr>
        <w:rPr>
          <w:rFonts w:hint="eastAsia"/>
          <w:b/>
          <w:sz w:val="30"/>
          <w:szCs w:val="30"/>
          <w:highlight w:val="none"/>
        </w:rPr>
        <w:sectPr>
          <w:pgSz w:w="11906" w:h="16838"/>
          <w:pgMar w:top="1440" w:right="1080" w:bottom="1440" w:left="1080" w:header="851" w:footer="992" w:gutter="0"/>
          <w:cols w:space="425" w:num="1"/>
          <w:docGrid w:type="lines" w:linePitch="312" w:charSpace="0"/>
        </w:sectPr>
      </w:pPr>
    </w:p>
    <w:p>
      <w:pPr>
        <w:pStyle w:val="7"/>
        <w:jc w:val="left"/>
        <w:outlineLvl w:val="0"/>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10</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承诺函</w:t>
      </w:r>
    </w:p>
    <w:p>
      <w:pPr>
        <w:jc w:val="center"/>
        <w:rPr>
          <w:rFonts w:hint="default"/>
          <w:lang w:val="en-US" w:eastAsia="zh-CN"/>
        </w:rPr>
      </w:pPr>
      <w:r>
        <w:drawing>
          <wp:inline distT="0" distB="0" distL="114300" distR="114300">
            <wp:extent cx="5864225" cy="8267700"/>
            <wp:effectExtent l="0" t="0" r="3175" b="0"/>
            <wp:docPr id="1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pic:cNvPicPr>
                      <a:picLocks noChangeAspect="1"/>
                    </pic:cNvPicPr>
                  </pic:nvPicPr>
                  <pic:blipFill>
                    <a:blip r:embed="rId84"/>
                    <a:stretch>
                      <a:fillRect/>
                    </a:stretch>
                  </pic:blipFill>
                  <pic:spPr>
                    <a:xfrm>
                      <a:off x="0" y="0"/>
                      <a:ext cx="5864225" cy="8267700"/>
                    </a:xfrm>
                    <a:prstGeom prst="rect">
                      <a:avLst/>
                    </a:prstGeom>
                    <a:noFill/>
                    <a:ln>
                      <a:noFill/>
                    </a:ln>
                  </pic:spPr>
                </pic:pic>
              </a:graphicData>
            </a:graphic>
          </wp:inline>
        </w:drawing>
      </w:r>
    </w:p>
    <w:p>
      <w:pPr>
        <w:rPr>
          <w:rFonts w:hint="eastAsia"/>
          <w:b/>
          <w:sz w:val="30"/>
          <w:szCs w:val="30"/>
          <w:highlight w:val="none"/>
        </w:rPr>
        <w:sectPr>
          <w:pgSz w:w="11906" w:h="16838"/>
          <w:pgMar w:top="1440" w:right="1080" w:bottom="1440" w:left="1080" w:header="851" w:footer="992" w:gutter="0"/>
          <w:cols w:space="425" w:num="1"/>
          <w:docGrid w:type="lines" w:linePitch="312" w:charSpace="0"/>
        </w:sectPr>
      </w:pP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11</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忠防镇人民政府关于划定饮用水水源地保护区的报告</w:t>
      </w:r>
    </w:p>
    <w:p>
      <w:pP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drawing>
          <wp:inline distT="0" distB="0" distL="114300" distR="114300">
            <wp:extent cx="5981065" cy="8336915"/>
            <wp:effectExtent l="0" t="0" r="635" b="6985"/>
            <wp:docPr id="167" name="图片 167" descr="eb36b38cc84ec48393a91d6e2bc7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eb36b38cc84ec48393a91d6e2bc7cca"/>
                    <pic:cNvPicPr>
                      <a:picLocks noChangeAspect="1"/>
                    </pic:cNvPicPr>
                  </pic:nvPicPr>
                  <pic:blipFill>
                    <a:blip r:embed="rId85"/>
                    <a:srcRect l="1067" t="843" r="2258" b="1179"/>
                    <a:stretch>
                      <a:fillRect/>
                    </a:stretch>
                  </pic:blipFill>
                  <pic:spPr>
                    <a:xfrm>
                      <a:off x="0" y="0"/>
                      <a:ext cx="5981065" cy="8336915"/>
                    </a:xfrm>
                    <a:prstGeom prst="rect">
                      <a:avLst/>
                    </a:prstGeom>
                  </pic:spPr>
                </pic:pic>
              </a:graphicData>
            </a:graphic>
          </wp:inline>
        </w:drawing>
      </w:r>
    </w:p>
    <w:p>
      <w:pP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br w:type="page"/>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12</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临湘市水利局关于划定饮用水水源地保护区意见</w:t>
      </w:r>
    </w:p>
    <w:p>
      <w:pP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drawing>
          <wp:inline distT="0" distB="0" distL="114300" distR="114300">
            <wp:extent cx="6186805" cy="8509000"/>
            <wp:effectExtent l="0" t="0" r="4445" b="6350"/>
            <wp:docPr id="128" name="图片 128" descr="6a166fd82e27576ef49cfce1a29ad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6a166fd82e27576ef49cfce1a29adfc"/>
                    <pic:cNvPicPr>
                      <a:picLocks noChangeAspect="1"/>
                    </pic:cNvPicPr>
                  </pic:nvPicPr>
                  <pic:blipFill>
                    <a:blip r:embed="rId86"/>
                    <a:stretch>
                      <a:fillRect/>
                    </a:stretch>
                  </pic:blipFill>
                  <pic:spPr>
                    <a:xfrm>
                      <a:off x="0" y="0"/>
                      <a:ext cx="6186805" cy="8509000"/>
                    </a:xfrm>
                    <a:prstGeom prst="rect">
                      <a:avLst/>
                    </a:prstGeom>
                  </pic:spPr>
                </pic:pic>
              </a:graphicData>
            </a:graphic>
          </wp:inline>
        </w:drawing>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13</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临湘分局关于划定饮用水水源地保护区的报告</w:t>
      </w:r>
    </w:p>
    <w:p>
      <w:pP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drawing>
          <wp:inline distT="0" distB="0" distL="114300" distR="114300">
            <wp:extent cx="5925820" cy="8485505"/>
            <wp:effectExtent l="0" t="0" r="17780" b="10795"/>
            <wp:docPr id="42" name="图片 42"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0001"/>
                    <pic:cNvPicPr>
                      <a:picLocks noChangeAspect="1"/>
                    </pic:cNvPicPr>
                  </pic:nvPicPr>
                  <pic:blipFill>
                    <a:blip r:embed="rId87"/>
                    <a:stretch>
                      <a:fillRect/>
                    </a:stretch>
                  </pic:blipFill>
                  <pic:spPr>
                    <a:xfrm>
                      <a:off x="0" y="0"/>
                      <a:ext cx="5925820" cy="8485505"/>
                    </a:xfrm>
                    <a:prstGeom prst="rect">
                      <a:avLst/>
                    </a:prstGeom>
                  </pic:spPr>
                </pic:pic>
              </a:graphicData>
            </a:graphic>
          </wp:inline>
        </w:drawing>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drawing>
          <wp:inline distT="0" distB="0" distL="114300" distR="114300">
            <wp:extent cx="6182995" cy="8833485"/>
            <wp:effectExtent l="0" t="0" r="8255" b="5715"/>
            <wp:docPr id="61" name="图片 61"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0002"/>
                    <pic:cNvPicPr>
                      <a:picLocks noChangeAspect="1"/>
                    </pic:cNvPicPr>
                  </pic:nvPicPr>
                  <pic:blipFill>
                    <a:blip r:embed="rId88"/>
                    <a:stretch>
                      <a:fillRect/>
                    </a:stretch>
                  </pic:blipFill>
                  <pic:spPr>
                    <a:xfrm>
                      <a:off x="0" y="0"/>
                      <a:ext cx="6182995" cy="8833485"/>
                    </a:xfrm>
                    <a:prstGeom prst="rect">
                      <a:avLst/>
                    </a:prstGeom>
                  </pic:spPr>
                </pic:pic>
              </a:graphicData>
            </a:graphic>
          </wp:inline>
        </w:drawing>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br w:type="page"/>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14</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取水许可批复</w:t>
      </w:r>
    </w:p>
    <w:p>
      <w:pP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drawing>
          <wp:inline distT="0" distB="0" distL="114300" distR="114300">
            <wp:extent cx="5904230" cy="8397240"/>
            <wp:effectExtent l="0" t="0" r="0" b="0"/>
            <wp:docPr id="10" name="图片 10"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001"/>
                    <pic:cNvPicPr>
                      <a:picLocks noChangeAspect="1"/>
                    </pic:cNvPicPr>
                  </pic:nvPicPr>
                  <pic:blipFill>
                    <a:blip r:embed="rId89"/>
                    <a:srcRect l="1827" t="1365" r="2730" b="2621"/>
                    <a:stretch>
                      <a:fillRect/>
                    </a:stretch>
                  </pic:blipFill>
                  <pic:spPr>
                    <a:xfrm>
                      <a:off x="0" y="0"/>
                      <a:ext cx="5904230" cy="8397240"/>
                    </a:xfrm>
                    <a:prstGeom prst="rect">
                      <a:avLst/>
                    </a:prstGeom>
                  </pic:spPr>
                </pic:pic>
              </a:graphicData>
            </a:graphic>
          </wp:inline>
        </w:drawing>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drawing>
          <wp:inline distT="0" distB="0" distL="114300" distR="114300">
            <wp:extent cx="6186170" cy="8745855"/>
            <wp:effectExtent l="0" t="0" r="5080" b="17145"/>
            <wp:docPr id="18" name="图片 18"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002"/>
                    <pic:cNvPicPr>
                      <a:picLocks noChangeAspect="1"/>
                    </pic:cNvPicPr>
                  </pic:nvPicPr>
                  <pic:blipFill>
                    <a:blip r:embed="rId90"/>
                    <a:stretch>
                      <a:fillRect/>
                    </a:stretch>
                  </pic:blipFill>
                  <pic:spPr>
                    <a:xfrm>
                      <a:off x="0" y="0"/>
                      <a:ext cx="6186170" cy="8745855"/>
                    </a:xfrm>
                    <a:prstGeom prst="rect">
                      <a:avLst/>
                    </a:prstGeom>
                  </pic:spPr>
                </pic:pic>
              </a:graphicData>
            </a:graphic>
          </wp:inline>
        </w:drawing>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br w:type="page"/>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15</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专家意见及专家签到表</w:t>
      </w:r>
    </w:p>
    <w:p>
      <w:pPr>
        <w:pStyle w:val="2"/>
        <w:jc w:val="center"/>
      </w:pPr>
      <w:r>
        <w:drawing>
          <wp:inline distT="0" distB="0" distL="114300" distR="114300">
            <wp:extent cx="6111875" cy="8463915"/>
            <wp:effectExtent l="0" t="0" r="3175" b="13335"/>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91"/>
                    <a:stretch>
                      <a:fillRect/>
                    </a:stretch>
                  </pic:blipFill>
                  <pic:spPr>
                    <a:xfrm>
                      <a:off x="0" y="0"/>
                      <a:ext cx="6111875" cy="8463915"/>
                    </a:xfrm>
                    <a:prstGeom prst="rect">
                      <a:avLst/>
                    </a:prstGeom>
                    <a:noFill/>
                    <a:ln>
                      <a:noFill/>
                    </a:ln>
                  </pic:spPr>
                </pic:pic>
              </a:graphicData>
            </a:graphic>
          </wp:inline>
        </w:drawing>
      </w:r>
      <w:r>
        <w:drawing>
          <wp:inline distT="0" distB="0" distL="114300" distR="114300">
            <wp:extent cx="6096000" cy="8627110"/>
            <wp:effectExtent l="0" t="0" r="0" b="2540"/>
            <wp:docPr id="1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
                    <pic:cNvPicPr>
                      <a:picLocks noChangeAspect="1"/>
                    </pic:cNvPicPr>
                  </pic:nvPicPr>
                  <pic:blipFill>
                    <a:blip r:embed="rId92"/>
                    <a:stretch>
                      <a:fillRect/>
                    </a:stretch>
                  </pic:blipFill>
                  <pic:spPr>
                    <a:xfrm>
                      <a:off x="0" y="0"/>
                      <a:ext cx="6096000" cy="8627110"/>
                    </a:xfrm>
                    <a:prstGeom prst="rect">
                      <a:avLst/>
                    </a:prstGeom>
                    <a:noFill/>
                    <a:ln>
                      <a:noFill/>
                    </a:ln>
                  </pic:spPr>
                </pic:pic>
              </a:graphicData>
            </a:graphic>
          </wp:inline>
        </w:drawing>
      </w:r>
      <w:r>
        <w:drawing>
          <wp:inline distT="0" distB="0" distL="114300" distR="114300">
            <wp:extent cx="5715000" cy="8837295"/>
            <wp:effectExtent l="0" t="0" r="0" b="1905"/>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pic:cNvPicPr>
                      <a:picLocks noChangeAspect="1"/>
                    </pic:cNvPicPr>
                  </pic:nvPicPr>
                  <pic:blipFill>
                    <a:blip r:embed="rId93"/>
                    <a:stretch>
                      <a:fillRect/>
                    </a:stretch>
                  </pic:blipFill>
                  <pic:spPr>
                    <a:xfrm>
                      <a:off x="0" y="0"/>
                      <a:ext cx="5715000" cy="8837295"/>
                    </a:xfrm>
                    <a:prstGeom prst="rect">
                      <a:avLst/>
                    </a:prstGeom>
                    <a:noFill/>
                    <a:ln>
                      <a:noFill/>
                    </a:ln>
                  </pic:spPr>
                </pic:pic>
              </a:graphicData>
            </a:graphic>
          </wp:inline>
        </w:drawing>
      </w:r>
    </w:p>
    <w:p>
      <w:pPr>
        <w:pStyle w:val="7"/>
        <w:jc w:val="left"/>
        <w:outlineLvl w:val="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16</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修改清单及专家复核签字</w:t>
      </w:r>
    </w:p>
    <w:p>
      <w:pPr>
        <w:jc w:val="center"/>
        <w:rPr>
          <w:rFonts w:hint="default"/>
          <w:lang w:val="en-US" w:eastAsia="zh-CN"/>
        </w:rPr>
      </w:pPr>
      <w:r>
        <w:drawing>
          <wp:inline distT="0" distB="0" distL="114300" distR="114300">
            <wp:extent cx="6082030" cy="8305165"/>
            <wp:effectExtent l="0" t="0" r="13970" b="63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94"/>
                    <a:stretch>
                      <a:fillRect/>
                    </a:stretch>
                  </pic:blipFill>
                  <pic:spPr>
                    <a:xfrm>
                      <a:off x="0" y="0"/>
                      <a:ext cx="6082030" cy="8305165"/>
                    </a:xfrm>
                    <a:prstGeom prst="rect">
                      <a:avLst/>
                    </a:prstGeom>
                    <a:noFill/>
                    <a:ln>
                      <a:noFill/>
                    </a:ln>
                  </pic:spPr>
                </pic:pic>
              </a:graphicData>
            </a:graphic>
          </wp:inline>
        </w:drawing>
      </w:r>
      <w:bookmarkStart w:id="17" w:name="_GoBack"/>
      <w:bookmarkEnd w:id="17"/>
    </w:p>
    <w:sectPr>
      <w:pgSz w:w="11906" w:h="16838"/>
      <w:pgMar w:top="1440" w:right="1080" w:bottom="1440" w:left="108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Verdana">
    <w:panose1 w:val="020B0604030504040204"/>
    <w:charset w:val="00"/>
    <w:family w:val="swiss"/>
    <w:pitch w:val="default"/>
    <w:sig w:usb0="A00006FF" w:usb1="4000205B" w:usb2="00000010" w:usb3="00000000" w:csb0="2000019F" w:csb1="00000000"/>
  </w:font>
  <w:font w:name="Cambria">
    <w:panose1 w:val="02040503050406030204"/>
    <w:charset w:val="00"/>
    <w:family w:val="roman"/>
    <w:pitch w:val="default"/>
    <w:sig w:usb0="E00006FF" w:usb1="420024FF" w:usb2="02000000" w:usb3="00000000" w:csb0="2000019F" w:csb1="00000000"/>
  </w:font>
  <w:font w:name="TT5A56o00">
    <w:altName w:val="Times New Roman"/>
    <w:panose1 w:val="00000000000000000000"/>
    <w:charset w:val="00"/>
    <w:family w:val="roman"/>
    <w:pitch w:val="default"/>
    <w:sig w:usb0="00000000" w:usb1="00000000" w:usb2="00000000"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TimesNewRomanPSMT">
    <w:altName w:val="Times New Roman"/>
    <w:panose1 w:val="00000000000000000000"/>
    <w:charset w:val="80"/>
    <w:family w:val="auto"/>
    <w:pitch w:val="default"/>
    <w:sig w:usb0="00000000" w:usb1="00000000" w:usb2="00000000" w:usb3="00000000" w:csb0="00020000" w:csb1="00000000"/>
  </w:font>
  <w:font w:name="???-18030">
    <w:altName w:val="Times New Roman"/>
    <w:panose1 w:val="00000000000000000000"/>
    <w:charset w:val="00"/>
    <w:family w:val="auto"/>
    <w:pitch w:val="default"/>
    <w:sig w:usb0="00000000" w:usb1="00000000" w:usb2="00000000" w:usb3="00000000" w:csb0="00000001"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mc:AlternateContent>
        <mc:Choice Requires="wps">
          <w:drawing>
            <wp:anchor distT="0" distB="0" distL="114300" distR="114300" simplePos="0" relativeHeight="251659264" behindDoc="0" locked="0" layoutInCell="1" allowOverlap="1">
              <wp:simplePos x="0" y="0"/>
              <wp:positionH relativeFrom="margin">
                <wp:posOffset>3056890</wp:posOffset>
              </wp:positionH>
              <wp:positionV relativeFrom="paragraph">
                <wp:posOffset>1905</wp:posOffset>
              </wp:positionV>
              <wp:extent cx="182880" cy="1828800"/>
              <wp:effectExtent l="0" t="0" r="7620" b="11430"/>
              <wp:wrapNone/>
              <wp:docPr id="3" name="文本框 3"/>
              <wp:cNvGraphicFramePr/>
              <a:graphic xmlns:a="http://schemas.openxmlformats.org/drawingml/2006/main">
                <a:graphicData uri="http://schemas.microsoft.com/office/word/2010/wordprocessingShape">
                  <wps:wsp>
                    <wps:cNvSpPr txBox="1"/>
                    <wps:spPr>
                      <a:xfrm>
                        <a:off x="0" y="0"/>
                        <a:ext cx="18288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4</w:t>
                          </w:r>
                          <w:r>
                            <w:rPr>
                              <w:sz w:val="21"/>
                              <w:szCs w:val="21"/>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40.7pt;margin-top:0.15pt;height:144pt;width:14.4pt;mso-position-horizontal-relative:margin;z-index:251659264;mso-width-relative:page;mso-height-relative:page;" filled="f" stroked="f" coordsize="21600,21600" o:gfxdata="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9BqJ09cAAAAIAQAADwAAAAAAAAABACAAAAAiAAAAZHJzL2Rvd25yZXYueG1sUEsBAhQA&#10;FAAAAAgAh07iQCMD92MsAgAAVgQAAA4AAAAAAAAAAQAgAAAAJgEAAGRycy9lMm9Eb2MueG1sUEsF&#10;BgAAAAAGAAYAWQEAAMQFAAAAAA==&#10;">
              <v:fill on="f" focussize="0,0"/>
              <v:stroke on="f" weight="0.5pt"/>
              <v:imagedata o:title=""/>
              <o:lock v:ext="edit" aspectratio="f"/>
              <v:textbox inset="0mm,0mm,0mm,0mm" style="mso-fit-shape-to-text:t;">
                <w:txbxContent>
                  <w:p>
                    <w:pPr>
                      <w:pStyle w:val="17"/>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4</w:t>
                    </w:r>
                    <w:r>
                      <w:rPr>
                        <w:sz w:val="21"/>
                        <w:szCs w:val="21"/>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969696" w:sz="4" w:space="1"/>
      </w:pBdr>
      <w:jc w:val="center"/>
      <w:rPr>
        <w:rFonts w:hint="eastAsia" w:eastAsia="宋体"/>
        <w:sz w:val="21"/>
        <w:szCs w:val="21"/>
        <w:lang w:eastAsia="zh-CN"/>
      </w:rPr>
    </w:pPr>
    <w:r>
      <w:rPr>
        <w:rFonts w:hint="eastAsia"/>
        <w:sz w:val="21"/>
        <w:szCs w:val="21"/>
        <w:lang w:val="en-US" w:eastAsia="zh-CN"/>
      </w:rPr>
      <w:t>临湘市忠防镇木形片区集中供水工程（一期）项目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6"/>
    <w:multiLevelType w:val="multilevel"/>
    <w:tmpl w:val="00000006"/>
    <w:lvl w:ilvl="0" w:tentative="0">
      <w:start w:val="1"/>
      <w:numFmt w:val="lowerLetter"/>
      <w:lvlText w:val="%1."/>
      <w:lvlJc w:val="left"/>
      <w:pPr>
        <w:tabs>
          <w:tab w:val="left" w:pos="420"/>
        </w:tabs>
        <w:ind w:left="0" w:firstLine="539"/>
      </w:pPr>
      <w:rPr>
        <w:rFonts w:hint="eastAsia"/>
      </w:rPr>
    </w:lvl>
    <w:lvl w:ilvl="1" w:tentative="0">
      <w:start w:val="1"/>
      <w:numFmt w:val="lowerLetter"/>
      <w:lvlText w:val="%2)"/>
      <w:lvlJc w:val="left"/>
      <w:pPr>
        <w:tabs>
          <w:tab w:val="left" w:pos="840"/>
        </w:tabs>
        <w:ind w:left="840" w:hanging="420"/>
      </w:pPr>
    </w:lvl>
    <w:lvl w:ilvl="2" w:tentative="0">
      <w:start w:val="1"/>
      <w:numFmt w:val="lowerRoman"/>
      <w:pStyle w:val="70"/>
      <w:lvlText w:val="%3."/>
      <w:lvlJc w:val="right"/>
      <w:pPr>
        <w:tabs>
          <w:tab w:val="left" w:pos="1260"/>
        </w:tabs>
        <w:ind w:left="1260" w:hanging="420"/>
      </w:pPr>
    </w:lvl>
    <w:lvl w:ilvl="3" w:tentative="0">
      <w:start w:val="1"/>
      <w:numFmt w:val="decimal"/>
      <w:pStyle w:val="69"/>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0D663E45"/>
    <w:multiLevelType w:val="multilevel"/>
    <w:tmpl w:val="0D663E45"/>
    <w:lvl w:ilvl="0" w:tentative="0">
      <w:start w:val="1"/>
      <w:numFmt w:val="decimal"/>
      <w:suff w:val="space"/>
      <w:lvlText w:val="%1"/>
      <w:lvlJc w:val="left"/>
      <w:pPr>
        <w:ind w:left="425" w:hanging="425"/>
      </w:pPr>
      <w:rPr>
        <w:rFonts w:hint="eastAsia"/>
      </w:rPr>
    </w:lvl>
    <w:lvl w:ilvl="1" w:tentative="0">
      <w:start w:val="1"/>
      <w:numFmt w:val="decimal"/>
      <w:suff w:val="space"/>
      <w:lvlText w:val="%1.%2"/>
      <w:lvlJc w:val="left"/>
      <w:pPr>
        <w:ind w:left="567" w:hanging="567"/>
      </w:pPr>
      <w:rPr>
        <w:rFonts w:hint="eastAsia"/>
      </w:rPr>
    </w:lvl>
    <w:lvl w:ilvl="2" w:tentative="0">
      <w:start w:val="1"/>
      <w:numFmt w:val="decimal"/>
      <w:pStyle w:val="6"/>
      <w:suff w:val="space"/>
      <w:lvlText w:val="%1.%2.%3"/>
      <w:lvlJc w:val="left"/>
      <w:pPr>
        <w:ind w:left="709" w:hanging="709"/>
      </w:pPr>
      <w:rPr>
        <w:rFonts w:hint="eastAsia"/>
      </w:rPr>
    </w:lvl>
    <w:lvl w:ilvl="3" w:tentative="0">
      <w:start w:val="1"/>
      <w:numFmt w:val="decimal"/>
      <w:lvlText w:val="%1.%2.%3.%4"/>
      <w:lvlJc w:val="left"/>
      <w:pPr>
        <w:tabs>
          <w:tab w:val="left" w:pos="0"/>
        </w:tabs>
        <w:ind w:left="0" w:firstLine="0"/>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
    <w:nsid w:val="18082E4D"/>
    <w:multiLevelType w:val="singleLevel"/>
    <w:tmpl w:val="18082E4D"/>
    <w:lvl w:ilvl="0" w:tentative="0">
      <w:start w:val="2"/>
      <w:numFmt w:val="decimal"/>
      <w:suff w:val="nothing"/>
      <w:lvlText w:val="（%1）"/>
      <w:lvlJc w:val="left"/>
    </w:lvl>
  </w:abstractNum>
  <w:abstractNum w:abstractNumId="3">
    <w:nsid w:val="5F68683E"/>
    <w:multiLevelType w:val="singleLevel"/>
    <w:tmpl w:val="5F68683E"/>
    <w:lvl w:ilvl="0" w:tentative="0">
      <w:start w:val="1"/>
      <w:numFmt w:val="decimal"/>
      <w:suff w:val="nothing"/>
      <w:lvlText w:val="%1）"/>
      <w:lvlJc w:val="left"/>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hlZmI5YjkyNzI1YjU2NTRiN2ZjYjRkNjMxOTc5MTgifQ=="/>
  </w:docVars>
  <w:rsids>
    <w:rsidRoot w:val="000552CE"/>
    <w:rsid w:val="00002372"/>
    <w:rsid w:val="00004218"/>
    <w:rsid w:val="00004BB1"/>
    <w:rsid w:val="00007E5B"/>
    <w:rsid w:val="000157AF"/>
    <w:rsid w:val="00015EAE"/>
    <w:rsid w:val="000207A5"/>
    <w:rsid w:val="00021772"/>
    <w:rsid w:val="00021806"/>
    <w:rsid w:val="00022821"/>
    <w:rsid w:val="00022B84"/>
    <w:rsid w:val="00027C40"/>
    <w:rsid w:val="00040769"/>
    <w:rsid w:val="000464A3"/>
    <w:rsid w:val="000539D1"/>
    <w:rsid w:val="00053ECB"/>
    <w:rsid w:val="00053FB9"/>
    <w:rsid w:val="000552CE"/>
    <w:rsid w:val="000569DB"/>
    <w:rsid w:val="0007446D"/>
    <w:rsid w:val="000774EF"/>
    <w:rsid w:val="000804A7"/>
    <w:rsid w:val="00080FD3"/>
    <w:rsid w:val="000812BC"/>
    <w:rsid w:val="00085389"/>
    <w:rsid w:val="00091621"/>
    <w:rsid w:val="00092D82"/>
    <w:rsid w:val="00095CAE"/>
    <w:rsid w:val="000A36D4"/>
    <w:rsid w:val="000B6816"/>
    <w:rsid w:val="000C170E"/>
    <w:rsid w:val="000D2328"/>
    <w:rsid w:val="000D50AF"/>
    <w:rsid w:val="000E015D"/>
    <w:rsid w:val="000E15D3"/>
    <w:rsid w:val="000E1774"/>
    <w:rsid w:val="000E27A4"/>
    <w:rsid w:val="000F0F67"/>
    <w:rsid w:val="000F24C2"/>
    <w:rsid w:val="000F57E6"/>
    <w:rsid w:val="00103C2F"/>
    <w:rsid w:val="00105C22"/>
    <w:rsid w:val="00105D01"/>
    <w:rsid w:val="00110DEA"/>
    <w:rsid w:val="00113E1A"/>
    <w:rsid w:val="00124CA2"/>
    <w:rsid w:val="0012656F"/>
    <w:rsid w:val="00130F8A"/>
    <w:rsid w:val="001338EB"/>
    <w:rsid w:val="00133E23"/>
    <w:rsid w:val="00141498"/>
    <w:rsid w:val="0014311C"/>
    <w:rsid w:val="00145228"/>
    <w:rsid w:val="00160CBD"/>
    <w:rsid w:val="001652A9"/>
    <w:rsid w:val="00166C55"/>
    <w:rsid w:val="001710EA"/>
    <w:rsid w:val="00172D63"/>
    <w:rsid w:val="00173A2B"/>
    <w:rsid w:val="00174D31"/>
    <w:rsid w:val="0018136D"/>
    <w:rsid w:val="00190512"/>
    <w:rsid w:val="001A12B8"/>
    <w:rsid w:val="001A2785"/>
    <w:rsid w:val="001C6E93"/>
    <w:rsid w:val="001C7949"/>
    <w:rsid w:val="001D74A9"/>
    <w:rsid w:val="001F0C95"/>
    <w:rsid w:val="00203560"/>
    <w:rsid w:val="00207C6F"/>
    <w:rsid w:val="00215482"/>
    <w:rsid w:val="00221E67"/>
    <w:rsid w:val="002355B9"/>
    <w:rsid w:val="00235997"/>
    <w:rsid w:val="002446DE"/>
    <w:rsid w:val="0024644F"/>
    <w:rsid w:val="00254C69"/>
    <w:rsid w:val="00273A2D"/>
    <w:rsid w:val="00274809"/>
    <w:rsid w:val="0027673F"/>
    <w:rsid w:val="00285A56"/>
    <w:rsid w:val="00291D3A"/>
    <w:rsid w:val="00292768"/>
    <w:rsid w:val="00292D6F"/>
    <w:rsid w:val="002943EB"/>
    <w:rsid w:val="002A17B2"/>
    <w:rsid w:val="002A37B2"/>
    <w:rsid w:val="002A7A2F"/>
    <w:rsid w:val="002A7E4D"/>
    <w:rsid w:val="002B04B6"/>
    <w:rsid w:val="002B3E12"/>
    <w:rsid w:val="002B5C65"/>
    <w:rsid w:val="002C2341"/>
    <w:rsid w:val="002C47B4"/>
    <w:rsid w:val="002C4F2C"/>
    <w:rsid w:val="002D1702"/>
    <w:rsid w:val="002D1DF6"/>
    <w:rsid w:val="002D2161"/>
    <w:rsid w:val="002D3808"/>
    <w:rsid w:val="002D6C33"/>
    <w:rsid w:val="002E2AEF"/>
    <w:rsid w:val="002E4C88"/>
    <w:rsid w:val="002E7705"/>
    <w:rsid w:val="002E78B8"/>
    <w:rsid w:val="002F0184"/>
    <w:rsid w:val="002F19D5"/>
    <w:rsid w:val="002F3956"/>
    <w:rsid w:val="002F6BB2"/>
    <w:rsid w:val="003000F9"/>
    <w:rsid w:val="00305FDA"/>
    <w:rsid w:val="00310F09"/>
    <w:rsid w:val="00311E44"/>
    <w:rsid w:val="00312185"/>
    <w:rsid w:val="00312C37"/>
    <w:rsid w:val="00321F49"/>
    <w:rsid w:val="0032334E"/>
    <w:rsid w:val="003252BC"/>
    <w:rsid w:val="003259F4"/>
    <w:rsid w:val="00336B68"/>
    <w:rsid w:val="0034120D"/>
    <w:rsid w:val="00343008"/>
    <w:rsid w:val="00344A39"/>
    <w:rsid w:val="0035048D"/>
    <w:rsid w:val="003541F2"/>
    <w:rsid w:val="00355C08"/>
    <w:rsid w:val="00356017"/>
    <w:rsid w:val="00375E8B"/>
    <w:rsid w:val="003849ED"/>
    <w:rsid w:val="00386875"/>
    <w:rsid w:val="00396438"/>
    <w:rsid w:val="00397042"/>
    <w:rsid w:val="003A550E"/>
    <w:rsid w:val="003A5ADD"/>
    <w:rsid w:val="003B35B0"/>
    <w:rsid w:val="003B38A8"/>
    <w:rsid w:val="003B49B0"/>
    <w:rsid w:val="003B4A2B"/>
    <w:rsid w:val="003B4C77"/>
    <w:rsid w:val="003B4D09"/>
    <w:rsid w:val="003B6A2F"/>
    <w:rsid w:val="003B6F66"/>
    <w:rsid w:val="003C5026"/>
    <w:rsid w:val="003D0683"/>
    <w:rsid w:val="003E562E"/>
    <w:rsid w:val="003E627C"/>
    <w:rsid w:val="003E7C1F"/>
    <w:rsid w:val="003F1688"/>
    <w:rsid w:val="003F23A3"/>
    <w:rsid w:val="003F4F42"/>
    <w:rsid w:val="003F59E1"/>
    <w:rsid w:val="003F6841"/>
    <w:rsid w:val="0040192F"/>
    <w:rsid w:val="004041E0"/>
    <w:rsid w:val="00411283"/>
    <w:rsid w:val="00414158"/>
    <w:rsid w:val="00414D95"/>
    <w:rsid w:val="00415260"/>
    <w:rsid w:val="004179D7"/>
    <w:rsid w:val="00426732"/>
    <w:rsid w:val="00426AE1"/>
    <w:rsid w:val="00427C21"/>
    <w:rsid w:val="00431B15"/>
    <w:rsid w:val="004342B2"/>
    <w:rsid w:val="00435BE2"/>
    <w:rsid w:val="0045100D"/>
    <w:rsid w:val="00451C85"/>
    <w:rsid w:val="0045275D"/>
    <w:rsid w:val="004675D5"/>
    <w:rsid w:val="00467E18"/>
    <w:rsid w:val="004723DD"/>
    <w:rsid w:val="00472FA7"/>
    <w:rsid w:val="00477470"/>
    <w:rsid w:val="00480B85"/>
    <w:rsid w:val="00482237"/>
    <w:rsid w:val="0048435F"/>
    <w:rsid w:val="0048455F"/>
    <w:rsid w:val="00485441"/>
    <w:rsid w:val="00492182"/>
    <w:rsid w:val="004928A9"/>
    <w:rsid w:val="0049586E"/>
    <w:rsid w:val="00497C37"/>
    <w:rsid w:val="004A2B89"/>
    <w:rsid w:val="004A3BAF"/>
    <w:rsid w:val="004A3D8A"/>
    <w:rsid w:val="004A4A95"/>
    <w:rsid w:val="004A4D2D"/>
    <w:rsid w:val="004A5689"/>
    <w:rsid w:val="004A65E0"/>
    <w:rsid w:val="004B2779"/>
    <w:rsid w:val="004B2D0C"/>
    <w:rsid w:val="004B31DF"/>
    <w:rsid w:val="004B491F"/>
    <w:rsid w:val="004B746E"/>
    <w:rsid w:val="004C0D4C"/>
    <w:rsid w:val="004C1809"/>
    <w:rsid w:val="004C6F1D"/>
    <w:rsid w:val="004C7E52"/>
    <w:rsid w:val="004D5AFE"/>
    <w:rsid w:val="004D6F7B"/>
    <w:rsid w:val="004D79B4"/>
    <w:rsid w:val="004D7D34"/>
    <w:rsid w:val="004D7F7B"/>
    <w:rsid w:val="004E51CF"/>
    <w:rsid w:val="004F0E60"/>
    <w:rsid w:val="00500B6C"/>
    <w:rsid w:val="0050347E"/>
    <w:rsid w:val="005036A7"/>
    <w:rsid w:val="00505697"/>
    <w:rsid w:val="00507F78"/>
    <w:rsid w:val="00515C8A"/>
    <w:rsid w:val="00525C07"/>
    <w:rsid w:val="0053081B"/>
    <w:rsid w:val="0053364F"/>
    <w:rsid w:val="00537EFB"/>
    <w:rsid w:val="00540971"/>
    <w:rsid w:val="00545329"/>
    <w:rsid w:val="00552BFB"/>
    <w:rsid w:val="00557396"/>
    <w:rsid w:val="005776C4"/>
    <w:rsid w:val="00582273"/>
    <w:rsid w:val="00583F0B"/>
    <w:rsid w:val="00584E7C"/>
    <w:rsid w:val="00592837"/>
    <w:rsid w:val="005A0DD7"/>
    <w:rsid w:val="005A6C3C"/>
    <w:rsid w:val="005B1F86"/>
    <w:rsid w:val="005C0CF2"/>
    <w:rsid w:val="005C59EE"/>
    <w:rsid w:val="005C6A77"/>
    <w:rsid w:val="005D113C"/>
    <w:rsid w:val="005D6875"/>
    <w:rsid w:val="005E0D49"/>
    <w:rsid w:val="005E3072"/>
    <w:rsid w:val="005E6F31"/>
    <w:rsid w:val="005E72B6"/>
    <w:rsid w:val="005E772E"/>
    <w:rsid w:val="005E77AB"/>
    <w:rsid w:val="005E7D62"/>
    <w:rsid w:val="005F2F94"/>
    <w:rsid w:val="005F493A"/>
    <w:rsid w:val="005F61F3"/>
    <w:rsid w:val="00604FE5"/>
    <w:rsid w:val="00611EF0"/>
    <w:rsid w:val="0061386C"/>
    <w:rsid w:val="00624C52"/>
    <w:rsid w:val="00624D8E"/>
    <w:rsid w:val="00627339"/>
    <w:rsid w:val="00631CC3"/>
    <w:rsid w:val="006469A9"/>
    <w:rsid w:val="00646C78"/>
    <w:rsid w:val="00647FE0"/>
    <w:rsid w:val="00663D4D"/>
    <w:rsid w:val="00666A21"/>
    <w:rsid w:val="0067475E"/>
    <w:rsid w:val="00680976"/>
    <w:rsid w:val="006820AD"/>
    <w:rsid w:val="00684B8B"/>
    <w:rsid w:val="00690548"/>
    <w:rsid w:val="00693A79"/>
    <w:rsid w:val="00694E8A"/>
    <w:rsid w:val="006A589B"/>
    <w:rsid w:val="006A7035"/>
    <w:rsid w:val="006B34F7"/>
    <w:rsid w:val="006B4FB7"/>
    <w:rsid w:val="006B6E31"/>
    <w:rsid w:val="006C2AAF"/>
    <w:rsid w:val="006C4AF8"/>
    <w:rsid w:val="006D444B"/>
    <w:rsid w:val="006D73AB"/>
    <w:rsid w:val="006E1E06"/>
    <w:rsid w:val="006E3026"/>
    <w:rsid w:val="006F5528"/>
    <w:rsid w:val="006F560F"/>
    <w:rsid w:val="006F6CA2"/>
    <w:rsid w:val="00700AC2"/>
    <w:rsid w:val="00702CC7"/>
    <w:rsid w:val="00710D7C"/>
    <w:rsid w:val="00713E44"/>
    <w:rsid w:val="00727332"/>
    <w:rsid w:val="00727988"/>
    <w:rsid w:val="00732153"/>
    <w:rsid w:val="00733E26"/>
    <w:rsid w:val="007413A2"/>
    <w:rsid w:val="00742C6D"/>
    <w:rsid w:val="007436EF"/>
    <w:rsid w:val="00746AFC"/>
    <w:rsid w:val="00753D20"/>
    <w:rsid w:val="007544FA"/>
    <w:rsid w:val="00754913"/>
    <w:rsid w:val="007636C9"/>
    <w:rsid w:val="00766EAF"/>
    <w:rsid w:val="00780684"/>
    <w:rsid w:val="00792281"/>
    <w:rsid w:val="007A4F4C"/>
    <w:rsid w:val="007B0541"/>
    <w:rsid w:val="007B0BEF"/>
    <w:rsid w:val="007C588E"/>
    <w:rsid w:val="007D0028"/>
    <w:rsid w:val="007D7CB7"/>
    <w:rsid w:val="007E28CF"/>
    <w:rsid w:val="007E49DB"/>
    <w:rsid w:val="007F176B"/>
    <w:rsid w:val="00800455"/>
    <w:rsid w:val="00800F2D"/>
    <w:rsid w:val="00807AF6"/>
    <w:rsid w:val="00813505"/>
    <w:rsid w:val="00813B10"/>
    <w:rsid w:val="00841EC2"/>
    <w:rsid w:val="008512F8"/>
    <w:rsid w:val="00856D03"/>
    <w:rsid w:val="00862B8E"/>
    <w:rsid w:val="00866F91"/>
    <w:rsid w:val="00875431"/>
    <w:rsid w:val="008819D4"/>
    <w:rsid w:val="00895841"/>
    <w:rsid w:val="008A4212"/>
    <w:rsid w:val="008B4961"/>
    <w:rsid w:val="008C0CEE"/>
    <w:rsid w:val="008C1E7A"/>
    <w:rsid w:val="008C224C"/>
    <w:rsid w:val="008C37C2"/>
    <w:rsid w:val="008C3A7D"/>
    <w:rsid w:val="008D09B2"/>
    <w:rsid w:val="008D3264"/>
    <w:rsid w:val="008D5129"/>
    <w:rsid w:val="008D6C19"/>
    <w:rsid w:val="008D7D6B"/>
    <w:rsid w:val="008E0269"/>
    <w:rsid w:val="008E147B"/>
    <w:rsid w:val="008E25F2"/>
    <w:rsid w:val="008E55DD"/>
    <w:rsid w:val="008E6235"/>
    <w:rsid w:val="008F2039"/>
    <w:rsid w:val="00902893"/>
    <w:rsid w:val="009134AD"/>
    <w:rsid w:val="009166F2"/>
    <w:rsid w:val="00920791"/>
    <w:rsid w:val="00922F48"/>
    <w:rsid w:val="0092715E"/>
    <w:rsid w:val="009279A1"/>
    <w:rsid w:val="00934DE2"/>
    <w:rsid w:val="0093587C"/>
    <w:rsid w:val="00942AEC"/>
    <w:rsid w:val="00943D8E"/>
    <w:rsid w:val="00944A57"/>
    <w:rsid w:val="00964B5A"/>
    <w:rsid w:val="00965D40"/>
    <w:rsid w:val="0096676A"/>
    <w:rsid w:val="00970F6B"/>
    <w:rsid w:val="00976350"/>
    <w:rsid w:val="00981A31"/>
    <w:rsid w:val="00982C8B"/>
    <w:rsid w:val="009847E2"/>
    <w:rsid w:val="00985011"/>
    <w:rsid w:val="00986E7B"/>
    <w:rsid w:val="009A5DCD"/>
    <w:rsid w:val="009A637C"/>
    <w:rsid w:val="009A7A67"/>
    <w:rsid w:val="009B466B"/>
    <w:rsid w:val="009B50A1"/>
    <w:rsid w:val="009C1819"/>
    <w:rsid w:val="009C213F"/>
    <w:rsid w:val="009D20C4"/>
    <w:rsid w:val="009D2B90"/>
    <w:rsid w:val="009D576E"/>
    <w:rsid w:val="009E1E3A"/>
    <w:rsid w:val="009F788F"/>
    <w:rsid w:val="00A00300"/>
    <w:rsid w:val="00A02CDB"/>
    <w:rsid w:val="00A109BF"/>
    <w:rsid w:val="00A2180D"/>
    <w:rsid w:val="00A2534B"/>
    <w:rsid w:val="00A300FA"/>
    <w:rsid w:val="00A30318"/>
    <w:rsid w:val="00A3621C"/>
    <w:rsid w:val="00A4288C"/>
    <w:rsid w:val="00A44BA3"/>
    <w:rsid w:val="00A467BD"/>
    <w:rsid w:val="00A51C1B"/>
    <w:rsid w:val="00A5277E"/>
    <w:rsid w:val="00A530CC"/>
    <w:rsid w:val="00A54959"/>
    <w:rsid w:val="00A6098B"/>
    <w:rsid w:val="00A65753"/>
    <w:rsid w:val="00A771FF"/>
    <w:rsid w:val="00A83DB7"/>
    <w:rsid w:val="00A85ADB"/>
    <w:rsid w:val="00A9005B"/>
    <w:rsid w:val="00A9128F"/>
    <w:rsid w:val="00A96C1A"/>
    <w:rsid w:val="00AB1812"/>
    <w:rsid w:val="00AB19F3"/>
    <w:rsid w:val="00AB3CBE"/>
    <w:rsid w:val="00AB78EA"/>
    <w:rsid w:val="00AC00E1"/>
    <w:rsid w:val="00AC08D6"/>
    <w:rsid w:val="00AC0AE6"/>
    <w:rsid w:val="00AD0529"/>
    <w:rsid w:val="00AD25FE"/>
    <w:rsid w:val="00AD56BD"/>
    <w:rsid w:val="00AE33E6"/>
    <w:rsid w:val="00AE6663"/>
    <w:rsid w:val="00AF02F5"/>
    <w:rsid w:val="00AF03A9"/>
    <w:rsid w:val="00AF1D5E"/>
    <w:rsid w:val="00AF31B5"/>
    <w:rsid w:val="00AF60E5"/>
    <w:rsid w:val="00B010EB"/>
    <w:rsid w:val="00B04604"/>
    <w:rsid w:val="00B07801"/>
    <w:rsid w:val="00B130ED"/>
    <w:rsid w:val="00B132A0"/>
    <w:rsid w:val="00B140FB"/>
    <w:rsid w:val="00B14498"/>
    <w:rsid w:val="00B14B95"/>
    <w:rsid w:val="00B15954"/>
    <w:rsid w:val="00B21761"/>
    <w:rsid w:val="00B2372B"/>
    <w:rsid w:val="00B278A8"/>
    <w:rsid w:val="00B47CF7"/>
    <w:rsid w:val="00B5357F"/>
    <w:rsid w:val="00B54BD0"/>
    <w:rsid w:val="00B56218"/>
    <w:rsid w:val="00B57C60"/>
    <w:rsid w:val="00B66AC1"/>
    <w:rsid w:val="00B8224C"/>
    <w:rsid w:val="00B855B7"/>
    <w:rsid w:val="00B93E65"/>
    <w:rsid w:val="00BA141C"/>
    <w:rsid w:val="00BA3028"/>
    <w:rsid w:val="00BA3625"/>
    <w:rsid w:val="00BB04A1"/>
    <w:rsid w:val="00BB4660"/>
    <w:rsid w:val="00BB5A02"/>
    <w:rsid w:val="00BC0ADD"/>
    <w:rsid w:val="00BC3C86"/>
    <w:rsid w:val="00BC435B"/>
    <w:rsid w:val="00BD00FB"/>
    <w:rsid w:val="00BD10E1"/>
    <w:rsid w:val="00BD5818"/>
    <w:rsid w:val="00BE398B"/>
    <w:rsid w:val="00BE7C3D"/>
    <w:rsid w:val="00C042E9"/>
    <w:rsid w:val="00C116DA"/>
    <w:rsid w:val="00C1197C"/>
    <w:rsid w:val="00C1222E"/>
    <w:rsid w:val="00C12533"/>
    <w:rsid w:val="00C130F6"/>
    <w:rsid w:val="00C142C2"/>
    <w:rsid w:val="00C2109D"/>
    <w:rsid w:val="00C2566B"/>
    <w:rsid w:val="00C2762A"/>
    <w:rsid w:val="00C326DF"/>
    <w:rsid w:val="00C3629B"/>
    <w:rsid w:val="00C47860"/>
    <w:rsid w:val="00C53B06"/>
    <w:rsid w:val="00C56039"/>
    <w:rsid w:val="00C56C78"/>
    <w:rsid w:val="00C577C0"/>
    <w:rsid w:val="00C60FDF"/>
    <w:rsid w:val="00C62BA4"/>
    <w:rsid w:val="00C630D0"/>
    <w:rsid w:val="00C63320"/>
    <w:rsid w:val="00C675C8"/>
    <w:rsid w:val="00C74398"/>
    <w:rsid w:val="00C759E6"/>
    <w:rsid w:val="00C763FD"/>
    <w:rsid w:val="00C7782A"/>
    <w:rsid w:val="00C85D47"/>
    <w:rsid w:val="00C87814"/>
    <w:rsid w:val="00C931C2"/>
    <w:rsid w:val="00C9461C"/>
    <w:rsid w:val="00CA24D9"/>
    <w:rsid w:val="00CA538B"/>
    <w:rsid w:val="00CB072E"/>
    <w:rsid w:val="00CB0816"/>
    <w:rsid w:val="00CB1F01"/>
    <w:rsid w:val="00CB32B2"/>
    <w:rsid w:val="00CC19EF"/>
    <w:rsid w:val="00CC1D4C"/>
    <w:rsid w:val="00CC5333"/>
    <w:rsid w:val="00CC7DB0"/>
    <w:rsid w:val="00CD001C"/>
    <w:rsid w:val="00CD1E09"/>
    <w:rsid w:val="00CE2DF1"/>
    <w:rsid w:val="00CE7E62"/>
    <w:rsid w:val="00CF3426"/>
    <w:rsid w:val="00D00F57"/>
    <w:rsid w:val="00D022BF"/>
    <w:rsid w:val="00D02DB0"/>
    <w:rsid w:val="00D14B3C"/>
    <w:rsid w:val="00D20E20"/>
    <w:rsid w:val="00D2285B"/>
    <w:rsid w:val="00D25F16"/>
    <w:rsid w:val="00D30D9B"/>
    <w:rsid w:val="00D3238F"/>
    <w:rsid w:val="00D404BB"/>
    <w:rsid w:val="00D42490"/>
    <w:rsid w:val="00D44236"/>
    <w:rsid w:val="00D44E80"/>
    <w:rsid w:val="00D50475"/>
    <w:rsid w:val="00D51E7A"/>
    <w:rsid w:val="00D538AC"/>
    <w:rsid w:val="00D56A11"/>
    <w:rsid w:val="00D56C8B"/>
    <w:rsid w:val="00D629BB"/>
    <w:rsid w:val="00D62E34"/>
    <w:rsid w:val="00D7258D"/>
    <w:rsid w:val="00D73D97"/>
    <w:rsid w:val="00D83B40"/>
    <w:rsid w:val="00D917F2"/>
    <w:rsid w:val="00D91D77"/>
    <w:rsid w:val="00D920AC"/>
    <w:rsid w:val="00D94DAD"/>
    <w:rsid w:val="00D96142"/>
    <w:rsid w:val="00DA2B96"/>
    <w:rsid w:val="00DB50B4"/>
    <w:rsid w:val="00DB60BF"/>
    <w:rsid w:val="00DB7683"/>
    <w:rsid w:val="00DD108A"/>
    <w:rsid w:val="00DD373B"/>
    <w:rsid w:val="00DD6C46"/>
    <w:rsid w:val="00DE109A"/>
    <w:rsid w:val="00DE2E44"/>
    <w:rsid w:val="00DF0137"/>
    <w:rsid w:val="00DF38FE"/>
    <w:rsid w:val="00DF579A"/>
    <w:rsid w:val="00DF683A"/>
    <w:rsid w:val="00E13D98"/>
    <w:rsid w:val="00E15897"/>
    <w:rsid w:val="00E16A4E"/>
    <w:rsid w:val="00E23814"/>
    <w:rsid w:val="00E31CBF"/>
    <w:rsid w:val="00E34158"/>
    <w:rsid w:val="00E36467"/>
    <w:rsid w:val="00E444FE"/>
    <w:rsid w:val="00E44ED7"/>
    <w:rsid w:val="00E46DCC"/>
    <w:rsid w:val="00E50641"/>
    <w:rsid w:val="00E518DA"/>
    <w:rsid w:val="00E51CB0"/>
    <w:rsid w:val="00E57699"/>
    <w:rsid w:val="00E65E00"/>
    <w:rsid w:val="00E70A3E"/>
    <w:rsid w:val="00E75184"/>
    <w:rsid w:val="00E80338"/>
    <w:rsid w:val="00E8500C"/>
    <w:rsid w:val="00E853F8"/>
    <w:rsid w:val="00E91FC5"/>
    <w:rsid w:val="00E924AA"/>
    <w:rsid w:val="00E92746"/>
    <w:rsid w:val="00E965A5"/>
    <w:rsid w:val="00E968DA"/>
    <w:rsid w:val="00EA7E30"/>
    <w:rsid w:val="00EB23E9"/>
    <w:rsid w:val="00EB5B6C"/>
    <w:rsid w:val="00EB75D0"/>
    <w:rsid w:val="00EC00F7"/>
    <w:rsid w:val="00EC27D6"/>
    <w:rsid w:val="00EC4176"/>
    <w:rsid w:val="00ED0588"/>
    <w:rsid w:val="00EE0824"/>
    <w:rsid w:val="00EE084E"/>
    <w:rsid w:val="00EE6B52"/>
    <w:rsid w:val="00EE7DFE"/>
    <w:rsid w:val="00EF1EF7"/>
    <w:rsid w:val="00F0564C"/>
    <w:rsid w:val="00F12D34"/>
    <w:rsid w:val="00F13C38"/>
    <w:rsid w:val="00F15E54"/>
    <w:rsid w:val="00F179D8"/>
    <w:rsid w:val="00F22035"/>
    <w:rsid w:val="00F37582"/>
    <w:rsid w:val="00F41FCF"/>
    <w:rsid w:val="00F4229F"/>
    <w:rsid w:val="00F512C5"/>
    <w:rsid w:val="00F524BB"/>
    <w:rsid w:val="00F52AFC"/>
    <w:rsid w:val="00F5606E"/>
    <w:rsid w:val="00F626F0"/>
    <w:rsid w:val="00F629D0"/>
    <w:rsid w:val="00F633E8"/>
    <w:rsid w:val="00F65A92"/>
    <w:rsid w:val="00F67451"/>
    <w:rsid w:val="00F7547E"/>
    <w:rsid w:val="00F75F4C"/>
    <w:rsid w:val="00F80372"/>
    <w:rsid w:val="00F849E2"/>
    <w:rsid w:val="00F911D3"/>
    <w:rsid w:val="00F93A9B"/>
    <w:rsid w:val="00F97AF2"/>
    <w:rsid w:val="00FA4DDA"/>
    <w:rsid w:val="00FA58E9"/>
    <w:rsid w:val="00FA64E7"/>
    <w:rsid w:val="00FB2865"/>
    <w:rsid w:val="00FB6E94"/>
    <w:rsid w:val="00FC2C39"/>
    <w:rsid w:val="00FC4A19"/>
    <w:rsid w:val="00FC5DB6"/>
    <w:rsid w:val="00FC740E"/>
    <w:rsid w:val="00FE43C9"/>
    <w:rsid w:val="00FF0890"/>
    <w:rsid w:val="00FF0F6A"/>
    <w:rsid w:val="00FF476F"/>
    <w:rsid w:val="00FF50E3"/>
    <w:rsid w:val="00FF5591"/>
    <w:rsid w:val="00FF614E"/>
    <w:rsid w:val="011011E9"/>
    <w:rsid w:val="013F7602"/>
    <w:rsid w:val="01781877"/>
    <w:rsid w:val="01981D96"/>
    <w:rsid w:val="01A075E5"/>
    <w:rsid w:val="024343F3"/>
    <w:rsid w:val="024B55A2"/>
    <w:rsid w:val="02A67A63"/>
    <w:rsid w:val="031D128E"/>
    <w:rsid w:val="0327785E"/>
    <w:rsid w:val="04C42EA2"/>
    <w:rsid w:val="04F865E3"/>
    <w:rsid w:val="053E04EC"/>
    <w:rsid w:val="059C3CD1"/>
    <w:rsid w:val="07040B8F"/>
    <w:rsid w:val="0708695B"/>
    <w:rsid w:val="070B5B30"/>
    <w:rsid w:val="07B31D9B"/>
    <w:rsid w:val="07DB1ED4"/>
    <w:rsid w:val="081C04B5"/>
    <w:rsid w:val="086D4004"/>
    <w:rsid w:val="08E13365"/>
    <w:rsid w:val="09134A18"/>
    <w:rsid w:val="093101DA"/>
    <w:rsid w:val="09523653"/>
    <w:rsid w:val="09EF41EB"/>
    <w:rsid w:val="0A58583B"/>
    <w:rsid w:val="0A636CB9"/>
    <w:rsid w:val="0A821E6E"/>
    <w:rsid w:val="0BC47C2C"/>
    <w:rsid w:val="0BCB701F"/>
    <w:rsid w:val="0C034B6E"/>
    <w:rsid w:val="0C8D5A53"/>
    <w:rsid w:val="0CE15716"/>
    <w:rsid w:val="0D142A3B"/>
    <w:rsid w:val="0D6B5B75"/>
    <w:rsid w:val="0D934781"/>
    <w:rsid w:val="0E1F1051"/>
    <w:rsid w:val="0F0462FF"/>
    <w:rsid w:val="104A2792"/>
    <w:rsid w:val="106B2F6D"/>
    <w:rsid w:val="10BB4844"/>
    <w:rsid w:val="10CE5946"/>
    <w:rsid w:val="115D0906"/>
    <w:rsid w:val="117851CC"/>
    <w:rsid w:val="11B76268"/>
    <w:rsid w:val="120E4137"/>
    <w:rsid w:val="12E23B24"/>
    <w:rsid w:val="131E00E3"/>
    <w:rsid w:val="13692CB5"/>
    <w:rsid w:val="13B13348"/>
    <w:rsid w:val="144B7BE1"/>
    <w:rsid w:val="1471486A"/>
    <w:rsid w:val="14740441"/>
    <w:rsid w:val="14D507B4"/>
    <w:rsid w:val="14F17286"/>
    <w:rsid w:val="15275242"/>
    <w:rsid w:val="15B404A9"/>
    <w:rsid w:val="17AB16AF"/>
    <w:rsid w:val="18195158"/>
    <w:rsid w:val="19DE7663"/>
    <w:rsid w:val="1A055FAD"/>
    <w:rsid w:val="1A6C5690"/>
    <w:rsid w:val="1B5101B7"/>
    <w:rsid w:val="1BAC3119"/>
    <w:rsid w:val="1BCD2B28"/>
    <w:rsid w:val="1BDB243E"/>
    <w:rsid w:val="1BE82789"/>
    <w:rsid w:val="1C1B7D9F"/>
    <w:rsid w:val="1C890A09"/>
    <w:rsid w:val="1CC43874"/>
    <w:rsid w:val="1CDC4F69"/>
    <w:rsid w:val="1CF34FE0"/>
    <w:rsid w:val="1E1914C1"/>
    <w:rsid w:val="1E893648"/>
    <w:rsid w:val="1F1D65FE"/>
    <w:rsid w:val="1FAD3208"/>
    <w:rsid w:val="203171E6"/>
    <w:rsid w:val="204904EE"/>
    <w:rsid w:val="206C3C72"/>
    <w:rsid w:val="21C01D18"/>
    <w:rsid w:val="2255108C"/>
    <w:rsid w:val="226C2287"/>
    <w:rsid w:val="22F959F5"/>
    <w:rsid w:val="232023E6"/>
    <w:rsid w:val="23DE2FD1"/>
    <w:rsid w:val="23F21382"/>
    <w:rsid w:val="250C2617"/>
    <w:rsid w:val="264F7367"/>
    <w:rsid w:val="266E7B5C"/>
    <w:rsid w:val="26BC4E62"/>
    <w:rsid w:val="26D07ECF"/>
    <w:rsid w:val="27A77C9C"/>
    <w:rsid w:val="280A5219"/>
    <w:rsid w:val="28134EC9"/>
    <w:rsid w:val="288B7CB3"/>
    <w:rsid w:val="2901588D"/>
    <w:rsid w:val="29041629"/>
    <w:rsid w:val="2905283F"/>
    <w:rsid w:val="291A38BD"/>
    <w:rsid w:val="297B1D25"/>
    <w:rsid w:val="29E557E2"/>
    <w:rsid w:val="2A13795C"/>
    <w:rsid w:val="2A1B3411"/>
    <w:rsid w:val="2B0C225B"/>
    <w:rsid w:val="2B816F77"/>
    <w:rsid w:val="2B896122"/>
    <w:rsid w:val="2BCC4267"/>
    <w:rsid w:val="2C717F67"/>
    <w:rsid w:val="2CAD6380"/>
    <w:rsid w:val="2CC931A7"/>
    <w:rsid w:val="2CCF2AF7"/>
    <w:rsid w:val="2E0F67ED"/>
    <w:rsid w:val="2E833B18"/>
    <w:rsid w:val="2EED0E6A"/>
    <w:rsid w:val="2F0F103A"/>
    <w:rsid w:val="2F617FBF"/>
    <w:rsid w:val="2FD81674"/>
    <w:rsid w:val="30245D08"/>
    <w:rsid w:val="306778B3"/>
    <w:rsid w:val="3086557F"/>
    <w:rsid w:val="313D7933"/>
    <w:rsid w:val="31631EC6"/>
    <w:rsid w:val="3173284C"/>
    <w:rsid w:val="31C357C4"/>
    <w:rsid w:val="32454C10"/>
    <w:rsid w:val="33162745"/>
    <w:rsid w:val="33D02B4B"/>
    <w:rsid w:val="343152AF"/>
    <w:rsid w:val="34FC5BE0"/>
    <w:rsid w:val="35452F83"/>
    <w:rsid w:val="36567928"/>
    <w:rsid w:val="365E2A58"/>
    <w:rsid w:val="366C5F1C"/>
    <w:rsid w:val="37212218"/>
    <w:rsid w:val="372E7D26"/>
    <w:rsid w:val="37495F6F"/>
    <w:rsid w:val="37897422"/>
    <w:rsid w:val="37AA7E18"/>
    <w:rsid w:val="380B52C2"/>
    <w:rsid w:val="392018DE"/>
    <w:rsid w:val="3A5B612E"/>
    <w:rsid w:val="3A630542"/>
    <w:rsid w:val="3AB836BF"/>
    <w:rsid w:val="3ADA2B83"/>
    <w:rsid w:val="3B305532"/>
    <w:rsid w:val="3B715AFE"/>
    <w:rsid w:val="3B963364"/>
    <w:rsid w:val="3BE44834"/>
    <w:rsid w:val="3BF674A5"/>
    <w:rsid w:val="3BFA4461"/>
    <w:rsid w:val="3CF14E4B"/>
    <w:rsid w:val="3DC10550"/>
    <w:rsid w:val="3E5B16CE"/>
    <w:rsid w:val="3EBD146D"/>
    <w:rsid w:val="3ECD0615"/>
    <w:rsid w:val="3F460AD6"/>
    <w:rsid w:val="3F824CC3"/>
    <w:rsid w:val="401F7607"/>
    <w:rsid w:val="411B7728"/>
    <w:rsid w:val="42455BC2"/>
    <w:rsid w:val="428D26EA"/>
    <w:rsid w:val="42D625E1"/>
    <w:rsid w:val="42E3566F"/>
    <w:rsid w:val="42FF7AA8"/>
    <w:rsid w:val="434670AB"/>
    <w:rsid w:val="4352109E"/>
    <w:rsid w:val="43A15B81"/>
    <w:rsid w:val="445826E4"/>
    <w:rsid w:val="44BB0A4F"/>
    <w:rsid w:val="44D13433"/>
    <w:rsid w:val="467867F1"/>
    <w:rsid w:val="46C24BC0"/>
    <w:rsid w:val="47A17912"/>
    <w:rsid w:val="47A9408E"/>
    <w:rsid w:val="48624238"/>
    <w:rsid w:val="486D51D3"/>
    <w:rsid w:val="48F6538E"/>
    <w:rsid w:val="492B7533"/>
    <w:rsid w:val="494C43E2"/>
    <w:rsid w:val="49CC2F08"/>
    <w:rsid w:val="4A054466"/>
    <w:rsid w:val="4A9E7B00"/>
    <w:rsid w:val="4AA5422C"/>
    <w:rsid w:val="4AFF0F6E"/>
    <w:rsid w:val="4B761187"/>
    <w:rsid w:val="4BF86395"/>
    <w:rsid w:val="4CC45E69"/>
    <w:rsid w:val="4D193ED6"/>
    <w:rsid w:val="4D237851"/>
    <w:rsid w:val="4D942C95"/>
    <w:rsid w:val="4E011DF9"/>
    <w:rsid w:val="4E1114AF"/>
    <w:rsid w:val="4E1C4782"/>
    <w:rsid w:val="4E3221F7"/>
    <w:rsid w:val="4E751DDD"/>
    <w:rsid w:val="4F227FE6"/>
    <w:rsid w:val="4F3A4471"/>
    <w:rsid w:val="4F6F57CD"/>
    <w:rsid w:val="4FB97D8F"/>
    <w:rsid w:val="4FCD65F9"/>
    <w:rsid w:val="50C86CEC"/>
    <w:rsid w:val="510A50FB"/>
    <w:rsid w:val="5117380D"/>
    <w:rsid w:val="5152503E"/>
    <w:rsid w:val="51D843F5"/>
    <w:rsid w:val="52716B96"/>
    <w:rsid w:val="547A66A6"/>
    <w:rsid w:val="55464ADB"/>
    <w:rsid w:val="55636F7C"/>
    <w:rsid w:val="55986DE4"/>
    <w:rsid w:val="55C836B6"/>
    <w:rsid w:val="55CA677B"/>
    <w:rsid w:val="56EB5138"/>
    <w:rsid w:val="56F25288"/>
    <w:rsid w:val="571E65D7"/>
    <w:rsid w:val="57F368F6"/>
    <w:rsid w:val="58CF3DCD"/>
    <w:rsid w:val="59100769"/>
    <w:rsid w:val="591025BC"/>
    <w:rsid w:val="5A037B4C"/>
    <w:rsid w:val="5AD346BB"/>
    <w:rsid w:val="5C627C9E"/>
    <w:rsid w:val="5C9F145C"/>
    <w:rsid w:val="5CEE4C16"/>
    <w:rsid w:val="5D483C85"/>
    <w:rsid w:val="5D9702C9"/>
    <w:rsid w:val="5E843257"/>
    <w:rsid w:val="5EE44E48"/>
    <w:rsid w:val="5F3B62DA"/>
    <w:rsid w:val="5F91121D"/>
    <w:rsid w:val="5FB870B3"/>
    <w:rsid w:val="5FBA10F2"/>
    <w:rsid w:val="5FDC206F"/>
    <w:rsid w:val="610F1E42"/>
    <w:rsid w:val="61A07F36"/>
    <w:rsid w:val="61E664E2"/>
    <w:rsid w:val="621D646F"/>
    <w:rsid w:val="621E2D67"/>
    <w:rsid w:val="62E67F62"/>
    <w:rsid w:val="630D5FB7"/>
    <w:rsid w:val="63387E58"/>
    <w:rsid w:val="638C54CC"/>
    <w:rsid w:val="63AA1853"/>
    <w:rsid w:val="63F23295"/>
    <w:rsid w:val="645A7529"/>
    <w:rsid w:val="64B70040"/>
    <w:rsid w:val="64E823A1"/>
    <w:rsid w:val="65132472"/>
    <w:rsid w:val="65136487"/>
    <w:rsid w:val="6574059D"/>
    <w:rsid w:val="65C23A09"/>
    <w:rsid w:val="66281E6E"/>
    <w:rsid w:val="665844C0"/>
    <w:rsid w:val="66AB7B30"/>
    <w:rsid w:val="67350BA1"/>
    <w:rsid w:val="678900CD"/>
    <w:rsid w:val="67B21005"/>
    <w:rsid w:val="67E546FF"/>
    <w:rsid w:val="68087488"/>
    <w:rsid w:val="68367F3C"/>
    <w:rsid w:val="68842ED5"/>
    <w:rsid w:val="68F629B2"/>
    <w:rsid w:val="69A04E81"/>
    <w:rsid w:val="69A9299C"/>
    <w:rsid w:val="69F40C8E"/>
    <w:rsid w:val="6A4E621C"/>
    <w:rsid w:val="6A986A6F"/>
    <w:rsid w:val="6AA26B0F"/>
    <w:rsid w:val="6ABE7494"/>
    <w:rsid w:val="6AD430AF"/>
    <w:rsid w:val="6B6E226A"/>
    <w:rsid w:val="6BC24763"/>
    <w:rsid w:val="6BFF690E"/>
    <w:rsid w:val="6C0F6A8F"/>
    <w:rsid w:val="6C406F67"/>
    <w:rsid w:val="6D132E29"/>
    <w:rsid w:val="6D932128"/>
    <w:rsid w:val="6DFD5F26"/>
    <w:rsid w:val="6E577AE2"/>
    <w:rsid w:val="6EB85AB8"/>
    <w:rsid w:val="6FB94A32"/>
    <w:rsid w:val="7023084D"/>
    <w:rsid w:val="709056EB"/>
    <w:rsid w:val="70A703CB"/>
    <w:rsid w:val="70C21E9C"/>
    <w:rsid w:val="716E62C6"/>
    <w:rsid w:val="718E3231"/>
    <w:rsid w:val="71BF7251"/>
    <w:rsid w:val="72A42221"/>
    <w:rsid w:val="72CA291B"/>
    <w:rsid w:val="72CD7AEB"/>
    <w:rsid w:val="72D841C9"/>
    <w:rsid w:val="73281A0A"/>
    <w:rsid w:val="7358775B"/>
    <w:rsid w:val="73827671"/>
    <w:rsid w:val="73D23111"/>
    <w:rsid w:val="73FA2EE8"/>
    <w:rsid w:val="7400051E"/>
    <w:rsid w:val="74AD7CFB"/>
    <w:rsid w:val="74B55F0E"/>
    <w:rsid w:val="74FC641E"/>
    <w:rsid w:val="751876E1"/>
    <w:rsid w:val="759059BD"/>
    <w:rsid w:val="75A6220B"/>
    <w:rsid w:val="75A82A1F"/>
    <w:rsid w:val="75C10BA6"/>
    <w:rsid w:val="75E71C6B"/>
    <w:rsid w:val="760A083C"/>
    <w:rsid w:val="761A24DB"/>
    <w:rsid w:val="76323162"/>
    <w:rsid w:val="76934057"/>
    <w:rsid w:val="78112CFA"/>
    <w:rsid w:val="78A7685E"/>
    <w:rsid w:val="79554E68"/>
    <w:rsid w:val="79DD7192"/>
    <w:rsid w:val="79E95D99"/>
    <w:rsid w:val="79F26250"/>
    <w:rsid w:val="7A7D0277"/>
    <w:rsid w:val="7A9159FA"/>
    <w:rsid w:val="7AF515BD"/>
    <w:rsid w:val="7B40408C"/>
    <w:rsid w:val="7B426FBF"/>
    <w:rsid w:val="7B68125C"/>
    <w:rsid w:val="7BDF0A19"/>
    <w:rsid w:val="7C736BA2"/>
    <w:rsid w:val="7C8548FB"/>
    <w:rsid w:val="7D3B64F2"/>
    <w:rsid w:val="7D453A7F"/>
    <w:rsid w:val="7D735878"/>
    <w:rsid w:val="7DF534F4"/>
    <w:rsid w:val="7E1327E0"/>
    <w:rsid w:val="7E502CEE"/>
    <w:rsid w:val="7E561825"/>
    <w:rsid w:val="7E7E7EB6"/>
    <w:rsid w:val="7E812E7D"/>
    <w:rsid w:val="7EEA6E22"/>
    <w:rsid w:val="7EF84541"/>
    <w:rsid w:val="7F364FEF"/>
    <w:rsid w:val="7FC438CE"/>
    <w:rsid w:val="7FF372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1"/>
    <w:pPr>
      <w:widowControl w:val="0"/>
      <w:autoSpaceDE w:val="0"/>
      <w:autoSpaceDN w:val="0"/>
      <w:spacing w:line="360" w:lineRule="auto"/>
    </w:pPr>
    <w:rPr>
      <w:rFonts w:ascii="Times New Roman" w:hAnsi="Times New Roman" w:eastAsia="宋体" w:cs="宋体"/>
      <w:sz w:val="24"/>
      <w:szCs w:val="24"/>
      <w:lang w:val="zh-CN" w:eastAsia="zh-CN" w:bidi="zh-CN"/>
    </w:rPr>
  </w:style>
  <w:style w:type="paragraph" w:styleId="3">
    <w:name w:val="heading 1"/>
    <w:basedOn w:val="1"/>
    <w:next w:val="1"/>
    <w:autoRedefine/>
    <w:qFormat/>
    <w:uiPriority w:val="1"/>
    <w:pPr>
      <w:jc w:val="center"/>
      <w:outlineLvl w:val="0"/>
    </w:pPr>
    <w:rPr>
      <w:rFonts w:cstheme="minorBidi"/>
      <w:b/>
      <w:color w:val="000000" w:themeColor="text1"/>
      <w:sz w:val="30"/>
      <w:szCs w:val="30"/>
      <w14:textFill>
        <w14:solidFill>
          <w14:schemeClr w14:val="tx1"/>
        </w14:solidFill>
      </w14:textFill>
    </w:rPr>
  </w:style>
  <w:style w:type="paragraph" w:styleId="4">
    <w:name w:val="heading 2"/>
    <w:next w:val="5"/>
    <w:autoRedefine/>
    <w:unhideWhenUsed/>
    <w:qFormat/>
    <w:uiPriority w:val="0"/>
    <w:pPr>
      <w:keepNext/>
      <w:keepLines/>
      <w:spacing w:line="360" w:lineRule="auto"/>
      <w:ind w:firstLine="1124" w:firstLineChars="200"/>
      <w:outlineLvl w:val="1"/>
    </w:pPr>
    <w:rPr>
      <w:rFonts w:ascii="Times New Roman" w:hAnsi="Times New Roman" w:eastAsia="宋体" w:cstheme="minorBidi"/>
      <w:b/>
      <w:bCs/>
      <w:sz w:val="24"/>
      <w:szCs w:val="24"/>
      <w:lang w:val="en-US" w:eastAsia="zh-CN" w:bidi="ar-SA"/>
    </w:rPr>
  </w:style>
  <w:style w:type="paragraph" w:styleId="6">
    <w:name w:val="heading 3"/>
    <w:basedOn w:val="1"/>
    <w:next w:val="1"/>
    <w:autoRedefine/>
    <w:qFormat/>
    <w:uiPriority w:val="0"/>
    <w:pPr>
      <w:keepNext/>
      <w:keepLines/>
      <w:numPr>
        <w:ilvl w:val="2"/>
        <w:numId w:val="1"/>
      </w:numPr>
      <w:spacing w:before="60" w:after="60" w:line="415" w:lineRule="auto"/>
      <w:ind w:left="0" w:firstLine="0"/>
      <w:outlineLvl w:val="2"/>
    </w:pPr>
    <w:rPr>
      <w:b/>
      <w:bCs/>
      <w:sz w:val="30"/>
      <w:szCs w:val="32"/>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link w:val="46"/>
    <w:autoRedefine/>
    <w:qFormat/>
    <w:uiPriority w:val="1"/>
    <w:rPr>
      <w:rFonts w:ascii="宋体" w:hAnsi="宋体"/>
    </w:rPr>
  </w:style>
  <w:style w:type="paragraph" w:customStyle="1" w:styleId="5">
    <w:name w:val="02表格正文小四"/>
    <w:autoRedefine/>
    <w:qFormat/>
    <w:uiPriority w:val="0"/>
    <w:pPr>
      <w:overflowPunct w:val="0"/>
      <w:spacing w:line="360" w:lineRule="auto"/>
      <w:ind w:firstLine="1124" w:firstLineChars="200"/>
      <w:jc w:val="both"/>
      <w:textAlignment w:val="baseline"/>
    </w:pPr>
    <w:rPr>
      <w:rFonts w:ascii="Times New Roman" w:hAnsi="Times New Roman" w:eastAsia="宋体" w:cstheme="minorBidi"/>
      <w:sz w:val="24"/>
      <w:szCs w:val="24"/>
      <w:lang w:val="en-US" w:eastAsia="zh-CN" w:bidi="ar-SA"/>
    </w:rPr>
  </w:style>
  <w:style w:type="paragraph" w:styleId="7">
    <w:name w:val="Note Heading"/>
    <w:basedOn w:val="1"/>
    <w:next w:val="1"/>
    <w:autoRedefine/>
    <w:qFormat/>
    <w:uiPriority w:val="0"/>
    <w:pPr>
      <w:autoSpaceDE/>
      <w:autoSpaceDN/>
      <w:jc w:val="center"/>
    </w:pPr>
    <w:rPr>
      <w:rFonts w:ascii="Calibri" w:hAnsi="Calibri"/>
      <w:kern w:val="2"/>
      <w:sz w:val="21"/>
    </w:rPr>
  </w:style>
  <w:style w:type="paragraph" w:styleId="8">
    <w:name w:val="Normal Indent"/>
    <w:basedOn w:val="1"/>
    <w:next w:val="1"/>
    <w:autoRedefine/>
    <w:qFormat/>
    <w:uiPriority w:val="0"/>
    <w:pPr>
      <w:spacing w:line="240" w:lineRule="auto"/>
      <w:ind w:firstLine="420" w:firstLineChars="200"/>
    </w:pPr>
    <w:rPr>
      <w:rFonts w:ascii="宋体" w:hAnsi="宋体"/>
      <w:sz w:val="22"/>
      <w:szCs w:val="22"/>
    </w:rPr>
  </w:style>
  <w:style w:type="paragraph" w:styleId="9">
    <w:name w:val="caption"/>
    <w:basedOn w:val="10"/>
    <w:next w:val="1"/>
    <w:autoRedefine/>
    <w:semiHidden/>
    <w:unhideWhenUsed/>
    <w:qFormat/>
    <w:uiPriority w:val="0"/>
    <w:rPr>
      <w:sz w:val="24"/>
      <w:szCs w:val="24"/>
    </w:rPr>
  </w:style>
  <w:style w:type="paragraph" w:customStyle="1" w:styleId="10">
    <w:name w:val="表头排序"/>
    <w:autoRedefine/>
    <w:qFormat/>
    <w:uiPriority w:val="0"/>
    <w:pPr>
      <w:keepNext/>
      <w:keepLines/>
      <w:adjustRightInd w:val="0"/>
      <w:snapToGrid w:val="0"/>
      <w:spacing w:line="360" w:lineRule="auto"/>
      <w:jc w:val="center"/>
    </w:pPr>
    <w:rPr>
      <w:rFonts w:hint="eastAsia" w:ascii="Times New Roman" w:hAnsi="Times New Roman" w:eastAsia="宋体" w:cs="Times New Roman"/>
      <w:b/>
      <w:bCs/>
      <w:sz w:val="21"/>
      <w:szCs w:val="21"/>
      <w:lang w:val="en-US" w:eastAsia="zh-CN" w:bidi="ar-SA"/>
    </w:rPr>
  </w:style>
  <w:style w:type="paragraph" w:styleId="11">
    <w:name w:val="annotation text"/>
    <w:basedOn w:val="1"/>
    <w:link w:val="57"/>
    <w:autoRedefine/>
    <w:qFormat/>
    <w:uiPriority w:val="0"/>
  </w:style>
  <w:style w:type="paragraph" w:styleId="12">
    <w:name w:val="Body Text Indent"/>
    <w:basedOn w:val="1"/>
    <w:next w:val="13"/>
    <w:link w:val="59"/>
    <w:autoRedefine/>
    <w:qFormat/>
    <w:uiPriority w:val="0"/>
    <w:pPr>
      <w:ind w:left="720"/>
    </w:pPr>
    <w:rPr>
      <w:sz w:val="28"/>
      <w:szCs w:val="28"/>
    </w:rPr>
  </w:style>
  <w:style w:type="paragraph" w:customStyle="1" w:styleId="13">
    <w:name w:val="样式 正文文本缩进 + 行距: 1.5 倍行距"/>
    <w:basedOn w:val="1"/>
    <w:autoRedefine/>
    <w:qFormat/>
    <w:uiPriority w:val="0"/>
    <w:pPr>
      <w:spacing w:after="120"/>
      <w:ind w:left="90" w:leftChars="32" w:firstLine="560" w:firstLineChars="200"/>
    </w:pPr>
  </w:style>
  <w:style w:type="paragraph" w:styleId="14">
    <w:name w:val="Block Text"/>
    <w:basedOn w:val="1"/>
    <w:autoRedefine/>
    <w:qFormat/>
    <w:uiPriority w:val="0"/>
    <w:pPr>
      <w:adjustRightInd w:val="0"/>
      <w:snapToGrid w:val="0"/>
      <w:spacing w:line="500" w:lineRule="exact"/>
      <w:ind w:left="147" w:leftChars="70" w:right="160" w:rightChars="76" w:firstLine="480" w:firstLineChars="200"/>
    </w:pPr>
    <w:rPr>
      <w:rFonts w:ascii="宋体" w:hAnsi="宋体"/>
    </w:rPr>
  </w:style>
  <w:style w:type="paragraph" w:styleId="15">
    <w:name w:val="Date"/>
    <w:basedOn w:val="1"/>
    <w:next w:val="1"/>
    <w:link w:val="49"/>
    <w:autoRedefine/>
    <w:qFormat/>
    <w:uiPriority w:val="0"/>
    <w:pPr>
      <w:autoSpaceDE/>
      <w:autoSpaceDN/>
      <w:spacing w:line="240" w:lineRule="auto"/>
      <w:ind w:left="100" w:leftChars="2500"/>
      <w:jc w:val="both"/>
    </w:pPr>
    <w:rPr>
      <w:rFonts w:ascii="仿宋" w:hAnsi="仿宋" w:eastAsia="仿宋_GB2312" w:cs="Times New Roman"/>
      <w:szCs w:val="20"/>
      <w:lang w:val="en-US" w:bidi="ar-SA"/>
    </w:rPr>
  </w:style>
  <w:style w:type="paragraph" w:styleId="16">
    <w:name w:val="Body Text Indent 2"/>
    <w:basedOn w:val="1"/>
    <w:next w:val="1"/>
    <w:autoRedefine/>
    <w:qFormat/>
    <w:uiPriority w:val="0"/>
    <w:pPr>
      <w:spacing w:after="120" w:line="480" w:lineRule="auto"/>
      <w:ind w:left="200" w:leftChars="200"/>
    </w:pPr>
  </w:style>
  <w:style w:type="paragraph" w:styleId="17">
    <w:name w:val="footer"/>
    <w:basedOn w:val="1"/>
    <w:autoRedefine/>
    <w:qFormat/>
    <w:uiPriority w:val="0"/>
    <w:pPr>
      <w:tabs>
        <w:tab w:val="center" w:pos="4153"/>
        <w:tab w:val="right" w:pos="8306"/>
      </w:tabs>
      <w:snapToGrid w:val="0"/>
    </w:pPr>
    <w:rPr>
      <w:sz w:val="18"/>
      <w:szCs w:val="18"/>
    </w:rPr>
  </w:style>
  <w:style w:type="paragraph" w:styleId="1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19">
    <w:name w:val="toc 1"/>
    <w:basedOn w:val="1"/>
    <w:next w:val="1"/>
    <w:autoRedefine/>
    <w:qFormat/>
    <w:uiPriority w:val="39"/>
  </w:style>
  <w:style w:type="paragraph" w:styleId="20">
    <w:name w:val="index heading"/>
    <w:basedOn w:val="1"/>
    <w:next w:val="21"/>
    <w:autoRedefine/>
    <w:semiHidden/>
    <w:qFormat/>
    <w:uiPriority w:val="0"/>
    <w:rPr>
      <w:rFonts w:ascii="Arial" w:hAnsi="Arial" w:cs="Arial"/>
      <w:b/>
      <w:bCs/>
    </w:rPr>
  </w:style>
  <w:style w:type="paragraph" w:styleId="21">
    <w:name w:val="index 1"/>
    <w:basedOn w:val="1"/>
    <w:next w:val="1"/>
    <w:autoRedefine/>
    <w:qFormat/>
    <w:uiPriority w:val="0"/>
    <w:pPr>
      <w:spacing w:line="240" w:lineRule="exact"/>
      <w:jc w:val="center"/>
    </w:pPr>
    <w:rPr>
      <w:sz w:val="21"/>
    </w:rPr>
  </w:style>
  <w:style w:type="paragraph" w:styleId="22">
    <w:name w:val="toc 2"/>
    <w:basedOn w:val="1"/>
    <w:next w:val="1"/>
    <w:autoRedefine/>
    <w:qFormat/>
    <w:uiPriority w:val="0"/>
    <w:pPr>
      <w:ind w:left="420" w:leftChars="200"/>
    </w:pPr>
  </w:style>
  <w:style w:type="paragraph" w:styleId="23">
    <w:name w:val="Normal (Web)"/>
    <w:basedOn w:val="1"/>
    <w:link w:val="61"/>
    <w:autoRedefine/>
    <w:qFormat/>
    <w:uiPriority w:val="0"/>
    <w:pPr>
      <w:widowControl/>
      <w:autoSpaceDE/>
      <w:autoSpaceDN/>
      <w:spacing w:before="100" w:beforeAutospacing="1" w:after="100" w:afterAutospacing="1" w:line="240" w:lineRule="auto"/>
    </w:pPr>
    <w:rPr>
      <w:rFonts w:ascii="仿宋_GB2312" w:hAnsi="仿宋_GB2312" w:eastAsia="仿宋_GB2312" w:cs="Times New Roman"/>
      <w:szCs w:val="20"/>
      <w:lang w:val="en-US" w:bidi="ar-SA"/>
    </w:rPr>
  </w:style>
  <w:style w:type="paragraph" w:styleId="24">
    <w:name w:val="annotation subject"/>
    <w:basedOn w:val="11"/>
    <w:next w:val="11"/>
    <w:link w:val="58"/>
    <w:autoRedefine/>
    <w:qFormat/>
    <w:uiPriority w:val="0"/>
    <w:rPr>
      <w:b/>
      <w:bCs/>
    </w:rPr>
  </w:style>
  <w:style w:type="paragraph" w:styleId="25">
    <w:name w:val="Body Text First Indent"/>
    <w:basedOn w:val="2"/>
    <w:link w:val="47"/>
    <w:autoRedefine/>
    <w:qFormat/>
    <w:uiPriority w:val="0"/>
    <w:pPr>
      <w:spacing w:after="120"/>
      <w:ind w:firstLine="420" w:firstLineChars="100"/>
    </w:pPr>
    <w:rPr>
      <w:rFonts w:ascii="Times New Roman" w:hAnsi="Times New Roman"/>
    </w:rPr>
  </w:style>
  <w:style w:type="paragraph" w:styleId="26">
    <w:name w:val="Body Text First Indent 2"/>
    <w:basedOn w:val="12"/>
    <w:next w:val="1"/>
    <w:autoRedefine/>
    <w:qFormat/>
    <w:uiPriority w:val="0"/>
    <w:pPr>
      <w:ind w:left="0" w:firstLine="420" w:firstLineChars="200"/>
    </w:pPr>
  </w:style>
  <w:style w:type="table" w:styleId="28">
    <w:name w:val="Table Grid"/>
    <w:basedOn w:val="27"/>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basedOn w:val="29"/>
    <w:autoRedefine/>
    <w:qFormat/>
    <w:uiPriority w:val="22"/>
    <w:rPr>
      <w:b/>
      <w:bCs/>
    </w:rPr>
  </w:style>
  <w:style w:type="character" w:styleId="31">
    <w:name w:val="Hyperlink"/>
    <w:basedOn w:val="29"/>
    <w:autoRedefine/>
    <w:qFormat/>
    <w:uiPriority w:val="99"/>
    <w:rPr>
      <w:color w:val="0000FF"/>
      <w:u w:val="single"/>
    </w:rPr>
  </w:style>
  <w:style w:type="character" w:styleId="32">
    <w:name w:val="annotation reference"/>
    <w:autoRedefine/>
    <w:qFormat/>
    <w:uiPriority w:val="0"/>
    <w:rPr>
      <w:sz w:val="21"/>
    </w:rPr>
  </w:style>
  <w:style w:type="paragraph" w:customStyle="1" w:styleId="33">
    <w:name w:val="xl27"/>
    <w:basedOn w:val="1"/>
    <w:next w:val="16"/>
    <w:autoRedefine/>
    <w:qFormat/>
    <w:uiPriority w:val="0"/>
    <w:pPr>
      <w:widowControl/>
      <w:pBdr>
        <w:bottom w:val="single" w:color="auto" w:sz="12" w:space="0"/>
      </w:pBdr>
      <w:spacing w:before="100" w:after="100"/>
      <w:jc w:val="center"/>
    </w:pPr>
    <w:rPr>
      <w:rFonts w:ascii="宋体" w:hAnsi="宋体"/>
      <w:szCs w:val="20"/>
    </w:rPr>
  </w:style>
  <w:style w:type="paragraph" w:customStyle="1" w:styleId="34">
    <w:name w:val="Default"/>
    <w:basedOn w:val="35"/>
    <w:next w:val="36"/>
    <w:autoRedefine/>
    <w:qFormat/>
    <w:uiPriority w:val="0"/>
    <w:rPr>
      <w:rFonts w:hAnsi="宋体"/>
      <w:color w:val="000000"/>
      <w:szCs w:val="24"/>
      <w:lang w:val="en-US" w:bidi="ar-SA"/>
    </w:rPr>
  </w:style>
  <w:style w:type="paragraph" w:customStyle="1" w:styleId="35">
    <w:name w:val="纯文本1"/>
    <w:basedOn w:val="1"/>
    <w:autoRedefine/>
    <w:qFormat/>
    <w:uiPriority w:val="0"/>
    <w:pPr>
      <w:adjustRightInd w:val="0"/>
    </w:pPr>
    <w:rPr>
      <w:rFonts w:ascii="宋体" w:hAnsi="Courier New"/>
      <w:szCs w:val="20"/>
    </w:rPr>
  </w:style>
  <w:style w:type="paragraph" w:customStyle="1" w:styleId="36">
    <w:name w:val="样式1"/>
    <w:basedOn w:val="20"/>
    <w:next w:val="14"/>
    <w:autoRedefine/>
    <w:qFormat/>
    <w:uiPriority w:val="0"/>
    <w:pPr>
      <w:spacing w:line="288" w:lineRule="auto"/>
      <w:ind w:firstLine="480" w:firstLineChars="200"/>
    </w:pPr>
    <w:rPr>
      <w:rFonts w:ascii="宋体" w:hAnsi="宋体"/>
      <w:szCs w:val="20"/>
    </w:rPr>
  </w:style>
  <w:style w:type="paragraph" w:customStyle="1" w:styleId="37">
    <w:name w:val="01表内居中小四1.0"/>
    <w:autoRedefine/>
    <w:qFormat/>
    <w:uiPriority w:val="0"/>
    <w:pPr>
      <w:overflowPunct w:val="0"/>
      <w:autoSpaceDE w:val="0"/>
      <w:autoSpaceDN w:val="0"/>
      <w:jc w:val="center"/>
      <w:textAlignment w:val="baseline"/>
    </w:pPr>
    <w:rPr>
      <w:rFonts w:ascii="Times New Roman" w:hAnsi="Times New Roman" w:eastAsia="宋体" w:cstheme="minorBidi"/>
      <w:sz w:val="24"/>
      <w:szCs w:val="24"/>
      <w:lang w:val="en-US" w:eastAsia="zh-CN" w:bidi="ar-SA"/>
    </w:rPr>
  </w:style>
  <w:style w:type="paragraph" w:customStyle="1" w:styleId="38">
    <w:name w:val="03表内表"/>
    <w:autoRedefine/>
    <w:qFormat/>
    <w:uiPriority w:val="0"/>
    <w:pPr>
      <w:adjustRightInd w:val="0"/>
      <w:snapToGrid w:val="0"/>
      <w:spacing w:line="276" w:lineRule="auto"/>
      <w:jc w:val="center"/>
    </w:pPr>
    <w:rPr>
      <w:rFonts w:ascii="Times New Roman" w:hAnsi="Times New Roman" w:eastAsia="宋体" w:cs="Times New Roman"/>
      <w:sz w:val="21"/>
      <w:szCs w:val="21"/>
      <w:lang w:val="en-US" w:eastAsia="zh-CN" w:bidi="ar-SA"/>
    </w:rPr>
  </w:style>
  <w:style w:type="paragraph" w:customStyle="1" w:styleId="39">
    <w:name w:val="7表格内容"/>
    <w:autoRedefine/>
    <w:qFormat/>
    <w:uiPriority w:val="0"/>
    <w:pPr>
      <w:widowControl w:val="0"/>
      <w:spacing w:line="400" w:lineRule="exact"/>
      <w:jc w:val="center"/>
    </w:pPr>
    <w:rPr>
      <w:rFonts w:ascii="Times New Roman" w:hAnsi="Times New Roman" w:eastAsia="宋体" w:cs="Times New Roman"/>
      <w:kern w:val="2"/>
      <w:sz w:val="21"/>
      <w:szCs w:val="24"/>
      <w:lang w:val="en-US" w:eastAsia="zh-CN" w:bidi="ar-SA"/>
    </w:rPr>
  </w:style>
  <w:style w:type="paragraph" w:customStyle="1" w:styleId="40">
    <w:name w:val="表格文字"/>
    <w:basedOn w:val="1"/>
    <w:autoRedefine/>
    <w:qFormat/>
    <w:uiPriority w:val="0"/>
    <w:pPr>
      <w:adjustRightInd w:val="0"/>
      <w:snapToGrid w:val="0"/>
      <w:jc w:val="center"/>
      <w:textAlignment w:val="center"/>
    </w:pPr>
  </w:style>
  <w:style w:type="paragraph" w:customStyle="1" w:styleId="41">
    <w:name w:val="Table Paragraph"/>
    <w:basedOn w:val="1"/>
    <w:autoRedefine/>
    <w:qFormat/>
    <w:uiPriority w:val="1"/>
    <w:rPr>
      <w:rFonts w:ascii="Calibri" w:hAnsi="Calibri"/>
      <w:sz w:val="22"/>
      <w:szCs w:val="22"/>
      <w:lang w:eastAsia="en-US"/>
    </w:rPr>
  </w:style>
  <w:style w:type="paragraph" w:customStyle="1" w:styleId="42">
    <w:name w:val="表格内容自定"/>
    <w:basedOn w:val="1"/>
    <w:autoRedefine/>
    <w:qFormat/>
    <w:uiPriority w:val="0"/>
    <w:pPr>
      <w:spacing w:line="280" w:lineRule="exact"/>
      <w:jc w:val="center"/>
    </w:pPr>
    <w:rPr>
      <w:sz w:val="18"/>
      <w:szCs w:val="21"/>
    </w:rPr>
  </w:style>
  <w:style w:type="paragraph" w:customStyle="1" w:styleId="43">
    <w:name w:val="4正文"/>
    <w:basedOn w:val="1"/>
    <w:autoRedefine/>
    <w:qFormat/>
    <w:uiPriority w:val="0"/>
    <w:pPr>
      <w:adjustRightInd w:val="0"/>
      <w:snapToGrid w:val="0"/>
      <w:ind w:firstLine="200" w:firstLineChars="200"/>
    </w:pPr>
  </w:style>
  <w:style w:type="paragraph" w:customStyle="1" w:styleId="44">
    <w:name w:val="表格、图表名称"/>
    <w:basedOn w:val="1"/>
    <w:autoRedefine/>
    <w:qFormat/>
    <w:uiPriority w:val="0"/>
    <w:pPr>
      <w:jc w:val="center"/>
    </w:pPr>
    <w:rPr>
      <w:b/>
      <w:szCs w:val="22"/>
    </w:rPr>
  </w:style>
  <w:style w:type="paragraph" w:customStyle="1" w:styleId="45">
    <w:name w:val="1正文段落"/>
    <w:basedOn w:val="1"/>
    <w:autoRedefine/>
    <w:qFormat/>
    <w:uiPriority w:val="0"/>
    <w:pPr>
      <w:ind w:firstLine="480" w:firstLineChars="200"/>
    </w:pPr>
    <w:rPr>
      <w:szCs w:val="22"/>
    </w:rPr>
  </w:style>
  <w:style w:type="character" w:customStyle="1" w:styleId="46">
    <w:name w:val="正文文本 字符"/>
    <w:basedOn w:val="29"/>
    <w:link w:val="2"/>
    <w:autoRedefine/>
    <w:qFormat/>
    <w:uiPriority w:val="1"/>
    <w:rPr>
      <w:rFonts w:ascii="宋体" w:hAnsi="宋体" w:cs="宋体"/>
      <w:sz w:val="24"/>
      <w:szCs w:val="24"/>
      <w:lang w:val="zh-CN" w:bidi="zh-CN"/>
    </w:rPr>
  </w:style>
  <w:style w:type="character" w:customStyle="1" w:styleId="47">
    <w:name w:val="正文文本首行缩进 字符"/>
    <w:basedOn w:val="46"/>
    <w:link w:val="25"/>
    <w:autoRedefine/>
    <w:qFormat/>
    <w:uiPriority w:val="0"/>
    <w:rPr>
      <w:rFonts w:ascii="宋体" w:hAnsi="宋体" w:cs="宋体"/>
      <w:sz w:val="24"/>
      <w:szCs w:val="24"/>
      <w:lang w:val="zh-CN" w:bidi="zh-CN"/>
    </w:rPr>
  </w:style>
  <w:style w:type="paragraph" w:customStyle="1" w:styleId="48">
    <w:name w:val="表内容"/>
    <w:basedOn w:val="1"/>
    <w:autoRedefine/>
    <w:qFormat/>
    <w:uiPriority w:val="0"/>
    <w:pPr>
      <w:autoSpaceDE/>
      <w:autoSpaceDN/>
      <w:spacing w:line="360" w:lineRule="exact"/>
      <w:jc w:val="center"/>
    </w:pPr>
    <w:rPr>
      <w:rFonts w:ascii="Verdana" w:hAnsi="Verdana" w:eastAsia="Cambria"/>
      <w:kern w:val="2"/>
      <w:sz w:val="21"/>
      <w:szCs w:val="21"/>
      <w:lang w:val="en-US" w:bidi="ar-SA"/>
    </w:rPr>
  </w:style>
  <w:style w:type="character" w:customStyle="1" w:styleId="49">
    <w:name w:val="日期 字符1"/>
    <w:link w:val="15"/>
    <w:autoRedefine/>
    <w:qFormat/>
    <w:locked/>
    <w:uiPriority w:val="0"/>
    <w:rPr>
      <w:rFonts w:ascii="仿宋" w:hAnsi="仿宋" w:eastAsia="仿宋_GB2312"/>
      <w:sz w:val="24"/>
    </w:rPr>
  </w:style>
  <w:style w:type="character" w:customStyle="1" w:styleId="50">
    <w:name w:val="日期 字符"/>
    <w:basedOn w:val="29"/>
    <w:autoRedefine/>
    <w:qFormat/>
    <w:uiPriority w:val="0"/>
    <w:rPr>
      <w:rFonts w:cs="宋体"/>
      <w:sz w:val="24"/>
      <w:szCs w:val="24"/>
      <w:lang w:val="zh-CN" w:bidi="zh-CN"/>
    </w:rPr>
  </w:style>
  <w:style w:type="paragraph" w:customStyle="1" w:styleId="51">
    <w:name w:val="正式文本"/>
    <w:basedOn w:val="1"/>
    <w:autoRedefine/>
    <w:qFormat/>
    <w:uiPriority w:val="0"/>
    <w:pPr>
      <w:autoSpaceDE/>
      <w:autoSpaceDN/>
      <w:adjustRightInd w:val="0"/>
      <w:snapToGrid w:val="0"/>
      <w:ind w:firstLine="420" w:firstLineChars="200"/>
    </w:pPr>
    <w:rPr>
      <w:rFonts w:cs="Times New Roman"/>
      <w:bCs/>
      <w:kern w:val="2"/>
      <w:sz w:val="21"/>
      <w:szCs w:val="21"/>
      <w:lang w:val="en-US" w:bidi="ar-SA"/>
    </w:rPr>
  </w:style>
  <w:style w:type="paragraph" w:customStyle="1" w:styleId="52">
    <w:name w:val="04表头"/>
    <w:basedOn w:val="5"/>
    <w:next w:val="5"/>
    <w:autoRedefine/>
    <w:qFormat/>
    <w:uiPriority w:val="1"/>
    <w:pPr>
      <w:widowControl w:val="0"/>
      <w:ind w:firstLine="0" w:firstLineChars="0"/>
      <w:jc w:val="center"/>
    </w:pPr>
    <w:rPr>
      <w:b/>
      <w:bCs/>
    </w:rPr>
  </w:style>
  <w:style w:type="character" w:customStyle="1" w:styleId="53">
    <w:name w:val="font31"/>
    <w:autoRedefine/>
    <w:qFormat/>
    <w:uiPriority w:val="0"/>
    <w:rPr>
      <w:rFonts w:hint="default" w:ascii="Times New Roman" w:hAnsi="Times New Roman" w:cs="Times New Roman"/>
      <w:color w:val="000000"/>
      <w:sz w:val="21"/>
      <w:szCs w:val="21"/>
      <w:u w:val="none"/>
      <w:vertAlign w:val="subscript"/>
    </w:rPr>
  </w:style>
  <w:style w:type="character" w:customStyle="1" w:styleId="54">
    <w:name w:val="表格 Char"/>
    <w:link w:val="55"/>
    <w:autoRedefine/>
    <w:qFormat/>
    <w:locked/>
    <w:uiPriority w:val="99"/>
    <w:rPr>
      <w:rFonts w:ascii="TT5A56o00"/>
      <w:sz w:val="21"/>
    </w:rPr>
  </w:style>
  <w:style w:type="paragraph" w:customStyle="1" w:styleId="55">
    <w:name w:val="表格"/>
    <w:basedOn w:val="1"/>
    <w:next w:val="1"/>
    <w:link w:val="54"/>
    <w:autoRedefine/>
    <w:qFormat/>
    <w:uiPriority w:val="99"/>
    <w:pPr>
      <w:autoSpaceDE/>
      <w:autoSpaceDN/>
      <w:adjustRightInd w:val="0"/>
      <w:snapToGrid w:val="0"/>
      <w:spacing w:beforeLines="10" w:afterLines="10" w:line="259" w:lineRule="auto"/>
      <w:jc w:val="center"/>
    </w:pPr>
    <w:rPr>
      <w:rFonts w:ascii="TT5A56o00" w:cs="Times New Roman"/>
      <w:sz w:val="21"/>
      <w:szCs w:val="20"/>
      <w:lang w:val="en-US" w:bidi="ar-SA"/>
    </w:rPr>
  </w:style>
  <w:style w:type="paragraph" w:customStyle="1" w:styleId="56">
    <w:name w:val="修订1"/>
    <w:autoRedefine/>
    <w:hidden/>
    <w:semiHidden/>
    <w:qFormat/>
    <w:uiPriority w:val="99"/>
    <w:rPr>
      <w:rFonts w:ascii="Times New Roman" w:hAnsi="Times New Roman" w:eastAsia="宋体" w:cs="宋体"/>
      <w:sz w:val="24"/>
      <w:szCs w:val="24"/>
      <w:lang w:val="zh-CN" w:eastAsia="zh-CN" w:bidi="zh-CN"/>
    </w:rPr>
  </w:style>
  <w:style w:type="character" w:customStyle="1" w:styleId="57">
    <w:name w:val="批注文字 字符"/>
    <w:basedOn w:val="29"/>
    <w:link w:val="11"/>
    <w:autoRedefine/>
    <w:qFormat/>
    <w:uiPriority w:val="0"/>
    <w:rPr>
      <w:rFonts w:cs="宋体"/>
      <w:sz w:val="24"/>
      <w:szCs w:val="24"/>
      <w:lang w:val="zh-CN" w:bidi="zh-CN"/>
    </w:rPr>
  </w:style>
  <w:style w:type="character" w:customStyle="1" w:styleId="58">
    <w:name w:val="批注主题 字符"/>
    <w:basedOn w:val="57"/>
    <w:link w:val="24"/>
    <w:autoRedefine/>
    <w:qFormat/>
    <w:uiPriority w:val="0"/>
    <w:rPr>
      <w:rFonts w:cs="宋体"/>
      <w:b/>
      <w:bCs/>
      <w:sz w:val="24"/>
      <w:szCs w:val="24"/>
      <w:lang w:val="zh-CN" w:bidi="zh-CN"/>
    </w:rPr>
  </w:style>
  <w:style w:type="character" w:customStyle="1" w:styleId="59">
    <w:name w:val="正文文本缩进 字符"/>
    <w:link w:val="12"/>
    <w:autoRedefine/>
    <w:qFormat/>
    <w:locked/>
    <w:uiPriority w:val="0"/>
    <w:rPr>
      <w:rFonts w:cs="宋体"/>
      <w:sz w:val="28"/>
      <w:szCs w:val="28"/>
      <w:lang w:val="zh-CN" w:bidi="zh-CN"/>
    </w:rPr>
  </w:style>
  <w:style w:type="paragraph" w:customStyle="1" w:styleId="60">
    <w:name w:val="文本正文"/>
    <w:basedOn w:val="1"/>
    <w:autoRedefine/>
    <w:qFormat/>
    <w:uiPriority w:val="0"/>
    <w:pPr>
      <w:widowControl/>
      <w:autoSpaceDE/>
      <w:autoSpaceDN/>
      <w:ind w:firstLine="480" w:firstLineChars="200"/>
    </w:pPr>
    <w:rPr>
      <w:rFonts w:cs="Times New Roman"/>
      <w:kern w:val="2"/>
      <w:lang w:val="en-US" w:bidi="ar-SA"/>
    </w:rPr>
  </w:style>
  <w:style w:type="character" w:customStyle="1" w:styleId="61">
    <w:name w:val="普通(网站) 字符"/>
    <w:link w:val="23"/>
    <w:autoRedefine/>
    <w:qFormat/>
    <w:locked/>
    <w:uiPriority w:val="0"/>
    <w:rPr>
      <w:rFonts w:ascii="仿宋_GB2312" w:hAnsi="仿宋_GB2312" w:eastAsia="仿宋_GB2312"/>
      <w:sz w:val="24"/>
    </w:rPr>
  </w:style>
  <w:style w:type="paragraph" w:customStyle="1" w:styleId="62">
    <w:name w:val="mm表格内容"/>
    <w:basedOn w:val="63"/>
    <w:next w:val="64"/>
    <w:autoRedefine/>
    <w:qFormat/>
    <w:uiPriority w:val="0"/>
    <w:pPr>
      <w:spacing w:line="240" w:lineRule="auto"/>
    </w:pPr>
    <w:rPr>
      <w:rFonts w:eastAsia="宋体" w:cs="Times New Roman"/>
      <w:bCs w:val="0"/>
      <w:sz w:val="21"/>
    </w:rPr>
  </w:style>
  <w:style w:type="paragraph" w:customStyle="1" w:styleId="63">
    <w:name w:val="mm表头"/>
    <w:basedOn w:val="1"/>
    <w:autoRedefine/>
    <w:qFormat/>
    <w:uiPriority w:val="0"/>
    <w:pPr>
      <w:spacing w:line="480" w:lineRule="exact"/>
      <w:jc w:val="center"/>
    </w:pPr>
    <w:rPr>
      <w:rFonts w:eastAsia="黑体" w:cs="宋体"/>
      <w:bCs/>
      <w:color w:val="000000"/>
      <w:sz w:val="24"/>
    </w:rPr>
  </w:style>
  <w:style w:type="paragraph" w:customStyle="1" w:styleId="64">
    <w:name w:val="mm正文"/>
    <w:basedOn w:val="1"/>
    <w:autoRedefine/>
    <w:qFormat/>
    <w:uiPriority w:val="0"/>
    <w:pPr>
      <w:spacing w:line="480" w:lineRule="exact"/>
      <w:ind w:firstLine="200" w:firstLineChars="200"/>
    </w:pPr>
    <w:rPr>
      <w:rFonts w:cs="宋体"/>
      <w:color w:val="000000"/>
    </w:rPr>
  </w:style>
  <w:style w:type="character" w:customStyle="1" w:styleId="65">
    <w:name w:val="font71"/>
    <w:autoRedefine/>
    <w:qFormat/>
    <w:uiPriority w:val="0"/>
    <w:rPr>
      <w:rFonts w:hint="eastAsia" w:ascii="宋体" w:hAnsi="宋体" w:eastAsia="宋体" w:cs="宋体"/>
      <w:b/>
      <w:color w:val="000000"/>
      <w:sz w:val="21"/>
      <w:szCs w:val="21"/>
      <w:u w:val="none"/>
    </w:rPr>
  </w:style>
  <w:style w:type="character" w:customStyle="1" w:styleId="66">
    <w:name w:val="font21"/>
    <w:autoRedefine/>
    <w:qFormat/>
    <w:uiPriority w:val="0"/>
    <w:rPr>
      <w:rFonts w:hint="eastAsia" w:ascii="宋体" w:hAnsi="宋体" w:eastAsia="宋体" w:cs="宋体"/>
      <w:color w:val="000000"/>
      <w:sz w:val="21"/>
      <w:szCs w:val="21"/>
      <w:u w:val="none"/>
    </w:rPr>
  </w:style>
  <w:style w:type="paragraph" w:customStyle="1" w:styleId="67">
    <w:name w:val="四级条标题"/>
    <w:basedOn w:val="68"/>
    <w:next w:val="72"/>
    <w:autoRedefine/>
    <w:qFormat/>
    <w:uiPriority w:val="0"/>
    <w:pPr>
      <w:tabs>
        <w:tab w:val="left" w:pos="1260"/>
      </w:tabs>
      <w:outlineLvl w:val="5"/>
    </w:pPr>
    <w:rPr>
      <w:szCs w:val="20"/>
    </w:rPr>
  </w:style>
  <w:style w:type="paragraph" w:customStyle="1" w:styleId="68">
    <w:name w:val="三级条标题"/>
    <w:basedOn w:val="69"/>
    <w:next w:val="72"/>
    <w:autoRedefine/>
    <w:qFormat/>
    <w:uiPriority w:val="0"/>
    <w:pPr>
      <w:numPr>
        <w:ilvl w:val="0"/>
        <w:numId w:val="0"/>
      </w:numPr>
      <w:tabs>
        <w:tab w:val="left" w:pos="1260"/>
      </w:tabs>
      <w:outlineLvl w:val="4"/>
    </w:pPr>
  </w:style>
  <w:style w:type="paragraph" w:customStyle="1" w:styleId="69">
    <w:name w:val="二级条标题"/>
    <w:basedOn w:val="70"/>
    <w:next w:val="72"/>
    <w:autoRedefine/>
    <w:qFormat/>
    <w:uiPriority w:val="0"/>
    <w:pPr>
      <w:numPr>
        <w:ilvl w:val="3"/>
      </w:numPr>
      <w:tabs>
        <w:tab w:val="left" w:pos="1260"/>
      </w:tabs>
      <w:outlineLvl w:val="3"/>
    </w:pPr>
  </w:style>
  <w:style w:type="paragraph" w:customStyle="1" w:styleId="70">
    <w:name w:val="一级条标题"/>
    <w:basedOn w:val="71"/>
    <w:next w:val="72"/>
    <w:autoRedefine/>
    <w:qFormat/>
    <w:uiPriority w:val="0"/>
    <w:pPr>
      <w:numPr>
        <w:ilvl w:val="2"/>
        <w:numId w:val="2"/>
      </w:numPr>
      <w:spacing w:beforeLines="0" w:afterLines="0"/>
      <w:outlineLvl w:val="2"/>
    </w:pPr>
  </w:style>
  <w:style w:type="paragraph" w:customStyle="1" w:styleId="71">
    <w:name w:val="章标题"/>
    <w:next w:val="72"/>
    <w:autoRedefine/>
    <w:qFormat/>
    <w:uiPriority w:val="0"/>
    <w:pPr>
      <w:spacing w:beforeLines="50" w:afterLines="50"/>
      <w:jc w:val="both"/>
      <w:outlineLvl w:val="1"/>
    </w:pPr>
    <w:rPr>
      <w:rFonts w:ascii="黑体" w:hAnsi="Times New Roman" w:eastAsia="黑体" w:cs="Times New Roman"/>
      <w:sz w:val="21"/>
      <w:szCs w:val="22"/>
      <w:lang w:val="en-US" w:eastAsia="zh-CN" w:bidi="ar-SA"/>
    </w:rPr>
  </w:style>
  <w:style w:type="paragraph" w:customStyle="1" w:styleId="72">
    <w:name w:val="段"/>
    <w:autoRedefine/>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customXml" Target="../customXml/item2.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jpeg"/><Relationship Id="rId9" Type="http://schemas.openxmlformats.org/officeDocument/2006/relationships/image" Target="media/image1.jpeg"/><Relationship Id="rId89" Type="http://schemas.openxmlformats.org/officeDocument/2006/relationships/image" Target="media/image80.jpeg"/><Relationship Id="rId88" Type="http://schemas.openxmlformats.org/officeDocument/2006/relationships/image" Target="media/image79.jpeg"/><Relationship Id="rId87" Type="http://schemas.openxmlformats.org/officeDocument/2006/relationships/image" Target="media/image78.jpeg"/><Relationship Id="rId86" Type="http://schemas.openxmlformats.org/officeDocument/2006/relationships/image" Target="media/image77.jpeg"/><Relationship Id="rId85" Type="http://schemas.openxmlformats.org/officeDocument/2006/relationships/image" Target="media/image76.jpeg"/><Relationship Id="rId84" Type="http://schemas.openxmlformats.org/officeDocument/2006/relationships/image" Target="media/image75.png"/><Relationship Id="rId83" Type="http://schemas.openxmlformats.org/officeDocument/2006/relationships/image" Target="media/image74.jpeg"/><Relationship Id="rId82" Type="http://schemas.openxmlformats.org/officeDocument/2006/relationships/image" Target="media/image73.jpeg"/><Relationship Id="rId81" Type="http://schemas.openxmlformats.org/officeDocument/2006/relationships/image" Target="media/image72.jpeg"/><Relationship Id="rId80" Type="http://schemas.openxmlformats.org/officeDocument/2006/relationships/image" Target="media/image71.jpeg"/><Relationship Id="rId8" Type="http://schemas.openxmlformats.org/officeDocument/2006/relationships/theme" Target="theme/theme1.xml"/><Relationship Id="rId79" Type="http://schemas.openxmlformats.org/officeDocument/2006/relationships/image" Target="media/image70.jpeg"/><Relationship Id="rId78" Type="http://schemas.openxmlformats.org/officeDocument/2006/relationships/image" Target="media/image69.jpeg"/><Relationship Id="rId77" Type="http://schemas.openxmlformats.org/officeDocument/2006/relationships/image" Target="media/image68.jpeg"/><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jpeg"/><Relationship Id="rId7" Type="http://schemas.openxmlformats.org/officeDocument/2006/relationships/footer" Target="footer2.xml"/><Relationship Id="rId69" Type="http://schemas.openxmlformats.org/officeDocument/2006/relationships/image" Target="media/image60.jpeg"/><Relationship Id="rId68" Type="http://schemas.openxmlformats.org/officeDocument/2006/relationships/image" Target="media/image59.jpeg"/><Relationship Id="rId67" Type="http://schemas.openxmlformats.org/officeDocument/2006/relationships/image" Target="media/image58.jpeg"/><Relationship Id="rId66" Type="http://schemas.openxmlformats.org/officeDocument/2006/relationships/image" Target="media/image57.jpe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pn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jpe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wmf"/><Relationship Id="rId18" Type="http://schemas.openxmlformats.org/officeDocument/2006/relationships/oleObject" Target="embeddings/oleObject1.bin"/><Relationship Id="rId17" Type="http://schemas.openxmlformats.org/officeDocument/2006/relationships/image" Target="media/image9.png"/><Relationship Id="rId16" Type="http://schemas.openxmlformats.org/officeDocument/2006/relationships/image" Target="media/image8.jpe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2965C6A-400B-462D-8F06-C4A330CC1FF6}">
  <ds:schemaRefs/>
</ds:datastoreItem>
</file>

<file path=docProps/app.xml><?xml version="1.0" encoding="utf-8"?>
<Properties xmlns="http://schemas.openxmlformats.org/officeDocument/2006/extended-properties" xmlns:vt="http://schemas.openxmlformats.org/officeDocument/2006/docPropsVTypes">
  <Template>Normal</Template>
  <Pages>103</Pages>
  <Words>36175</Words>
  <Characters>40732</Characters>
  <Lines>478</Lines>
  <Paragraphs>134</Paragraphs>
  <TotalTime>12</TotalTime>
  <ScaleCrop>false</ScaleCrop>
  <LinksUpToDate>false</LinksUpToDate>
  <CharactersWithSpaces>41093</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2023-03-21T06:55:00Z</dcterms:created>
  <dc:creator>Ad'min</dc:creator>
  <cp:lastModifiedBy>鬆锶琝</cp:lastModifiedBy>
  <cp:lastPrinted>2023-11-27T07:58:00Z</cp:lastPrinted>
  <dcterms:modified xsi:type="dcterms:W3CDTF">2024-02-19T06:46:34Z</dcterms:modified>
  <cp:revision>57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23AD10D753484BAE98FECB0A76023240_13</vt:lpwstr>
  </property>
</Properties>
</file>