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eastAsia="黑体" w:cs="黑体"/>
          <w:bCs/>
          <w:sz w:val="32"/>
          <w:szCs w:val="32"/>
          <w:lang w:eastAsia="zh-CN"/>
        </w:rPr>
      </w:pPr>
      <w:r>
        <w:rPr>
          <w:rFonts w:hint="eastAsia" w:eastAsia="黑体" w:cs="黑体"/>
          <w:bCs/>
          <w:sz w:val="32"/>
          <w:szCs w:val="32"/>
        </w:rPr>
        <w:t>附件</w:t>
      </w:r>
      <w:r>
        <w:rPr>
          <w:rFonts w:hint="eastAsia" w:eastAsia="黑体" w:cs="黑体"/>
          <w:bCs/>
          <w:sz w:val="32"/>
          <w:szCs w:val="32"/>
          <w:lang w:val="en-US" w:eastAsia="zh-CN"/>
        </w:rPr>
        <w:t>3</w:t>
      </w:r>
    </w:p>
    <w:p>
      <w:pPr>
        <w:spacing w:line="348" w:lineRule="auto"/>
        <w:jc w:val="center"/>
        <w:rPr>
          <w:rFonts w:hint="eastAsia"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hint="eastAsia" w:eastAsia="方正小标宋简体"/>
          <w:bCs/>
          <w:spacing w:val="-20"/>
          <w:sz w:val="46"/>
          <w:szCs w:val="46"/>
        </w:rPr>
      </w:pPr>
      <w:r>
        <w:rPr>
          <w:rFonts w:hint="eastAsia" w:eastAsia="方正小标宋简体"/>
          <w:bCs/>
          <w:spacing w:val="-20"/>
          <w:sz w:val="46"/>
          <w:szCs w:val="46"/>
          <w:lang w:val="en-US" w:eastAsia="zh-CN"/>
        </w:rPr>
        <w:t>临湘市</w:t>
      </w:r>
      <w:r>
        <w:rPr>
          <w:rFonts w:hint="eastAsia" w:eastAsia="方正小标宋简体"/>
          <w:bCs/>
          <w:spacing w:val="-20"/>
          <w:sz w:val="46"/>
          <w:szCs w:val="46"/>
        </w:rPr>
        <w:t>20</w:t>
      </w:r>
      <w:r>
        <w:rPr>
          <w:rFonts w:hint="eastAsia" w:eastAsia="方正小标宋简体"/>
          <w:bCs/>
          <w:spacing w:val="-20"/>
          <w:sz w:val="46"/>
          <w:szCs w:val="46"/>
          <w:u w:val="single"/>
        </w:rPr>
        <w:t xml:space="preserve"> </w:t>
      </w:r>
      <w:r>
        <w:rPr>
          <w:rFonts w:hint="eastAsia" w:eastAsia="方正小标宋简体"/>
          <w:bCs/>
          <w:spacing w:val="-20"/>
          <w:sz w:val="46"/>
          <w:szCs w:val="46"/>
          <w:u w:val="single"/>
          <w:lang w:val="en-US" w:eastAsia="zh-CN"/>
        </w:rPr>
        <w:t>22</w:t>
      </w:r>
      <w:r>
        <w:rPr>
          <w:rFonts w:hint="eastAsia" w:eastAsia="方正小标宋简体"/>
          <w:bCs/>
          <w:spacing w:val="-20"/>
          <w:sz w:val="46"/>
          <w:szCs w:val="46"/>
        </w:rPr>
        <w:t>年度部门（单位）整体支出</w:t>
      </w: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部门(单位)名称</w:t>
      </w:r>
      <w:r>
        <w:rPr>
          <w:rFonts w:hint="eastAsia" w:eastAsia="仿宋_GB2312"/>
          <w:sz w:val="32"/>
          <w:u w:val="single"/>
        </w:rPr>
        <w:t xml:space="preserve">    </w:t>
      </w:r>
      <w:r>
        <w:rPr>
          <w:rFonts w:hint="eastAsia" w:eastAsia="仿宋_GB2312"/>
          <w:sz w:val="32"/>
          <w:u w:val="single"/>
          <w:lang w:val="en-US" w:eastAsia="zh-CN"/>
        </w:rPr>
        <w:t>临湘市森林公安局</w:t>
      </w:r>
      <w:r>
        <w:rPr>
          <w:rFonts w:hint="eastAsia" w:eastAsia="仿宋_GB2312"/>
          <w:sz w:val="32"/>
          <w:u w:val="single"/>
        </w:rPr>
        <w:t xml:space="preserve">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2023</w:t>
      </w:r>
      <w:r>
        <w:rPr>
          <w:rFonts w:hint="eastAsia" w:eastAsia="仿宋_GB2312"/>
          <w:sz w:val="32"/>
        </w:rPr>
        <w:t xml:space="preserve">年  </w:t>
      </w:r>
      <w:r>
        <w:rPr>
          <w:rFonts w:hint="eastAsia" w:eastAsia="仿宋_GB2312"/>
          <w:sz w:val="32"/>
          <w:lang w:val="en-US" w:eastAsia="zh-CN"/>
        </w:rPr>
        <w:t>9</w:t>
      </w:r>
      <w:r>
        <w:rPr>
          <w:rFonts w:hint="eastAsia" w:eastAsia="仿宋_GB2312"/>
          <w:sz w:val="32"/>
        </w:rPr>
        <w:t xml:space="preserve"> 月 </w:t>
      </w:r>
      <w:r>
        <w:rPr>
          <w:rFonts w:hint="eastAsia" w:eastAsia="仿宋_GB2312"/>
          <w:sz w:val="32"/>
          <w:lang w:val="en-US" w:eastAsia="zh-CN"/>
        </w:rPr>
        <w:t>5</w:t>
      </w:r>
      <w:r>
        <w:rPr>
          <w:rFonts w:hint="eastAsia" w:eastAsia="仿宋_GB2312"/>
          <w:sz w:val="32"/>
        </w:rPr>
        <w:t xml:space="preserve">  日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lang w:val="en-US" w:eastAsia="zh-CN"/>
        </w:rPr>
        <w:t>临湘市</w:t>
      </w:r>
      <w:r>
        <w:rPr>
          <w:rFonts w:hint="eastAsia" w:eastAsia="仿宋_GB2312"/>
          <w:sz w:val="32"/>
        </w:rPr>
        <w:t>财政</w:t>
      </w:r>
      <w:r>
        <w:rPr>
          <w:rFonts w:hint="eastAsia" w:eastAsia="仿宋_GB2312"/>
          <w:sz w:val="32"/>
          <w:szCs w:val="32"/>
        </w:rPr>
        <w:t>局（制）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  <w:sectPr>
          <w:footerReference r:id="rId3" w:type="even"/>
          <w:pgSz w:w="11906" w:h="16838"/>
          <w:pgMar w:top="1701" w:right="1417" w:bottom="1701" w:left="1417" w:header="851" w:footer="992" w:gutter="0"/>
          <w:pgNumType w:fmt="numberInDash" w:start="8"/>
          <w:cols w:space="720" w:num="1"/>
          <w:docGrid w:type="linesAndChars" w:linePitch="602" w:charSpace="-782"/>
        </w:sectPr>
      </w:pPr>
    </w:p>
    <w:tbl>
      <w:tblPr>
        <w:tblStyle w:val="4"/>
        <w:tblW w:w="10422" w:type="dxa"/>
        <w:tblInd w:w="-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3"/>
        <w:gridCol w:w="1392"/>
        <w:gridCol w:w="49"/>
        <w:gridCol w:w="477"/>
        <w:gridCol w:w="739"/>
        <w:gridCol w:w="333"/>
        <w:gridCol w:w="1000"/>
        <w:gridCol w:w="417"/>
        <w:gridCol w:w="1033"/>
        <w:gridCol w:w="277"/>
        <w:gridCol w:w="24"/>
        <w:gridCol w:w="1316"/>
        <w:gridCol w:w="367"/>
        <w:gridCol w:w="117"/>
        <w:gridCol w:w="975"/>
        <w:gridCol w:w="343"/>
        <w:gridCol w:w="248"/>
        <w:gridCol w:w="452"/>
        <w:gridCol w:w="678"/>
        <w:gridCol w:w="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67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67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799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刘招国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3108068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67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799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150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319" w:type="dxa"/>
            <w:gridSpan w:val="15"/>
            <w:noWrap w:val="0"/>
            <w:vAlign w:val="center"/>
          </w:tcPr>
          <w:p>
            <w:pPr>
              <w:autoSpaceDN w:val="0"/>
              <w:spacing w:line="400" w:lineRule="exact"/>
              <w:ind w:firstLine="47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负责火场警戒、交通疏导、治安维护、火案侦破等，查处森林领域其他违法犯罪行为，协同市林业局开展防火宣传、火灾隐患排查、重点区域巡护、违规用火处罚等工作，掌握生态环境、生物安全等领域犯罪动态，拟订方案、打击对策；组织开展对生态环境、生物安全等领域犯罪案件的侦查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1914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年度主要工作内容</w:t>
            </w:r>
          </w:p>
        </w:tc>
        <w:tc>
          <w:tcPr>
            <w:tcW w:w="8319" w:type="dxa"/>
            <w:gridSpan w:val="1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维护林区社会秩序稳定，协同林业局开展防火相关工作的开展。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查处打击涉林、涉火、生态环境、生物安全案件。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任务3：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完成市委、政府、公安局交办的其他工作。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2875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年度部门（单位）总体运行情况及取得的成绩</w:t>
            </w:r>
          </w:p>
        </w:tc>
        <w:tc>
          <w:tcPr>
            <w:tcW w:w="8319" w:type="dxa"/>
            <w:gridSpan w:val="15"/>
            <w:noWrap w:val="0"/>
            <w:vAlign w:val="center"/>
          </w:tcPr>
          <w:p>
            <w:pPr>
              <w:autoSpaceDN w:val="0"/>
              <w:spacing w:line="400" w:lineRule="exact"/>
              <w:ind w:firstLine="47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（1）2022年收入总额670.75万元，其中：财政拨款收入670.75万元，占总收入的100%。（2）2022年度支出总额670.75万元，按支出性质分，基本支出549.54万元，占比81.93%；项目支出121.21万元，占比18.07%。</w:t>
            </w:r>
          </w:p>
          <w:p>
            <w:pPr>
              <w:autoSpaceDN w:val="0"/>
              <w:spacing w:line="400" w:lineRule="exact"/>
              <w:ind w:firstLine="47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截止2022年底，森林公安共接警37起，立刑事案件22起，采取强制措施37人，起诉45人；立行政案件10起，行政拘留12人；移送案件5起，救助野生动物2起，如期高质高效创优完成全年案件办理指数，护航市域生态成效明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67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67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67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580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67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公共财政拨款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482" w:hRule="atLeast"/>
        </w:trPr>
        <w:tc>
          <w:tcPr>
            <w:tcW w:w="139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670.75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670.75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6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670.75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670.75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6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6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6202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7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55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18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318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670.75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549.54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462.87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86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.66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121.21</w:t>
            </w: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670.75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549.54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462.87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86.66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121.21</w:t>
            </w: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580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99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202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78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11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137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234.69</w:t>
            </w: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234.69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234.69</w:t>
            </w: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234.69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67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67" w:hRule="atLeast"/>
        </w:trPr>
        <w:tc>
          <w:tcPr>
            <w:tcW w:w="1441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4276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20" w:type="dxa"/>
            <w:gridSpan w:val="9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1473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76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刑事案件15起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行政案件10起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20" w:type="dxa"/>
            <w:gridSpan w:val="9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完成刑事案件22起，行政案件10起。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67" w:hRule="atLeast"/>
        </w:trPr>
        <w:tc>
          <w:tcPr>
            <w:tcW w:w="1441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  <w:tc>
          <w:tcPr>
            <w:tcW w:w="296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3017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813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87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（部门工作实绩，包含上级部门和区委区政府布置的重点工作、实事任务等，根据部门实际进行调整细化）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3017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执法质量</w:t>
            </w:r>
          </w:p>
        </w:tc>
        <w:tc>
          <w:tcPr>
            <w:tcW w:w="2813" w:type="dxa"/>
            <w:gridSpan w:val="6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09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3017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刑事案件15 起</w:t>
            </w:r>
          </w:p>
        </w:tc>
        <w:tc>
          <w:tcPr>
            <w:tcW w:w="2813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  <w:t>22起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45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17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行政案件及治安案件起10起</w:t>
            </w:r>
          </w:p>
        </w:tc>
        <w:tc>
          <w:tcPr>
            <w:tcW w:w="2813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  <w:t>10起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872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3017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2022年1-12月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13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1332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3017" w:type="dxa"/>
            <w:gridSpan w:val="5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控制在预算内完成</w:t>
            </w:r>
          </w:p>
        </w:tc>
        <w:tc>
          <w:tcPr>
            <w:tcW w:w="2813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815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301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维护生态安全提供了强有力的法治保障。</w:t>
            </w:r>
          </w:p>
        </w:tc>
        <w:tc>
          <w:tcPr>
            <w:tcW w:w="281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firstLine="940" w:firstLineChars="400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872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1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指标2：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营造了绿色秀美的森林生态环境</w:t>
            </w:r>
          </w:p>
        </w:tc>
        <w:tc>
          <w:tcPr>
            <w:tcW w:w="281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firstLine="940" w:firstLineChars="4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95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3017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为国家和个人挽回直接经济损失500多万元</w:t>
            </w:r>
          </w:p>
        </w:tc>
        <w:tc>
          <w:tcPr>
            <w:tcW w:w="2813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406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301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森林覆盖率得到提高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</w:p>
        </w:tc>
        <w:tc>
          <w:tcPr>
            <w:tcW w:w="281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80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1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长江大保护得到进一步提升</w:t>
            </w:r>
          </w:p>
        </w:tc>
        <w:tc>
          <w:tcPr>
            <w:tcW w:w="281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1190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3017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服务对象满意度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13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67" w:hRule="atLeast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7247" w:type="dxa"/>
            <w:gridSpan w:val="1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67" w:hRule="atLeast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7247" w:type="dxa"/>
            <w:gridSpan w:val="1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80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567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799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刘招国</w:t>
            </w:r>
          </w:p>
        </w:tc>
        <w:tc>
          <w:tcPr>
            <w:tcW w:w="3799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局长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市森林公安局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李良才</w:t>
            </w:r>
          </w:p>
        </w:tc>
        <w:tc>
          <w:tcPr>
            <w:tcW w:w="3799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政委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市森林公安局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刘丹</w:t>
            </w:r>
          </w:p>
        </w:tc>
        <w:tc>
          <w:tcPr>
            <w:tcW w:w="3799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会计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市森林公安局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99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2327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2484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92" w:type="dxa"/>
          <w:trHeight w:val="2766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</w:trPr>
        <w:tc>
          <w:tcPr>
            <w:tcW w:w="10422" w:type="dxa"/>
            <w:gridSpan w:val="20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3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一、部门（单位）概况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（一）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临湘市森林公安局职责是：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2022年森林公安局有在职民警29人，退休7人，遗属1人，劳务派遣9人。主要工作范围：负责火场警戒、交通疏导、治安维护、火案侦破等，查处森林领域其他违法犯罪行为，协同市林业局开展防火宣传、火灾隐患排查、重点区域巡护、违规用火处罚等工作，掌握生态环境、生物安全等领域犯罪动态，拟订方案、打击对策；组织开展对生态环境、生物安全等领域犯罪案件的侦查工作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内设：综合办公室、刑侦治安股、法制股、司法鉴定室；下设路中、路南、路北三个派出所。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部门（单位）整体支出规模、使用方向和主要内容、涉及范围等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（1）2022年度收入总额670.75万元，其中财政拨款收入670.75万元，占总收入的100%。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（2）2022年度支出总额670.75万元，按支出性质区分，基本支出549.54万元，占比81.93%，项目支出121.21万元，占比18.07%。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二、部门（单位）整体支出管理及使用情况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（一）基本支出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2022年基本支出549.34万元。其中：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人员经费462.87万元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占基本支出的84.23%。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主要包括基本工资、津贴补贴、奖金、伙食补助费、绩效工资、机关事业单位基本养老保险缴费、职工基本医疗保险缴费、其他社会保障缴费、住房公积金、其他工资福利支出、抚恤金、生活补助、奖励金、其他对个人和家庭的补助。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公用经费86.66万元，占基本支出的15.77%。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主要包括办公费、印刷费、咨询费、询费、水费、电费、邮电费、物业管理费、差旅费、维修（护）费、会议费、培训费、公务接待费、劳务费、委托业务费、工会经费、其他交通费用、其他商品和服务支出、办公设备购置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（二）专项支出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1、专项资金安排落实、总投入等情况分析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2022年度项目总投入121.21万元，均为工作经费及人员经费类项目，主要项目包括：协警专项经费27万元，用于森林公安协警工资支出；2022年上级拨来长江大保护资金47.28万元，转移支付资金17.44万元，非税收入返还29.4万元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专项资金实际使用情况分析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专项资金121.21万元已全部到位，主要用于工资福利支出33.65万元；商品和服务支出47万元；对个人和家庭支出4.57万元，资本性支出36万元。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专项资金管理情况分析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550" w:firstLineChars="200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我局强化资金管理制度，实行专款专用，全部通过国库集中支付，无截留、挪用、虚列支出等情况。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三、部门（单位）专项组织实施情况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（一）专项组织情况分析</w:t>
            </w:r>
          </w:p>
          <w:p>
            <w:pPr>
              <w:spacing w:line="400" w:lineRule="exact"/>
              <w:ind w:firstLine="550" w:firstLineChars="200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我局严格遵守各项财政法规、政策规定，建立健全内控管理制度，按要求实行电子卖场采购要求，全面落实过“紧日子”要求，切实压缩一般性支出，最大程度发挥资金效益。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（二）专项管理情况分析</w:t>
            </w:r>
          </w:p>
          <w:p>
            <w:pPr>
              <w:spacing w:line="400" w:lineRule="exact"/>
              <w:ind w:firstLine="550" w:firstLineChars="200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在使用专项资金时，严格按照国家财政法规、落实资金审核程序，专款专用，杜绝资金使用过程的挤占挪用情况。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部门（单位）整体支出绩效情况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548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根据《部门整体支出绩效评价指标》评分，得97分，线效评价等级为“优”。主要绩效如下：　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548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2022年我局开展的“净风1号”专项行动圆满收官，综合岳阳市排名第一；“净风2号”行动成效明显，岳阳市排名第二；“生态三湘”200天专项行动战果辉煌，岳阳市排名考核第一档。特别是，今年省厅年终案件评比，我局所办案件质量都在合格等级以上，再次荣获省森林公安机关执法质量优胜单位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五、存在的主要问题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在实际业务发生中，有些费用在编制预算中不能完全准确预计，仍需要调整。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六、改进措施和有关建议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 一是财政加大科技强警经费的投入；二是强化绩效管理考核，将绩效考核目标任务层层分解落实，加强重点工作督查，对重点工作加强日常监管。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          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13974032685</w:t>
      </w:r>
    </w:p>
    <w:p>
      <w:pPr>
        <w:spacing w:line="348" w:lineRule="auto"/>
        <w:rPr>
          <w:rFonts w:hint="eastAsia" w:eastAsia="黑体" w:cs="黑体"/>
          <w:bCs/>
          <w:sz w:val="32"/>
          <w:szCs w:val="32"/>
        </w:rPr>
      </w:pPr>
      <w:r>
        <w:rPr>
          <w:rFonts w:eastAsia="楷体_GB2312"/>
          <w:bCs/>
          <w:sz w:val="28"/>
          <w:szCs w:val="28"/>
        </w:rPr>
        <w:br w:type="page"/>
      </w:r>
    </w:p>
    <w:p>
      <w:pPr>
        <w:adjustRightInd w:val="0"/>
        <w:snapToGrid w:val="0"/>
        <w:spacing w:line="360" w:lineRule="auto"/>
        <w:rPr>
          <w:rFonts w:hint="eastAsia" w:eastAsia="仿宋_GB2312"/>
          <w:bCs/>
          <w:sz w:val="32"/>
          <w:szCs w:val="32"/>
        </w:rPr>
      </w:pPr>
    </w:p>
    <w:p/>
    <w:sectPr>
      <w:footerReference r:id="rId4" w:type="default"/>
      <w:pgSz w:w="11906" w:h="16838"/>
      <w:pgMar w:top="1587" w:right="850" w:bottom="1587" w:left="850" w:header="851" w:footer="850" w:gutter="0"/>
      <w:pgNumType w:fmt="numberInDash" w:start="8"/>
      <w:cols w:space="720" w:num="1"/>
      <w:docGrid w:type="linesAndChars" w:linePitch="602" w:charSpace="-1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- 15 -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F3AD7B"/>
    <w:multiLevelType w:val="singleLevel"/>
    <w:tmpl w:val="F0F3AD7B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4A579F1"/>
    <w:multiLevelType w:val="singleLevel"/>
    <w:tmpl w:val="54A579F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96C1B"/>
    <w:rsid w:val="25E21F2D"/>
    <w:rsid w:val="3C3810E2"/>
    <w:rsid w:val="449736C6"/>
    <w:rsid w:val="7179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iPriority w:val="0"/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2023-09-05T08:57:00Z</dcterms:created>
  <dc:creator>风雨同舟</dc:creator>
  <cp:lastModifiedBy>风雨同舟</cp:lastModifiedBy>
  <cp:lastPrinted>2023-09-07T03:17:50Z</cp:lastPrinted>
  <dcterms:modified xsi:type="dcterms:W3CDTF">2023-09-07T04:10:42Z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