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48" w:lineRule="auto"/>
        <w:rPr>
          <w:rFonts w:hint="eastAsia" w:eastAsia="黑体" w:cs="黑体"/>
          <w:bCs/>
          <w:sz w:val="32"/>
          <w:szCs w:val="32"/>
        </w:rPr>
      </w:pPr>
      <w:r>
        <w:rPr>
          <w:rFonts w:hint="eastAsia" w:eastAsia="黑体" w:cs="黑体"/>
          <w:bCs/>
          <w:sz w:val="32"/>
          <w:szCs w:val="32"/>
        </w:rPr>
        <w:t>附件2</w:t>
      </w:r>
    </w:p>
    <w:p>
      <w:pPr>
        <w:spacing w:line="348" w:lineRule="auto"/>
        <w:jc w:val="center"/>
        <w:rPr>
          <w:rFonts w:hint="eastAsia" w:eastAsia="方正小标宋简体"/>
          <w:bCs/>
          <w:sz w:val="42"/>
          <w:szCs w:val="42"/>
        </w:rPr>
      </w:pPr>
    </w:p>
    <w:p>
      <w:pPr>
        <w:spacing w:line="800" w:lineRule="exact"/>
        <w:jc w:val="center"/>
        <w:rPr>
          <w:rFonts w:hint="eastAsia" w:eastAsia="方正小标宋简体"/>
          <w:bCs/>
          <w:spacing w:val="-20"/>
          <w:sz w:val="46"/>
          <w:szCs w:val="46"/>
        </w:rPr>
      </w:pPr>
      <w:r>
        <w:rPr>
          <w:rFonts w:hint="eastAsia" w:eastAsia="方正小标宋简体"/>
          <w:bCs/>
          <w:spacing w:val="-20"/>
          <w:sz w:val="46"/>
          <w:szCs w:val="46"/>
        </w:rPr>
        <w:t>临湘市</w:t>
      </w:r>
      <w:r>
        <w:rPr>
          <w:rFonts w:hint="eastAsia" w:eastAsia="方正小标宋简体"/>
          <w:bCs/>
          <w:spacing w:val="-20"/>
          <w:sz w:val="46"/>
          <w:szCs w:val="46"/>
          <w:u w:val="single"/>
        </w:rPr>
        <w:t>20</w:t>
      </w:r>
      <w:r>
        <w:rPr>
          <w:rFonts w:eastAsia="方正小标宋简体"/>
          <w:bCs/>
          <w:spacing w:val="-20"/>
          <w:sz w:val="46"/>
          <w:szCs w:val="46"/>
          <w:u w:val="single"/>
        </w:rPr>
        <w:t>2</w:t>
      </w:r>
      <w:r>
        <w:rPr>
          <w:rFonts w:hint="eastAsia" w:eastAsia="方正小标宋简体"/>
          <w:bCs/>
          <w:spacing w:val="-20"/>
          <w:sz w:val="46"/>
          <w:szCs w:val="46"/>
          <w:u w:val="single"/>
          <w:lang w:val="en-US" w:eastAsia="zh-CN"/>
        </w:rPr>
        <w:t>1</w:t>
      </w:r>
      <w:r>
        <w:rPr>
          <w:rFonts w:hint="eastAsia" w:eastAsia="方正小标宋简体"/>
          <w:bCs/>
          <w:spacing w:val="-20"/>
          <w:sz w:val="46"/>
          <w:szCs w:val="46"/>
        </w:rPr>
        <w:t>年度部门（单位）整体支出</w:t>
      </w:r>
    </w:p>
    <w:p>
      <w:pPr>
        <w:spacing w:line="800" w:lineRule="exact"/>
        <w:jc w:val="center"/>
        <w:rPr>
          <w:rFonts w:hint="eastAsia"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绩效评价自评报告</w:t>
      </w: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部门(单位)名称</w:t>
      </w:r>
      <w:r>
        <w:rPr>
          <w:rFonts w:hint="eastAsia" w:eastAsia="仿宋_GB2312"/>
          <w:sz w:val="32"/>
          <w:u w:val="single"/>
        </w:rPr>
        <w:t xml:space="preserve">   临湘市第六中学     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spacing w:line="348" w:lineRule="auto"/>
        <w:ind w:firstLine="2188" w:firstLineChars="690"/>
        <w:rPr>
          <w:rFonts w:hint="eastAsia" w:eastAsia="仿宋_GB2312"/>
          <w:sz w:val="32"/>
        </w:rPr>
      </w:pPr>
    </w:p>
    <w:p>
      <w:pPr>
        <w:spacing w:line="348" w:lineRule="auto"/>
        <w:ind w:firstLine="2188" w:firstLineChars="690"/>
        <w:rPr>
          <w:rFonts w:hint="eastAsia" w:eastAsia="仿宋_GB2312"/>
          <w:sz w:val="32"/>
        </w:rPr>
      </w:pPr>
    </w:p>
    <w:p>
      <w:pPr>
        <w:spacing w:line="348" w:lineRule="auto"/>
        <w:ind w:firstLine="2188" w:firstLineChars="69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报告日期：202</w:t>
      </w:r>
      <w:r>
        <w:rPr>
          <w:rFonts w:hint="eastAsia" w:eastAsia="仿宋_GB2312"/>
          <w:sz w:val="32"/>
          <w:lang w:val="en-US" w:eastAsia="zh-CN"/>
        </w:rPr>
        <w:t>2</w:t>
      </w:r>
      <w:r>
        <w:rPr>
          <w:rFonts w:hint="eastAsia" w:eastAsia="仿宋_GB2312"/>
          <w:sz w:val="32"/>
        </w:rPr>
        <w:t>年</w:t>
      </w:r>
      <w:r>
        <w:rPr>
          <w:rFonts w:hint="eastAsia" w:eastAsia="仿宋_GB2312"/>
          <w:sz w:val="32"/>
          <w:lang w:val="en-US" w:eastAsia="zh-CN"/>
        </w:rPr>
        <w:t>3</w:t>
      </w:r>
      <w:r>
        <w:rPr>
          <w:rFonts w:hint="eastAsia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>30</w:t>
      </w:r>
      <w:r>
        <w:rPr>
          <w:rFonts w:hint="eastAsia" w:eastAsia="仿宋_GB2312"/>
          <w:sz w:val="32"/>
        </w:rPr>
        <w:t>日</w:t>
      </w:r>
    </w:p>
    <w:p>
      <w:pPr>
        <w:autoSpaceDN w:val="0"/>
        <w:jc w:val="center"/>
        <w:textAlignment w:val="center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</w:rPr>
        <w:t>临湘市财政</w:t>
      </w:r>
      <w:r>
        <w:rPr>
          <w:rFonts w:hint="eastAsia" w:eastAsia="仿宋_GB2312"/>
          <w:sz w:val="32"/>
          <w:szCs w:val="32"/>
        </w:rPr>
        <w:t>局（制）</w:t>
      </w:r>
    </w:p>
    <w:p>
      <w:pPr>
        <w:autoSpaceDN w:val="0"/>
        <w:jc w:val="center"/>
        <w:textAlignment w:val="center"/>
        <w:rPr>
          <w:rFonts w:hint="eastAsia" w:eastAsia="仿宋_GB2312"/>
          <w:sz w:val="32"/>
          <w:szCs w:val="32"/>
        </w:rPr>
        <w:sectPr>
          <w:footerReference r:id="rId3" w:type="even"/>
          <w:pgSz w:w="11906" w:h="16838"/>
          <w:pgMar w:top="1701" w:right="1417" w:bottom="1701" w:left="1417" w:header="851" w:footer="992" w:gutter="0"/>
          <w:pgNumType w:fmt="numberInDash" w:start="8"/>
          <w:cols w:space="720" w:num="1"/>
          <w:docGrid w:type="linesAndChars" w:linePitch="602" w:charSpace="-782"/>
        </w:sectPr>
      </w:pPr>
    </w:p>
    <w:tbl>
      <w:tblPr>
        <w:tblStyle w:val="8"/>
        <w:tblW w:w="1023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392"/>
        <w:gridCol w:w="49"/>
        <w:gridCol w:w="477"/>
        <w:gridCol w:w="82"/>
        <w:gridCol w:w="657"/>
        <w:gridCol w:w="333"/>
        <w:gridCol w:w="1000"/>
        <w:gridCol w:w="417"/>
        <w:gridCol w:w="1033"/>
        <w:gridCol w:w="277"/>
        <w:gridCol w:w="24"/>
        <w:gridCol w:w="1316"/>
        <w:gridCol w:w="59"/>
        <w:gridCol w:w="425"/>
        <w:gridCol w:w="975"/>
        <w:gridCol w:w="343"/>
        <w:gridCol w:w="248"/>
        <w:gridCol w:w="452"/>
        <w:gridCol w:w="6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0237" w:type="dxa"/>
            <w:gridSpan w:val="19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  <w:t>一、部门（单位）基本概况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2000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</w:t>
            </w:r>
          </w:p>
        </w:tc>
        <w:tc>
          <w:tcPr>
            <w:tcW w:w="3717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梅小琼</w:t>
            </w:r>
          </w:p>
        </w:tc>
        <w:tc>
          <w:tcPr>
            <w:tcW w:w="279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联络电话</w:t>
            </w:r>
          </w:p>
        </w:tc>
        <w:tc>
          <w:tcPr>
            <w:tcW w:w="172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13762053456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2000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人员编制</w:t>
            </w:r>
          </w:p>
        </w:tc>
        <w:tc>
          <w:tcPr>
            <w:tcW w:w="3717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184</w:t>
            </w:r>
          </w:p>
        </w:tc>
        <w:tc>
          <w:tcPr>
            <w:tcW w:w="279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实有人数</w:t>
            </w:r>
          </w:p>
        </w:tc>
        <w:tc>
          <w:tcPr>
            <w:tcW w:w="172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00" w:hRule="atLeast"/>
        </w:trPr>
        <w:tc>
          <w:tcPr>
            <w:tcW w:w="2000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职能职责概述</w:t>
            </w:r>
          </w:p>
        </w:tc>
        <w:tc>
          <w:tcPr>
            <w:tcW w:w="8237" w:type="dxa"/>
            <w:gridSpan w:val="1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实施中小学义务教育，促进基础教育发展，负责中小学学历教育（相关社会服务）。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64" w:hRule="atLeast"/>
        </w:trPr>
        <w:tc>
          <w:tcPr>
            <w:tcW w:w="2000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年度主要工作内容</w:t>
            </w:r>
          </w:p>
        </w:tc>
        <w:tc>
          <w:tcPr>
            <w:tcW w:w="8237" w:type="dxa"/>
            <w:gridSpan w:val="15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打造高效课堂，加强教研会，坚持听课评课制度。支持鼓励青年教师参加优质课比武活动,一人参赛,众人参研。</w:t>
            </w:r>
          </w:p>
          <w:p>
            <w:pPr>
              <w:numPr>
                <w:ilvl w:val="0"/>
                <w:numId w:val="1"/>
              </w:num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全面落实“双减”政策。</w:t>
            </w:r>
          </w:p>
          <w:p>
            <w:pPr>
              <w:numPr>
                <w:ilvl w:val="0"/>
                <w:numId w:val="1"/>
              </w:num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严格收费制度，杜绝乱收费现象。规范收费标准，做到财务公开。帐目日清月结。财产责任到人，坚持谁损坏谁赔偿的原则，控制学校财产流失。</w:t>
            </w:r>
          </w:p>
          <w:p>
            <w:pPr>
              <w:numPr>
                <w:ilvl w:val="0"/>
                <w:numId w:val="1"/>
              </w:numPr>
              <w:autoSpaceDN w:val="0"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加强学习，强化教师的师德师风教育，强化教师的业务学习，强化对新课程理念的认识。 </w:t>
            </w:r>
          </w:p>
          <w:p>
            <w:pPr>
              <w:numPr>
                <w:ilvl w:val="0"/>
                <w:numId w:val="1"/>
              </w:num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学学历教育，严格控制大班额，完成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年级学生招生及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年级学生毕业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" w:hRule="atLeast"/>
        </w:trPr>
        <w:tc>
          <w:tcPr>
            <w:tcW w:w="2000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年度部门（单位）总体运行情况及取得的成绩</w:t>
            </w:r>
          </w:p>
        </w:tc>
        <w:tc>
          <w:tcPr>
            <w:tcW w:w="8237" w:type="dxa"/>
            <w:gridSpan w:val="15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N w:val="0"/>
              <w:spacing w:line="400" w:lineRule="exact"/>
              <w:ind w:left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02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年度我校在上级教育主管部门的正确领导和社会各界的关注下，教育教学及各方面工作取得了优异成绩，特别是中考普高录取了，首次突破了80%，创造了新的辉煌，同时学校一年来也获得了各种奖励和荣誉称号。</w:t>
            </w:r>
          </w:p>
          <w:p>
            <w:pPr>
              <w:numPr>
                <w:ilvl w:val="0"/>
                <w:numId w:val="0"/>
              </w:numPr>
              <w:autoSpaceDN w:val="0"/>
              <w:spacing w:line="400" w:lineRule="exact"/>
              <w:ind w:left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utoSpaceDN w:val="0"/>
              <w:spacing w:line="400" w:lineRule="exact"/>
              <w:ind w:left="408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1、岳阳日报全媒体专题报道学校预防学生食物中毒疏散演练</w:t>
            </w:r>
          </w:p>
          <w:p>
            <w:pPr>
              <w:numPr>
                <w:ilvl w:val="0"/>
                <w:numId w:val="0"/>
              </w:numPr>
              <w:autoSpaceDN w:val="0"/>
              <w:spacing w:line="400" w:lineRule="exact"/>
              <w:ind w:left="408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临湘市中小学运动会象棋比赛男子团体第二名</w:t>
            </w:r>
          </w:p>
          <w:p>
            <w:pPr>
              <w:numPr>
                <w:ilvl w:val="0"/>
                <w:numId w:val="0"/>
              </w:numPr>
              <w:autoSpaceDN w:val="0"/>
              <w:spacing w:line="400" w:lineRule="exact"/>
              <w:ind w:left="408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第十四届中小学运动会团体总分第一名</w:t>
            </w:r>
          </w:p>
          <w:p>
            <w:pPr>
              <w:numPr>
                <w:ilvl w:val="0"/>
                <w:numId w:val="0"/>
              </w:numPr>
              <w:autoSpaceDN w:val="0"/>
              <w:spacing w:line="400" w:lineRule="exact"/>
              <w:ind w:left="408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第十四届中小学运动会田径比赛团体总分第二名</w:t>
            </w:r>
          </w:p>
          <w:p>
            <w:pPr>
              <w:numPr>
                <w:ilvl w:val="0"/>
                <w:numId w:val="0"/>
              </w:numPr>
              <w:autoSpaceDN w:val="0"/>
              <w:spacing w:line="400" w:lineRule="exact"/>
              <w:ind w:left="408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第十四届中学生篮球比赛第二名</w:t>
            </w:r>
          </w:p>
          <w:p>
            <w:pPr>
              <w:numPr>
                <w:ilvl w:val="0"/>
                <w:numId w:val="0"/>
              </w:numPr>
              <w:autoSpaceDN w:val="0"/>
              <w:spacing w:line="400" w:lineRule="exact"/>
              <w:ind w:left="408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第十四届中小学运动会象棋比赛女子团体第一名</w:t>
            </w:r>
          </w:p>
          <w:p>
            <w:pPr>
              <w:numPr>
                <w:ilvl w:val="0"/>
                <w:numId w:val="0"/>
              </w:numPr>
              <w:autoSpaceDN w:val="0"/>
              <w:spacing w:line="400" w:lineRule="exact"/>
              <w:ind w:left="408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7</w:t>
            </w:r>
            <w:r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第十四届中小学运动会围棋比赛男子团体第一名</w:t>
            </w:r>
          </w:p>
          <w:p>
            <w:pPr>
              <w:numPr>
                <w:ilvl w:val="0"/>
                <w:numId w:val="0"/>
              </w:numPr>
              <w:autoSpaceDN w:val="0"/>
              <w:spacing w:line="400" w:lineRule="exact"/>
              <w:ind w:left="408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8</w:t>
            </w:r>
            <w:r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临湘市2022年中小学生建制班合唱比赛一等奖</w:t>
            </w:r>
          </w:p>
          <w:p>
            <w:pPr>
              <w:numPr>
                <w:ilvl w:val="0"/>
                <w:numId w:val="0"/>
              </w:numPr>
              <w:autoSpaceDN w:val="0"/>
              <w:spacing w:line="400" w:lineRule="exact"/>
              <w:ind w:left="408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9</w:t>
            </w:r>
            <w:r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临湘市初中教育教学质量先进学校</w:t>
            </w:r>
          </w:p>
          <w:p>
            <w:pPr>
              <w:numPr>
                <w:ilvl w:val="0"/>
                <w:numId w:val="0"/>
              </w:numPr>
              <w:autoSpaceDN w:val="0"/>
              <w:spacing w:line="400" w:lineRule="exact"/>
              <w:ind w:left="408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10</w:t>
            </w:r>
            <w:r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临湘市教改工作先进学校</w:t>
            </w:r>
          </w:p>
          <w:p>
            <w:pPr>
              <w:numPr>
                <w:ilvl w:val="0"/>
                <w:numId w:val="0"/>
              </w:numPr>
              <w:autoSpaceDN w:val="0"/>
              <w:spacing w:line="400" w:lineRule="exact"/>
              <w:ind w:left="408" w:leftChars="0" w:firstLine="0" w:firstLineChars="0"/>
              <w:jc w:val="left"/>
              <w:textAlignment w:val="center"/>
              <w:rPr>
                <w:rFonts w:hint="eastAsia"/>
                <w:color w:val="00000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lang w:val="en-US" w:eastAsia="zh-CN"/>
              </w:rPr>
              <w:t>2021年年度考核先进</w:t>
            </w:r>
          </w:p>
          <w:p>
            <w:pPr>
              <w:numPr>
                <w:ilvl w:val="0"/>
                <w:numId w:val="0"/>
              </w:numPr>
              <w:autoSpaceDN w:val="0"/>
              <w:spacing w:line="400" w:lineRule="exact"/>
              <w:jc w:val="left"/>
              <w:textAlignment w:val="center"/>
              <w:rPr>
                <w:rFonts w:hint="eastAsia"/>
                <w:color w:val="000000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utoSpaceDN w:val="0"/>
              <w:spacing w:line="400" w:lineRule="exact"/>
              <w:jc w:val="left"/>
              <w:textAlignment w:val="center"/>
              <w:rPr>
                <w:rFonts w:hint="eastAsia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0237" w:type="dxa"/>
            <w:gridSpan w:val="19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  <w:t>二、部门（单位）收支情况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0237" w:type="dxa"/>
            <w:gridSpan w:val="19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年度收入情况（万元）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机构名称</w:t>
            </w:r>
          </w:p>
        </w:tc>
        <w:tc>
          <w:tcPr>
            <w:tcW w:w="1265" w:type="dxa"/>
            <w:gridSpan w:val="4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收入合计</w:t>
            </w:r>
          </w:p>
        </w:tc>
        <w:tc>
          <w:tcPr>
            <w:tcW w:w="7580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5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上年结转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公共财政拨款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政府基金拨款</w:t>
            </w:r>
          </w:p>
        </w:tc>
        <w:tc>
          <w:tcPr>
            <w:tcW w:w="2050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纳入专户管理的非税收入拨款</w:t>
            </w: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2" w:hRule="atLeast"/>
        </w:trPr>
        <w:tc>
          <w:tcPr>
            <w:tcW w:w="1392" w:type="dxa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2661.39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2661.39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50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50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2661.39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2661.39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50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50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0237" w:type="dxa"/>
            <w:gridSpan w:val="19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部门（单位）年度支出和结余情况（万元）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265" w:type="dxa"/>
            <w:gridSpan w:val="4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支出合计</w:t>
            </w:r>
          </w:p>
        </w:tc>
        <w:tc>
          <w:tcPr>
            <w:tcW w:w="6202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378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基本支出</w:t>
            </w:r>
          </w:p>
        </w:tc>
        <w:tc>
          <w:tcPr>
            <w:tcW w:w="3551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318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项目支出</w:t>
            </w:r>
          </w:p>
        </w:tc>
        <w:tc>
          <w:tcPr>
            <w:tcW w:w="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当年结余</w:t>
            </w:r>
          </w:p>
        </w:tc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累计结余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人员支出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公用支出</w:t>
            </w:r>
          </w:p>
        </w:tc>
        <w:tc>
          <w:tcPr>
            <w:tcW w:w="1318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2661.39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2661.39</w:t>
            </w: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2327.58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333.81</w:t>
            </w: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7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6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2661.39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2661.39</w:t>
            </w: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2327.58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333.81</w:t>
            </w: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7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6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7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6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265" w:type="dxa"/>
            <w:gridSpan w:val="4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三公经费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7580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公务接待费</w:t>
            </w: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公务用车运维费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公务用车购置费</w:t>
            </w:r>
          </w:p>
        </w:tc>
        <w:tc>
          <w:tcPr>
            <w:tcW w:w="2696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因公出国费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2696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96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96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133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2696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265" w:type="dxa"/>
            <w:gridSpan w:val="4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固定资产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6202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378" w:type="dxa"/>
            <w:gridSpan w:val="3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8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在用固定资产</w:t>
            </w:r>
          </w:p>
        </w:tc>
        <w:tc>
          <w:tcPr>
            <w:tcW w:w="311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出租固定资产</w:t>
            </w:r>
          </w:p>
        </w:tc>
        <w:tc>
          <w:tcPr>
            <w:tcW w:w="1378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1990.98</w:t>
            </w:r>
          </w:p>
        </w:tc>
        <w:tc>
          <w:tcPr>
            <w:tcW w:w="308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1990.98</w:t>
            </w: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8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2、二级机构1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1990.98</w:t>
            </w:r>
          </w:p>
        </w:tc>
        <w:tc>
          <w:tcPr>
            <w:tcW w:w="308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1990.98</w:t>
            </w: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26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8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0237" w:type="dxa"/>
            <w:gridSpan w:val="19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41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整体支出绩效定性目标及实施计划完成情况</w:t>
            </w:r>
          </w:p>
        </w:tc>
        <w:tc>
          <w:tcPr>
            <w:tcW w:w="4276" w:type="dxa"/>
            <w:gridSpan w:val="8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预期目标</w:t>
            </w:r>
          </w:p>
        </w:tc>
        <w:tc>
          <w:tcPr>
            <w:tcW w:w="4520" w:type="dxa"/>
            <w:gridSpan w:val="9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实际完成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473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276" w:type="dxa"/>
            <w:gridSpan w:val="8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目标1：完成中学学历教育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 xml:space="preserve">目标2：完成市教体局年度发展任务 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目标3：加强教师学习（师德师风、业务能力、新课程标准、双减等方面）</w:t>
            </w:r>
          </w:p>
        </w:tc>
        <w:tc>
          <w:tcPr>
            <w:tcW w:w="4520" w:type="dxa"/>
            <w:gridSpan w:val="9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顺利完成中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  <w:lang w:eastAsia="zh-CN"/>
              </w:rPr>
              <w:t>小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学历教育，完成市教体局年度发展任务，完成教师培训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441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绩效定量目标及实施计划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完成情况</w:t>
            </w:r>
          </w:p>
        </w:tc>
        <w:tc>
          <w:tcPr>
            <w:tcW w:w="2966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评价内容</w:t>
            </w: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绩效目标</w:t>
            </w: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66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产出目标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（部门工作实绩，包含上级部门和区委区政府布置的重点工作、实事任务等，根据部门实际进行调整细化）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质量指标</w:t>
            </w: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我校每期开展“美文、经典诵读”活动，效果良好</w:t>
            </w: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highlight w:val="none"/>
              </w:rPr>
              <w:t>我校被授予“湖南省最美诵读校园”和“语言文字示范校”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highlight w:val="none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13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数量指标</w:t>
            </w: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完成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eastAsia="zh-CN"/>
              </w:rPr>
              <w:t>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年级招生，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个班，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1050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余人。完成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学学历教育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eastAsia="zh-CN"/>
              </w:rPr>
              <w:t>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年级毕业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val="en-US" w:eastAsia="zh-CN"/>
              </w:rPr>
              <w:t>958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人</w:t>
            </w:r>
          </w:p>
        </w:tc>
        <w:tc>
          <w:tcPr>
            <w:tcW w:w="3121" w:type="dxa"/>
            <w:gridSpan w:val="6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highlight w:val="none"/>
              </w:rPr>
              <w:t>按照国家政策要求完成学区内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highlight w:val="none"/>
                <w:lang w:eastAsia="zh-CN"/>
              </w:rPr>
              <w:t>七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highlight w:val="none"/>
              </w:rPr>
              <w:t>年级招生，顺利完成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highlight w:val="none"/>
                <w:lang w:eastAsia="zh-CN"/>
              </w:rPr>
              <w:t>中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highlight w:val="none"/>
              </w:rPr>
              <w:t>学学历教育。在“临湘市青少年才艺大赛”中，我校学生在书法、绘画、朗诵、演讲与口才、舞蹈等方面有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highlight w:val="none"/>
                <w:lang w:val="en-US" w:eastAsia="zh-CN"/>
              </w:rPr>
              <w:t>200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highlight w:val="none"/>
              </w:rPr>
              <w:t>人参赛，获奖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highlight w:val="none"/>
              </w:rPr>
              <w:t>人，有多名教师被评为优秀辅导教师，学校被评为青少年才艺大赛“优秀组织奖”。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1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落实双减政策，开办各色培训班，积极参加各项活动</w:t>
            </w:r>
          </w:p>
        </w:tc>
        <w:tc>
          <w:tcPr>
            <w:tcW w:w="3121" w:type="dxa"/>
            <w:gridSpan w:val="6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82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时效指标</w:t>
            </w: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按时完成绩效评价</w:t>
            </w: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在全市年度综合绩效考评中，被评为先进单位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82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成本指标</w:t>
            </w: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资金专款专用</w:t>
            </w: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财政资金专款专用，无挤占、挪用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效益目标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（预期实现的效益）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社会效益</w:t>
            </w: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完成本年度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eastAsia="zh-CN"/>
              </w:rPr>
              <w:t>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年级招生，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eastAsia="zh-CN"/>
              </w:rPr>
              <w:t>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年级毕业及学生转校手续，严格控制了大班额</w:t>
            </w: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highlight w:val="none"/>
              </w:rPr>
              <w:t>全面完成了任务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经济效益</w:t>
            </w: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资金使用率高，得到了有效利用</w:t>
            </w: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资金合理安排，专款专用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生态效益</w:t>
            </w: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完善学校各项设施，做好教师培训</w:t>
            </w: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改善办学条件，为双减政策的落实，学校特色课程的开展打好了基础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</w:trPr>
        <w:tc>
          <w:tcPr>
            <w:tcW w:w="1441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社会公众或服务对象满意度</w:t>
            </w:r>
          </w:p>
        </w:tc>
        <w:tc>
          <w:tcPr>
            <w:tcW w:w="270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公众满意度高</w:t>
            </w: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群众对我校满意度高；学校的特色课程和特色活动得到了家长的认可和点赞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2990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绩效自评综合得分</w:t>
            </w:r>
          </w:p>
        </w:tc>
        <w:tc>
          <w:tcPr>
            <w:tcW w:w="7247" w:type="dxa"/>
            <w:gridSpan w:val="1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97.5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2990" w:type="dxa"/>
            <w:gridSpan w:val="6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评价等次</w:t>
            </w:r>
          </w:p>
        </w:tc>
        <w:tc>
          <w:tcPr>
            <w:tcW w:w="7247" w:type="dxa"/>
            <w:gridSpan w:val="1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0237" w:type="dxa"/>
            <w:gridSpan w:val="19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8"/>
                <w:szCs w:val="28"/>
              </w:rPr>
              <w:t>四、评价人员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3799" w:type="dxa"/>
            <w:gridSpan w:val="7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职务/职称</w:t>
            </w:r>
          </w:p>
        </w:tc>
        <w:tc>
          <w:tcPr>
            <w:tcW w:w="279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  位</w:t>
            </w:r>
          </w:p>
        </w:tc>
        <w:tc>
          <w:tcPr>
            <w:tcW w:w="172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  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李再兵</w:t>
            </w:r>
          </w:p>
        </w:tc>
        <w:tc>
          <w:tcPr>
            <w:tcW w:w="3799" w:type="dxa"/>
            <w:gridSpan w:val="7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校长</w:t>
            </w:r>
          </w:p>
        </w:tc>
        <w:tc>
          <w:tcPr>
            <w:tcW w:w="279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临湘市第六中学</w:t>
            </w:r>
          </w:p>
        </w:tc>
        <w:tc>
          <w:tcPr>
            <w:tcW w:w="172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谢磊</w:t>
            </w:r>
          </w:p>
        </w:tc>
        <w:tc>
          <w:tcPr>
            <w:tcW w:w="3799" w:type="dxa"/>
            <w:gridSpan w:val="7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副校长</w:t>
            </w:r>
          </w:p>
        </w:tc>
        <w:tc>
          <w:tcPr>
            <w:tcW w:w="279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临湘市第六中学</w:t>
            </w:r>
          </w:p>
        </w:tc>
        <w:tc>
          <w:tcPr>
            <w:tcW w:w="172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梅小琼</w:t>
            </w:r>
          </w:p>
        </w:tc>
        <w:tc>
          <w:tcPr>
            <w:tcW w:w="3799" w:type="dxa"/>
            <w:gridSpan w:val="7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会计</w:t>
            </w:r>
          </w:p>
        </w:tc>
        <w:tc>
          <w:tcPr>
            <w:tcW w:w="279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临湘市第六中学</w:t>
            </w:r>
          </w:p>
        </w:tc>
        <w:tc>
          <w:tcPr>
            <w:tcW w:w="172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</w:trPr>
        <w:tc>
          <w:tcPr>
            <w:tcW w:w="1918" w:type="dxa"/>
            <w:gridSpan w:val="3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799" w:type="dxa"/>
            <w:gridSpan w:val="7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99" w:type="dxa"/>
            <w:gridSpan w:val="5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21" w:type="dxa"/>
            <w:gridSpan w:val="4"/>
            <w:noWrap w:val="0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27" w:hRule="atLeast"/>
        </w:trPr>
        <w:tc>
          <w:tcPr>
            <w:tcW w:w="10237" w:type="dxa"/>
            <w:gridSpan w:val="19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评价组组长（签字）：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84" w:hRule="atLeast"/>
        </w:trPr>
        <w:tc>
          <w:tcPr>
            <w:tcW w:w="10237" w:type="dxa"/>
            <w:gridSpan w:val="19"/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部门（单位）意见：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部门（单位）负责人（签章）：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66" w:hRule="atLeast"/>
        </w:trPr>
        <w:tc>
          <w:tcPr>
            <w:tcW w:w="10237" w:type="dxa"/>
            <w:gridSpan w:val="19"/>
            <w:noWrap w:val="0"/>
            <w:vAlign w:val="center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财政部门归口业务科室负责人（签章）：</w:t>
            </w:r>
          </w:p>
          <w:p>
            <w:pPr>
              <w:autoSpaceDN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       年    月   日</w:t>
            </w:r>
          </w:p>
        </w:tc>
      </w:tr>
    </w:tbl>
    <w:p>
      <w:pPr>
        <w:rPr>
          <w:rFonts w:hint="eastAsia"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                          联系电话：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</w:trPr>
        <w:tc>
          <w:tcPr>
            <w:tcW w:w="1042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30" w:firstLineChars="200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firstLine="55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一、部门（单位）概况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</w:rPr>
              <w:t>临湘市第六中学只设置了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  <w:lang w:eastAsia="zh-CN"/>
              </w:rPr>
              <w:t>初级中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</w:rPr>
              <w:t>学一个单位，无附属幼儿园及教学点。主要职责是实施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  <w:lang w:eastAsia="zh-CN"/>
              </w:rPr>
              <w:t>初中学历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</w:rPr>
              <w:t>教育，促进基础教育发展，负责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  <w:lang w:eastAsia="zh-CN"/>
              </w:rPr>
              <w:t>初中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</w:rPr>
              <w:t>学历教育（相关社会服务）。学校内设教导处、政教处、总务处、办公室、党建、工会，实有人数175人。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</w:rPr>
              <w:t>2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  <w:highlight w:val="none"/>
              </w:rPr>
              <w:t>02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</w:rPr>
              <w:t>年度截止到1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  <w:highlight w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</w:rPr>
              <w:t>月支出合计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  <w:lang w:val="en-US" w:eastAsia="zh-CN"/>
              </w:rPr>
              <w:t>2661.39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</w:rPr>
              <w:t>元，基本支出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  <w:lang w:val="en-US" w:eastAsia="zh-CN"/>
              </w:rPr>
              <w:t>2661.39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万元，其中人员支出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2327.28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万元，公用支出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333.81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万元。</w:t>
            </w:r>
          </w:p>
          <w:p>
            <w:pPr>
              <w:spacing w:line="400" w:lineRule="exact"/>
              <w:ind w:firstLine="55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二、部门（单位）整体支出管理及使用情况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资金使用规范，注重绩效，支出审批程序严格，厉行节约，支出费用合理，确保了专款专用，最大限度的提高资金的使用效益。严格按照预算编制控制人员经费的使用。严格控制公用支出，所有公用支出都按照先计划再审批最后采购的原则进行。截止到1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月，我校三公经费合计0万元，严格按照要求厉行节约。</w:t>
            </w:r>
          </w:p>
          <w:p>
            <w:pPr>
              <w:spacing w:line="400" w:lineRule="exact"/>
              <w:ind w:firstLine="55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三、部门（单位）专项组织实施情况</w:t>
            </w:r>
          </w:p>
          <w:p>
            <w:pPr>
              <w:spacing w:line="400" w:lineRule="exact"/>
              <w:ind w:firstLine="55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为加强单位资金使用效率，落实好财务管理制度，我校制定了内控管理制度、财务管理制度，严格把控资金使用。严格按照相关会计制度进行会计核算和财务处理，做到财务处理及时、会计核算规范。专项资金纳入国库集中支付管理，单位严把审批关，杜绝了弄虚作假、截留、挤占、挪用专项资金的情况发生。</w:t>
            </w:r>
          </w:p>
          <w:p>
            <w:pPr>
              <w:spacing w:line="400" w:lineRule="exact"/>
              <w:ind w:firstLine="550" w:firstLineChars="200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四、部门（单位）整体支出绩效情况</w:t>
            </w:r>
          </w:p>
          <w:p>
            <w:pPr>
              <w:spacing w:line="400" w:lineRule="exact"/>
              <w:ind w:firstLine="55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1、单位整体支出情况分析：202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年，本部门整体支出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2661.39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万元，其中：基本支出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2661.39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万元，占全年支出的100%，其中人员经费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2327.28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万元，占全年支出的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87.2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%，日常公用经费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331.81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万元，占全年支出的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12.8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%</w:t>
            </w:r>
          </w:p>
          <w:p>
            <w:pPr>
              <w:spacing w:line="400" w:lineRule="exact"/>
              <w:ind w:firstLine="550" w:firstLineChars="2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2、“三公”经费支出情况：202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年，“三公”经费完成0元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3、固定资产管理情况分析：按照厉行节约，物尽其用的原则。本单位资产由专人管理，统一核算，对每件固定资产使用明确保管职责，责任到人。</w:t>
            </w:r>
          </w:p>
          <w:p>
            <w:pPr>
              <w:spacing w:line="400" w:lineRule="exact"/>
              <w:ind w:firstLine="550" w:firstLineChars="200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五、存在的主要问。</w:t>
            </w:r>
          </w:p>
          <w:p>
            <w:pPr>
              <w:spacing w:line="400" w:lineRule="exact"/>
              <w:ind w:firstLine="55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财政资金的使用方面，我们需要严格把关。</w:t>
            </w:r>
          </w:p>
          <w:p>
            <w:pPr>
              <w:spacing w:line="400" w:lineRule="exact"/>
              <w:ind w:firstLine="55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六、改进措施和有关建议</w:t>
            </w:r>
            <w:bookmarkStart w:id="0" w:name="_GoBack"/>
            <w:bookmarkEnd w:id="0"/>
          </w:p>
          <w:p>
            <w:pPr>
              <w:adjustRightInd w:val="0"/>
              <w:snapToGrid w:val="0"/>
              <w:ind w:firstLine="55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一、加强学习。加强相关人员业务学习</w:t>
            </w:r>
          </w:p>
          <w:p>
            <w:pPr>
              <w:adjustRightInd w:val="0"/>
              <w:snapToGrid w:val="0"/>
              <w:ind w:firstLine="550"/>
              <w:rPr>
                <w:rFonts w:hint="eastAsia" w:eastAsia="楷体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二、严格财务审核。</w:t>
            </w:r>
          </w:p>
        </w:tc>
      </w:tr>
    </w:tbl>
    <w:p>
      <w:pPr>
        <w:spacing w:line="348" w:lineRule="auto"/>
        <w:rPr>
          <w:rFonts w:hint="eastAsia" w:eastAsia="仿宋_GB2312"/>
          <w:bCs/>
          <w:sz w:val="32"/>
          <w:szCs w:val="32"/>
        </w:rPr>
      </w:pPr>
    </w:p>
    <w:sectPr>
      <w:footerReference r:id="rId4" w:type="default"/>
      <w:pgSz w:w="11906" w:h="16838"/>
      <w:pgMar w:top="1587" w:right="850" w:bottom="1587" w:left="850" w:header="851" w:footer="850" w:gutter="0"/>
      <w:pgNumType w:fmt="numberInDash" w:start="8"/>
      <w:cols w:space="720" w:num="1"/>
      <w:docGrid w:type="linesAndChars" w:linePitch="602" w:charSpace="-12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- 15 -</w:t>
    </w:r>
    <w:r>
      <w:fldChar w:fldCharType="end"/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F55736"/>
    <w:multiLevelType w:val="multilevel"/>
    <w:tmpl w:val="1EF55736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5ODA0ZDVkYjA1OTU4M2U1OTE1MTg5Nzg3YmY2ODUifQ=="/>
  </w:docVars>
  <w:rsids>
    <w:rsidRoot w:val="00172A27"/>
    <w:rsid w:val="0006777D"/>
    <w:rsid w:val="000F2B2A"/>
    <w:rsid w:val="00141B9E"/>
    <w:rsid w:val="002520FD"/>
    <w:rsid w:val="00295D54"/>
    <w:rsid w:val="002968B2"/>
    <w:rsid w:val="002B1C7F"/>
    <w:rsid w:val="002B6CB2"/>
    <w:rsid w:val="003002CB"/>
    <w:rsid w:val="00300C70"/>
    <w:rsid w:val="0031244D"/>
    <w:rsid w:val="00387C96"/>
    <w:rsid w:val="003A270F"/>
    <w:rsid w:val="0040780D"/>
    <w:rsid w:val="0048758E"/>
    <w:rsid w:val="004A15C5"/>
    <w:rsid w:val="004C16E6"/>
    <w:rsid w:val="004C25E3"/>
    <w:rsid w:val="00543431"/>
    <w:rsid w:val="005801DD"/>
    <w:rsid w:val="005C0BBD"/>
    <w:rsid w:val="005D11AC"/>
    <w:rsid w:val="00640434"/>
    <w:rsid w:val="006D495F"/>
    <w:rsid w:val="006D53BF"/>
    <w:rsid w:val="006D6C7C"/>
    <w:rsid w:val="006E038A"/>
    <w:rsid w:val="00721627"/>
    <w:rsid w:val="00742BB1"/>
    <w:rsid w:val="00777152"/>
    <w:rsid w:val="007C63EC"/>
    <w:rsid w:val="00846C1B"/>
    <w:rsid w:val="0085583B"/>
    <w:rsid w:val="00980258"/>
    <w:rsid w:val="00985920"/>
    <w:rsid w:val="009C4A76"/>
    <w:rsid w:val="009F1DFA"/>
    <w:rsid w:val="009F3071"/>
    <w:rsid w:val="009F49B4"/>
    <w:rsid w:val="00A27EC0"/>
    <w:rsid w:val="00A729E7"/>
    <w:rsid w:val="00AC0617"/>
    <w:rsid w:val="00AF15E6"/>
    <w:rsid w:val="00B621BE"/>
    <w:rsid w:val="00B7297E"/>
    <w:rsid w:val="00BA152B"/>
    <w:rsid w:val="00BA6E56"/>
    <w:rsid w:val="00BC41F8"/>
    <w:rsid w:val="00C0506E"/>
    <w:rsid w:val="00C17088"/>
    <w:rsid w:val="00C26B5D"/>
    <w:rsid w:val="00C26E13"/>
    <w:rsid w:val="00C71A3E"/>
    <w:rsid w:val="00CF12CA"/>
    <w:rsid w:val="00D0498A"/>
    <w:rsid w:val="00D37D82"/>
    <w:rsid w:val="00D73600"/>
    <w:rsid w:val="00D81FAF"/>
    <w:rsid w:val="00DC2B3F"/>
    <w:rsid w:val="00E5180C"/>
    <w:rsid w:val="00E92B84"/>
    <w:rsid w:val="00E95B1E"/>
    <w:rsid w:val="00E95DD4"/>
    <w:rsid w:val="00EF7832"/>
    <w:rsid w:val="00F22676"/>
    <w:rsid w:val="00F33990"/>
    <w:rsid w:val="00F44396"/>
    <w:rsid w:val="00F57930"/>
    <w:rsid w:val="00F94324"/>
    <w:rsid w:val="03244FC1"/>
    <w:rsid w:val="0461009C"/>
    <w:rsid w:val="06B4699D"/>
    <w:rsid w:val="0A546A15"/>
    <w:rsid w:val="0BF66D9B"/>
    <w:rsid w:val="109B04C7"/>
    <w:rsid w:val="1362073E"/>
    <w:rsid w:val="169A7CF2"/>
    <w:rsid w:val="17C93012"/>
    <w:rsid w:val="1A96061E"/>
    <w:rsid w:val="29F878FB"/>
    <w:rsid w:val="2E7668A1"/>
    <w:rsid w:val="2EB55486"/>
    <w:rsid w:val="328A15FF"/>
    <w:rsid w:val="32B07523"/>
    <w:rsid w:val="359466DF"/>
    <w:rsid w:val="37F07B57"/>
    <w:rsid w:val="395625B1"/>
    <w:rsid w:val="3A6309AC"/>
    <w:rsid w:val="3C3F7E7C"/>
    <w:rsid w:val="44D95443"/>
    <w:rsid w:val="45B914F0"/>
    <w:rsid w:val="45FE0DAE"/>
    <w:rsid w:val="48567A22"/>
    <w:rsid w:val="4A5272B7"/>
    <w:rsid w:val="4CFD3636"/>
    <w:rsid w:val="53C61226"/>
    <w:rsid w:val="5BD51F49"/>
    <w:rsid w:val="602A18D7"/>
    <w:rsid w:val="61195656"/>
    <w:rsid w:val="61FE016C"/>
    <w:rsid w:val="67D049DE"/>
    <w:rsid w:val="69E75352"/>
    <w:rsid w:val="71725BB0"/>
    <w:rsid w:val="7CAF64F3"/>
    <w:rsid w:val="7CB400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0" w:beforeLines="0" w:beforeAutospacing="0" w:after="0" w:afterLines="0" w:afterAutospacing="0" w:line="360" w:lineRule="auto"/>
      <w:ind w:firstLine="720" w:firstLineChars="200"/>
      <w:outlineLvl w:val="1"/>
    </w:pPr>
    <w:rPr>
      <w:rFonts w:ascii="Arial" w:hAnsi="Arial" w:eastAsia="黑体"/>
      <w:b/>
      <w:sz w:val="32"/>
      <w:szCs w:val="24"/>
      <w:lang w:bidi="ar-SA"/>
    </w:rPr>
  </w:style>
  <w:style w:type="paragraph" w:styleId="3">
    <w:name w:val="heading 3"/>
    <w:basedOn w:val="1"/>
    <w:next w:val="1"/>
    <w:link w:val="11"/>
    <w:qFormat/>
    <w:uiPriority w:val="0"/>
    <w:pPr>
      <w:keepNext/>
      <w:keepLines/>
      <w:spacing w:before="0" w:beforeLines="0" w:beforeAutospacing="0" w:after="0" w:afterLines="0" w:afterAutospacing="0" w:line="360" w:lineRule="auto"/>
      <w:outlineLvl w:val="2"/>
    </w:pPr>
    <w:rPr>
      <w:rFonts w:eastAsia="楷体_GB2312"/>
      <w:b/>
      <w:kern w:val="0"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2"/>
    <w:basedOn w:val="1"/>
    <w:qFormat/>
    <w:uiPriority w:val="0"/>
    <w:pPr>
      <w:ind w:firstLine="588" w:firstLineChars="200"/>
    </w:pPr>
    <w:rPr>
      <w:rFonts w:ascii="仿宋_GB2312" w:eastAsia="仿宋_GB2312"/>
      <w:sz w:val="32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10">
    <w:name w:val="page number"/>
    <w:qFormat/>
    <w:uiPriority w:val="0"/>
  </w:style>
  <w:style w:type="character" w:customStyle="1" w:styleId="11">
    <w:name w:val="标题 3 Char"/>
    <w:link w:val="3"/>
    <w:qFormat/>
    <w:uiPriority w:val="0"/>
    <w:rPr>
      <w:rFonts w:ascii="Times New Roman" w:hAnsi="Times New Roman" w:eastAsia="楷体_GB2312"/>
      <w:b/>
      <w:sz w:val="32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12</Pages>
  <Words>3265</Words>
  <Characters>3479</Characters>
  <Lines>42</Lines>
  <Paragraphs>11</Paragraphs>
  <TotalTime>11</TotalTime>
  <ScaleCrop>false</ScaleCrop>
  <LinksUpToDate>false</LinksUpToDate>
  <CharactersWithSpaces>4479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2014-04-23T07:54:00Z</dcterms:created>
  <dc:creator>史莉君  </dc:creator>
  <cp:lastModifiedBy>Administrator</cp:lastModifiedBy>
  <cp:lastPrinted>2022-09-02T01:46:00Z</cp:lastPrinted>
  <dcterms:modified xsi:type="dcterms:W3CDTF">2023-09-19T04:43:36Z</dcterms:modified>
  <dc:title>浙江省财政支出项目绩效评价报告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CFAB6F689D4C4867AF1B61BA1053E3A8</vt:lpwstr>
  </property>
</Properties>
</file>