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  <w:lang w:val="en-US" w:eastAsia="zh-CN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</w:rPr>
        <w:t>20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21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中共临湘市委党史研究室</w:t>
      </w:r>
      <w:r>
        <w:rPr>
          <w:rFonts w:hint="eastAsia" w:eastAsia="仿宋_GB2312"/>
          <w:sz w:val="32"/>
          <w:u w:val="single"/>
        </w:rPr>
        <w:t xml:space="preserve">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>临湘市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587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3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739"/>
        <w:gridCol w:w="333"/>
        <w:gridCol w:w="1000"/>
        <w:gridCol w:w="417"/>
        <w:gridCol w:w="14"/>
        <w:gridCol w:w="1019"/>
        <w:gridCol w:w="301"/>
        <w:gridCol w:w="1316"/>
        <w:gridCol w:w="59"/>
        <w:gridCol w:w="425"/>
        <w:gridCol w:w="135"/>
        <w:gridCol w:w="118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莎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13574001982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ind w:firstLine="47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落实中央、省、市党史研究室党史工作法规、条例和要求，承担党史研究及宣传教育等工作；积极开展党史编研工作，对全市党史资料进行征集、研究、整理、编撰；贯彻执行地方志工作法规，组织、指导、督促和检查全县地方志工作；拟定地方志工作规划和编纂方案，组织编纂地方志书、地方综合年鉴和其它地情文献；负责本市域内各类志书、年鉴的审稿、审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39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临湘市党史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档案保管和利用工作。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临湘市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围内党史、地方志、年鉴等编研与开发工作。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临湘市党史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档案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查阅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总体运行良好。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2021年度被评为综合绩效考评先进单位。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党史研究室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125.07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6.29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116.58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党史研究室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125.07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125.07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86.78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38.29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党史研究室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4.8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党史研究室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298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5816" w:type="dxa"/>
            <w:gridSpan w:val="10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80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</w:rPr>
              <w:t>目标1：</w:t>
            </w: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指标</w:t>
            </w:r>
            <w:r>
              <w:rPr>
                <w:rFonts w:hint="eastAsia" w:ascii="仿宋_GB2312" w:hAnsi="Calibri" w:eastAsia="仿宋_GB2312" w:cs="Times New Roman"/>
                <w:color w:val="000000"/>
                <w:lang w:val="en-US" w:eastAsia="zh-CN"/>
              </w:rPr>
              <w:t>1：</w:t>
            </w: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《临湘市年鉴·</w:t>
            </w:r>
            <w:r>
              <w:rPr>
                <w:rFonts w:hint="eastAsia" w:ascii="仿宋_GB2312" w:hAnsi="Calibri" w:eastAsia="仿宋_GB2312" w:cs="Times New Roman"/>
                <w:color w:val="000000"/>
                <w:lang w:val="en-US"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》公开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出版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目标2：馆藏档案</w:t>
            </w:r>
            <w:r>
              <w:rPr>
                <w:rFonts w:hint="eastAsia" w:ascii="仿宋_GB2312" w:eastAsia="仿宋_GB2312"/>
                <w:color w:val="000000"/>
              </w:rPr>
              <w:t>妥善保管和充分利用。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</w:rPr>
              <w:t>目标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：档案服务水平提高。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16" w:type="dxa"/>
            <w:gridSpan w:val="10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指标</w:t>
            </w:r>
            <w:r>
              <w:rPr>
                <w:rFonts w:hint="eastAsia" w:ascii="仿宋_GB2312" w:hAnsi="Calibri" w:eastAsia="仿宋_GB2312" w:cs="Times New Roman"/>
                <w:color w:val="000000"/>
                <w:lang w:val="en-US" w:eastAsia="zh-CN"/>
              </w:rPr>
              <w:t>1：</w:t>
            </w: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《临湘市年鉴·</w:t>
            </w:r>
            <w:r>
              <w:rPr>
                <w:rFonts w:hint="eastAsia" w:ascii="仿宋_GB2312" w:hAnsi="Calibri" w:eastAsia="仿宋_GB2312" w:cs="Times New Roman"/>
                <w:color w:val="000000"/>
                <w:lang w:val="en-US"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》公开</w:t>
            </w:r>
            <w:r>
              <w:rPr>
                <w:rFonts w:hint="eastAsia" w:ascii="仿宋_GB2312" w:hAnsi="Calibri" w:eastAsia="仿宋_GB2312" w:cs="Times New Roman"/>
                <w:color w:val="000000"/>
              </w:rPr>
              <w:t>出版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lang w:eastAsia="zh-CN"/>
              </w:rPr>
              <w:t>配合档案馆执法检查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2022年1-12月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lang w:val="en-US" w:eastAsia="zh-CN"/>
              </w:rPr>
              <w:t>严格控制预算、“三公”经费支出，做到预算支出不超标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档案查阅服务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130人次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档案服务满意度98%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许定华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中共临湘市委党史研究办公室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李小容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中共临湘市委党史研究办公室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莎</w:t>
            </w:r>
          </w:p>
        </w:tc>
        <w:tc>
          <w:tcPr>
            <w:tcW w:w="250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财务室干部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中共临湘市委党史研究办公室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中共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临湘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党史研究室主管全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史志档案工作，负责全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党史、地方志编研与开发，促进史志研究成果转化，档案服务等工作。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现有干部职工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8人，其中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全额拨款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编制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，全额拨款事业编制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2021年度临湘市委党史研究室整体支出共计125.07万元。主要用于基本支出和项目支出。基本支持包括人员支出和公用支出，项目支出主要包括档案利用和保护，临湘市年鉴书号、编辑、印刷、出版，党史联络与研究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基本支出108万元，其中人员支出100万元，公用支出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万元。其中“三公”经费支出合计4.8万元。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专项支出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2021年临湘市委党史研究室专项支出共计30万元，其中：史志编印经费25万元，党史宣教刊物5万元。主要用于了档案修补托裱、临湘市年鉴书号、编辑、印刷、出版、党史联络与研究等。专项资金拨付有完整的审批程序和手续，按照财经制度的有关要求，做到专款专用，单位纪检人员对专项资金的使用全程监督，保证资金使用的合规性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为加强我单位预算绩效管理，不断提高财政资金配置和使用效益，成立了财务管理工作领导小组。由主要负责人担任组长，分管财务副主任担任副组长，财务室干部为成员。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我单位制定了财务管理制度，制定了财务职责，制定了厉行节约制度，管理制度依照相关国家的法律、法规而制定，具有合法性、合规性、完整性，相关管理制度得到认真执行。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2021年我单位整体支出绩效实施计划完成情况：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1.《临湘市年鉴·2021》已完成公开出版。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2.馆藏档案的修补托裱及保护利用工作均已按时按质完成，较好的对档案资料进行保护。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3.联合档案馆开展档案工作行政执法检查，我市基层档案工作面貌有较大改观。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FF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widowControl/>
              <w:spacing w:line="560" w:lineRule="exact"/>
              <w:ind w:firstLine="550" w:firstLineChars="200"/>
              <w:jc w:val="lef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我单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位会计基础工作需要不断完善。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一）建立健全科学的预算管理体系，不断提高财政资金使用效率严格控制各项经费的开支，提高经费的使用效率。</w:t>
            </w:r>
          </w:p>
          <w:p>
            <w:pPr>
              <w:spacing w:line="56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（二）财务工作人员进一步加强学习，提高业务水平。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- 15 -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23A1"/>
    <w:multiLevelType w:val="singleLevel"/>
    <w:tmpl w:val="0C5623A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2UwOWY2OGNjYzcxNTI3MzFkNjYyMWIwNDQ3M2IifQ=="/>
  </w:docVars>
  <w:rsids>
    <w:rsidRoot w:val="636D6100"/>
    <w:rsid w:val="08275C22"/>
    <w:rsid w:val="083A4047"/>
    <w:rsid w:val="0C0D3381"/>
    <w:rsid w:val="1191235E"/>
    <w:rsid w:val="1A002777"/>
    <w:rsid w:val="1C6A3ED7"/>
    <w:rsid w:val="1F9C6A9E"/>
    <w:rsid w:val="1F9F033C"/>
    <w:rsid w:val="20B3409F"/>
    <w:rsid w:val="27F21951"/>
    <w:rsid w:val="2BCE4483"/>
    <w:rsid w:val="2FEE6EA1"/>
    <w:rsid w:val="305111DE"/>
    <w:rsid w:val="30A27C8C"/>
    <w:rsid w:val="33B421B0"/>
    <w:rsid w:val="407C4056"/>
    <w:rsid w:val="43964519"/>
    <w:rsid w:val="48223734"/>
    <w:rsid w:val="4CAE37E9"/>
    <w:rsid w:val="50650662"/>
    <w:rsid w:val="526E7576"/>
    <w:rsid w:val="5A186745"/>
    <w:rsid w:val="5CCE758F"/>
    <w:rsid w:val="60CC64DC"/>
    <w:rsid w:val="615D7134"/>
    <w:rsid w:val="6216132F"/>
    <w:rsid w:val="636D6100"/>
    <w:rsid w:val="647E7AED"/>
    <w:rsid w:val="6A154A4F"/>
    <w:rsid w:val="6D2356D5"/>
    <w:rsid w:val="6FA81EC2"/>
    <w:rsid w:val="7D470F6C"/>
    <w:rsid w:val="7D731D61"/>
    <w:rsid w:val="7E9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2022-09-26T23:32:00Z</dcterms:created>
  <dc:creator>若冰</dc:creator>
  <cp:lastModifiedBy>Administrator</cp:lastModifiedBy>
  <dcterms:modified xsi:type="dcterms:W3CDTF">2023-07-26T10:41:57Z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207514F8479E4D5093379153CCA12F4D</vt:lpwstr>
  </property>
</Properties>
</file>