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spacing w:line="560" w:lineRule="exact"/>
        <w:ind w:left="160" w:leftChars="0"/>
        <w:jc w:val="center"/>
        <w:rPr>
          <w:rFonts w:hint="eastAsia" w:ascii="方正仿宋_GBK" w:hAnsi="方正仿宋_GBK" w:eastAsia="方正仿宋_GBK"/>
          <w:b/>
          <w:bCs/>
          <w:color w:val="auto"/>
          <w:sz w:val="44"/>
          <w:szCs w:val="44"/>
          <w:highlight w:val="none"/>
          <w:lang w:val="zh-CN"/>
        </w:rPr>
      </w:pPr>
      <w:r>
        <w:rPr>
          <w:rFonts w:hint="eastAsia" w:ascii="方正仿宋_GBK" w:hAnsi="方正仿宋_GBK" w:eastAsia="方正仿宋_GBK"/>
          <w:b/>
          <w:bCs/>
          <w:color w:val="auto"/>
          <w:sz w:val="44"/>
          <w:szCs w:val="44"/>
          <w:highlight w:val="none"/>
          <w:lang w:val="zh-CN" w:eastAsia="zh-CN"/>
        </w:rPr>
        <w:t>营业厅</w:t>
      </w:r>
      <w:r>
        <w:rPr>
          <w:rFonts w:hint="eastAsia" w:ascii="方正仿宋_GBK" w:hAnsi="方正仿宋_GBK" w:eastAsia="方正仿宋_GBK"/>
          <w:b/>
          <w:bCs/>
          <w:color w:val="auto"/>
          <w:sz w:val="44"/>
          <w:szCs w:val="44"/>
          <w:highlight w:val="none"/>
          <w:lang w:val="zh-CN"/>
        </w:rPr>
        <w:t>信息公告标准</w:t>
      </w:r>
    </w:p>
    <w:p>
      <w:pPr>
        <w:widowControl w:val="0"/>
        <w:numPr>
          <w:ilvl w:val="0"/>
          <w:numId w:val="0"/>
        </w:numPr>
        <w:spacing w:line="560" w:lineRule="exact"/>
        <w:jc w:val="both"/>
        <w:rPr>
          <w:rFonts w:hint="eastAsia" w:ascii="方正仿宋_GBK" w:hAnsi="方正仿宋_GBK" w:eastAsia="方正仿宋_GBK"/>
          <w:b/>
          <w:bCs/>
          <w:color w:val="auto"/>
          <w:sz w:val="32"/>
          <w:szCs w:val="22"/>
          <w:highlight w:val="none"/>
          <w:lang w:val="zh-CN" w:eastAsia="zh-CN"/>
        </w:rPr>
      </w:pPr>
      <w:r>
        <w:rPr>
          <w:rFonts w:hint="eastAsia" w:ascii="方正仿宋_GBK" w:hAnsi="方正仿宋_GBK" w:eastAsia="方正仿宋_GBK"/>
          <w:color w:val="auto"/>
          <w:sz w:val="32"/>
          <w:highlight w:val="none"/>
          <w:lang w:val="zh-CN"/>
        </w:rPr>
        <w:drawing>
          <wp:anchor distT="0" distB="0" distL="114300" distR="114300" simplePos="0" relativeHeight="251666432" behindDoc="0" locked="0" layoutInCell="1" allowOverlap="1">
            <wp:simplePos x="0" y="0"/>
            <wp:positionH relativeFrom="column">
              <wp:posOffset>-291465</wp:posOffset>
            </wp:positionH>
            <wp:positionV relativeFrom="page">
              <wp:posOffset>1790700</wp:posOffset>
            </wp:positionV>
            <wp:extent cx="5922645" cy="7837805"/>
            <wp:effectExtent l="0" t="0" r="1905" b="10795"/>
            <wp:wrapSquare wrapText="bothSides"/>
            <wp:docPr id="10" name="图片 1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13"/>
                    <pic:cNvPicPr>
                      <a:picLocks noChangeAspect="1"/>
                    </pic:cNvPicPr>
                  </pic:nvPicPr>
                  <pic:blipFill>
                    <a:blip r:embed="rId4"/>
                    <a:srcRect l="52040" b="-747"/>
                    <a:stretch>
                      <a:fillRect/>
                    </a:stretch>
                  </pic:blipFill>
                  <pic:spPr>
                    <a:xfrm>
                      <a:off x="0" y="0"/>
                      <a:ext cx="5922645" cy="7837805"/>
                    </a:xfrm>
                    <a:prstGeom prst="rect">
                      <a:avLst/>
                    </a:prstGeom>
                  </pic:spPr>
                </pic:pic>
              </a:graphicData>
            </a:graphic>
          </wp:anchor>
        </w:drawing>
      </w:r>
      <w:r>
        <w:rPr>
          <w:rFonts w:hint="eastAsia" w:ascii="方正仿宋_GBK" w:hAnsi="方正仿宋_GBK" w:eastAsia="方正仿宋_GBK"/>
          <w:color w:val="auto"/>
          <w:sz w:val="32"/>
          <w:highlight w:val="none"/>
          <w:lang w:val="zh-CN"/>
        </w:rPr>
        <w:t>一</w:t>
      </w:r>
      <w:r>
        <w:rPr>
          <w:rFonts w:hint="eastAsia" w:ascii="方正仿宋_GBK" w:hAnsi="方正仿宋_GBK" w:eastAsia="方正仿宋_GBK"/>
          <w:b/>
          <w:bCs/>
          <w:color w:val="auto"/>
          <w:sz w:val="32"/>
          <w:szCs w:val="22"/>
          <w:highlight w:val="none"/>
          <w:lang w:val="zh-CN" w:eastAsia="zh-CN"/>
        </w:rPr>
        <w:t>、收费标准及依据</w:t>
      </w:r>
    </w:p>
    <w:p>
      <w:pPr>
        <w:widowControl w:val="0"/>
        <w:numPr>
          <w:ilvl w:val="0"/>
          <w:numId w:val="0"/>
        </w:numPr>
        <w:spacing w:line="560" w:lineRule="exact"/>
        <w:jc w:val="both"/>
        <w:rPr>
          <w:rFonts w:hint="eastAsia" w:ascii="方正仿宋_GBK" w:hAnsi="方正仿宋_GBK" w:eastAsia="方正仿宋_GBK"/>
          <w:color w:val="auto"/>
          <w:sz w:val="32"/>
          <w:highlight w:val="none"/>
          <w:lang w:val="zh-CN"/>
        </w:rPr>
        <w:sectPr>
          <w:pgSz w:w="11906" w:h="16838"/>
          <w:pgMar w:top="1440" w:right="1800" w:bottom="1440" w:left="1800" w:header="851" w:footer="992" w:gutter="0"/>
          <w:cols w:space="425" w:num="1"/>
          <w:docGrid w:type="lines" w:linePitch="312" w:charSpace="0"/>
        </w:sectPr>
      </w:pPr>
    </w:p>
    <w:tbl>
      <w:tblPr>
        <w:tblStyle w:val="3"/>
        <w:tblW w:w="13786" w:type="dxa"/>
        <w:jc w:val="center"/>
        <w:tblInd w:w="-45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010"/>
        <w:gridCol w:w="3315"/>
        <w:gridCol w:w="1590"/>
        <w:gridCol w:w="1650"/>
        <w:gridCol w:w="1785"/>
        <w:gridCol w:w="3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20" w:hRule="atLeast"/>
          <w:jc w:val="center"/>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收费项目</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文件依据</w:t>
            </w:r>
          </w:p>
        </w:tc>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收费标准</w:t>
            </w:r>
          </w:p>
        </w:tc>
        <w:tc>
          <w:tcPr>
            <w:tcW w:w="343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6" w:hRule="atLeast"/>
          <w:jc w:val="center"/>
        </w:trPr>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电力延伸服务收费</w:t>
            </w:r>
          </w:p>
        </w:tc>
        <w:tc>
          <w:tcPr>
            <w:tcW w:w="33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《岳阳市发展和改革委员会关于核定岳阳市电力延伸服务收费项目和标准的通知》（岳发改价商【2018】395号）</w:t>
            </w:r>
          </w:p>
          <w:p>
            <w:pPr>
              <w:widowControl/>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《岳阳市发展和改革委员会关于取消岳阳市电力延伸服务低压三相表带互感器新装客户收费项目的通知》（岳发改价商【2020】44号）</w:t>
            </w:r>
          </w:p>
        </w:tc>
        <w:tc>
          <w:tcPr>
            <w:tcW w:w="502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低压单相表新装（架空进户线）880元/户；低压单相表新装（电缆进户线）1280元/户；低压三相表新装（架空进户线）1650元/户；低压三相表新装（电缆进户线）2400元/户；单相电表计量装置移位100元/块；三相电表计量装置移位200元/块。</w:t>
            </w:r>
          </w:p>
        </w:tc>
        <w:tc>
          <w:tcPr>
            <w:tcW w:w="3436" w:type="dxa"/>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jc w:val="center"/>
        </w:trPr>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高可靠性供电费</w:t>
            </w:r>
          </w:p>
        </w:tc>
        <w:tc>
          <w:tcPr>
            <w:tcW w:w="33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湖南省物价局　湖南省经委转发《国家发展改革委关于停止收取供配电贴费有关问题的补充通知》（湘价重【2004】25号）</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用户受电电压</w:t>
            </w:r>
          </w:p>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等级（千伏）</w:t>
            </w:r>
          </w:p>
        </w:tc>
        <w:tc>
          <w:tcPr>
            <w:tcW w:w="34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用户应缴纳的费用</w:t>
            </w:r>
          </w:p>
        </w:tc>
        <w:tc>
          <w:tcPr>
            <w:tcW w:w="343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据《关于印发&lt;湖南省降低大工业电价工作方案&gt;的通知》（湘发改价商【2016】704号），对企业自建双回路和双电源供电的（除第一回路外，其他回路均由企业或第三方建设的视同用户自建），且用户提供了自建或第三方建设的依据的，免收高可靠性供电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0"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4"/>
                <w:szCs w:val="24"/>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架空线路 </w:t>
            </w:r>
          </w:p>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（元/千伏安）</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 xml:space="preserve">地下电缆 </w:t>
            </w:r>
          </w:p>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（元/千伏安）</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0.38/0.22</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405</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330</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35"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255</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63</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165</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35" w:hRule="atLeast"/>
          <w:jc w:val="center"/>
        </w:trPr>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33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220</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c>
          <w:tcPr>
            <w:tcW w:w="3436" w:type="dxa"/>
            <w:vMerge w:val="continue"/>
            <w:tcBorders>
              <w:top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color w:val="000000"/>
                <w:sz w:val="24"/>
                <w:szCs w:val="24"/>
                <w:u w:val="none"/>
              </w:rPr>
            </w:pPr>
          </w:p>
        </w:tc>
      </w:tr>
    </w:tbl>
    <w:p>
      <w:pPr>
        <w:widowControl w:val="0"/>
        <w:numPr>
          <w:ilvl w:val="0"/>
          <w:numId w:val="0"/>
        </w:numPr>
        <w:spacing w:line="560" w:lineRule="exact"/>
        <w:jc w:val="both"/>
        <w:rPr>
          <w:rFonts w:hint="eastAsia" w:ascii="方正仿宋_GBK" w:hAnsi="方正仿宋_GBK" w:eastAsia="方正仿宋_GBK"/>
          <w:color w:val="auto"/>
          <w:sz w:val="32"/>
          <w:highlight w:val="none"/>
          <w:lang w:val="zh-CN"/>
        </w:rPr>
        <w:sectPr>
          <w:pgSz w:w="16838" w:h="11906" w:orient="landscape"/>
          <w:pgMar w:top="1800" w:right="1440" w:bottom="1800" w:left="1440" w:header="851" w:footer="992" w:gutter="0"/>
          <w:cols w:space="425" w:num="1"/>
          <w:docGrid w:type="lines" w:linePitch="312" w:charSpace="0"/>
        </w:sectPr>
      </w:pPr>
    </w:p>
    <w:p>
      <w:pPr>
        <w:widowControl w:val="0"/>
        <w:numPr>
          <w:ilvl w:val="0"/>
          <w:numId w:val="1"/>
        </w:numPr>
        <w:spacing w:line="560" w:lineRule="exact"/>
        <w:ind w:left="0" w:leftChars="0" w:firstLine="0" w:firstLineChars="0"/>
        <w:jc w:val="both"/>
        <w:rPr>
          <w:rFonts w:hint="eastAsia" w:ascii="方正仿宋_GBK" w:hAnsi="方正仿宋_GBK" w:eastAsia="方正仿宋_GBK"/>
          <w:b/>
          <w:bCs/>
          <w:color w:val="auto"/>
          <w:sz w:val="32"/>
          <w:szCs w:val="22"/>
          <w:highlight w:val="none"/>
          <w:lang w:val="zh-CN"/>
        </w:rPr>
      </w:pPr>
      <w:r>
        <w:rPr>
          <w:rFonts w:hint="eastAsia" w:ascii="方正仿宋_GBK" w:hAnsi="方正仿宋_GBK" w:eastAsia="方正仿宋_GBK"/>
          <w:b/>
          <w:bCs/>
          <w:color w:val="auto"/>
          <w:sz w:val="32"/>
          <w:szCs w:val="22"/>
          <w:highlight w:val="none"/>
          <w:lang w:val="zh-CN"/>
        </w:rPr>
        <w:t>用电业务</w:t>
      </w:r>
      <w:bookmarkStart w:id="0" w:name="_GoBack"/>
      <w:r>
        <w:rPr>
          <w:rFonts w:hint="eastAsia" w:ascii="方正仿宋_GBK" w:hAnsi="方正仿宋_GBK" w:eastAsia="方正仿宋_GBK"/>
          <w:b/>
          <w:bCs/>
          <w:color w:val="auto"/>
          <w:sz w:val="32"/>
          <w:szCs w:val="22"/>
          <w:highlight w:val="none"/>
          <w:lang w:val="zh-CN"/>
        </w:rPr>
        <w:drawing>
          <wp:anchor distT="0" distB="0" distL="114300" distR="114300" simplePos="0" relativeHeight="251664384" behindDoc="0" locked="0" layoutInCell="1" allowOverlap="1">
            <wp:simplePos x="0" y="0"/>
            <wp:positionH relativeFrom="column">
              <wp:posOffset>-167640</wp:posOffset>
            </wp:positionH>
            <wp:positionV relativeFrom="page">
              <wp:posOffset>1762125</wp:posOffset>
            </wp:positionV>
            <wp:extent cx="5494020" cy="7301230"/>
            <wp:effectExtent l="0" t="0" r="11430" b="13970"/>
            <wp:wrapSquare wrapText="bothSides"/>
            <wp:docPr id="8" name="图片 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2"/>
                    <pic:cNvPicPr>
                      <a:picLocks noChangeAspect="1"/>
                    </pic:cNvPicPr>
                  </pic:nvPicPr>
                  <pic:blipFill>
                    <a:blip r:embed="rId5"/>
                    <a:srcRect l="51596" b="-208"/>
                    <a:stretch>
                      <a:fillRect/>
                    </a:stretch>
                  </pic:blipFill>
                  <pic:spPr>
                    <a:xfrm>
                      <a:off x="0" y="0"/>
                      <a:ext cx="5494020" cy="7301230"/>
                    </a:xfrm>
                    <a:prstGeom prst="rect">
                      <a:avLst/>
                    </a:prstGeom>
                  </pic:spPr>
                </pic:pic>
              </a:graphicData>
            </a:graphic>
          </wp:anchor>
        </w:drawing>
      </w:r>
      <w:bookmarkEnd w:id="0"/>
    </w:p>
    <w:p>
      <w:pPr>
        <w:widowControl w:val="0"/>
        <w:numPr>
          <w:ilvl w:val="0"/>
          <w:numId w:val="0"/>
        </w:numPr>
        <w:spacing w:line="560" w:lineRule="exact"/>
        <w:jc w:val="both"/>
        <w:rPr>
          <w:rFonts w:hint="eastAsia" w:ascii="方正仿宋_GBK" w:hAnsi="方正仿宋_GBK" w:eastAsia="方正仿宋_GBK"/>
          <w:b/>
          <w:bCs/>
          <w:color w:val="auto"/>
          <w:sz w:val="32"/>
          <w:szCs w:val="22"/>
          <w:highlight w:val="none"/>
          <w:lang w:val="zh-CN"/>
        </w:rPr>
      </w:pPr>
    </w:p>
    <w:p>
      <w:pPr>
        <w:widowControl w:val="0"/>
        <w:numPr>
          <w:ilvl w:val="0"/>
          <w:numId w:val="0"/>
        </w:numPr>
        <w:spacing w:line="560" w:lineRule="exact"/>
        <w:jc w:val="both"/>
        <w:rPr>
          <w:rFonts w:hint="eastAsia" w:ascii="方正仿宋_GBK" w:hAnsi="方正仿宋_GBK" w:eastAsia="方正仿宋_GBK"/>
          <w:b/>
          <w:bCs/>
          <w:color w:val="auto"/>
          <w:sz w:val="32"/>
          <w:szCs w:val="22"/>
          <w:highlight w:val="none"/>
          <w:lang w:val="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0" w:usb1="00000000" w:usb2="00000000" w:usb3="00000000" w:csb0="0000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947EFD"/>
    <w:multiLevelType w:val="singleLevel"/>
    <w:tmpl w:val="BB947EF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A33D3E"/>
    <w:rsid w:val="014D79EF"/>
    <w:rsid w:val="063438CC"/>
    <w:rsid w:val="066F21D9"/>
    <w:rsid w:val="076B582A"/>
    <w:rsid w:val="095F2FC9"/>
    <w:rsid w:val="0CAB478A"/>
    <w:rsid w:val="0DC705CF"/>
    <w:rsid w:val="0FEC39C2"/>
    <w:rsid w:val="106A4CF4"/>
    <w:rsid w:val="145961C9"/>
    <w:rsid w:val="15987807"/>
    <w:rsid w:val="1685377A"/>
    <w:rsid w:val="1C3B59C8"/>
    <w:rsid w:val="1D9B594D"/>
    <w:rsid w:val="1E0154CF"/>
    <w:rsid w:val="20321D2A"/>
    <w:rsid w:val="21075511"/>
    <w:rsid w:val="259C03F3"/>
    <w:rsid w:val="27C769F0"/>
    <w:rsid w:val="284477C8"/>
    <w:rsid w:val="2A256CF8"/>
    <w:rsid w:val="2C887130"/>
    <w:rsid w:val="2CE82CB7"/>
    <w:rsid w:val="33386E40"/>
    <w:rsid w:val="35333032"/>
    <w:rsid w:val="35FA6D5A"/>
    <w:rsid w:val="3693179D"/>
    <w:rsid w:val="379B12AB"/>
    <w:rsid w:val="38193D36"/>
    <w:rsid w:val="395A53FE"/>
    <w:rsid w:val="3A1379B0"/>
    <w:rsid w:val="3CA34985"/>
    <w:rsid w:val="3FFB0A83"/>
    <w:rsid w:val="41243B62"/>
    <w:rsid w:val="43AF2F7D"/>
    <w:rsid w:val="49283CCE"/>
    <w:rsid w:val="498C30F9"/>
    <w:rsid w:val="533F5F03"/>
    <w:rsid w:val="54EB2631"/>
    <w:rsid w:val="55540CAF"/>
    <w:rsid w:val="56EB7757"/>
    <w:rsid w:val="571E130D"/>
    <w:rsid w:val="5984285B"/>
    <w:rsid w:val="59F804B2"/>
    <w:rsid w:val="5AD81BDB"/>
    <w:rsid w:val="5D885E93"/>
    <w:rsid w:val="5EA37B3B"/>
    <w:rsid w:val="5F8E65AB"/>
    <w:rsid w:val="62B554E5"/>
    <w:rsid w:val="63964937"/>
    <w:rsid w:val="63F26029"/>
    <w:rsid w:val="66A71690"/>
    <w:rsid w:val="68D96F43"/>
    <w:rsid w:val="6B04724F"/>
    <w:rsid w:val="6EC7633A"/>
    <w:rsid w:val="6F3A557F"/>
    <w:rsid w:val="6F3B2E1C"/>
    <w:rsid w:val="6FF32DB6"/>
    <w:rsid w:val="70702B68"/>
    <w:rsid w:val="714256C2"/>
    <w:rsid w:val="71610B53"/>
    <w:rsid w:val="72AF7330"/>
    <w:rsid w:val="74F95C6B"/>
    <w:rsid w:val="7627555F"/>
    <w:rsid w:val="76AE588A"/>
    <w:rsid w:val="77CA75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lang w:val="en-US" w:eastAsia="zh-CN"/>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character" w:customStyle="1" w:styleId="4">
    <w:name w:val="font21"/>
    <w:basedOn w:val="2"/>
    <w:qFormat/>
    <w:uiPriority w:val="0"/>
    <w:rPr>
      <w:rFonts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lenovo</cp:lastModifiedBy>
  <dcterms:modified xsi:type="dcterms:W3CDTF">2020-09-10T01:32:49Z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